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drawing>
          <wp:inline xmlns:a="http://schemas.openxmlformats.org/drawingml/2006/main" xmlns:pic="http://schemas.openxmlformats.org/drawingml/2006/picture">
            <wp:extent cx="3383280" cy="1348026"/>
            <wp:docPr id="1" name="Picture 1" descr="SDB Science-driven Business Ltd logo" title="SDB logo"/>
            <wp:cNvGraphicFramePr>
              <a:graphicFrameLocks noChangeAspect="1"/>
            </wp:cNvGraphicFramePr>
            <a:graphic>
              <a:graphicData uri="http://schemas.openxmlformats.org/drawingml/2006/picture">
                <pic:pic>
                  <pic:nvPicPr>
                    <pic:cNvPr id="0" name="image3.jpg"/>
                    <pic:cNvPicPr/>
                  </pic:nvPicPr>
                  <pic:blipFill>
                    <a:blip r:embed="rId12"/>
                    <a:stretch>
                      <a:fillRect/>
                    </a:stretch>
                  </pic:blipFill>
                  <pic:spPr>
                    <a:xfrm>
                      <a:off x="0" y="0"/>
                      <a:ext cx="3383280" cy="1348026"/>
                    </a:xfrm>
                    <a:prstGeom prst="rect"/>
                  </pic:spPr>
                </pic:pic>
              </a:graphicData>
            </a:graphic>
          </wp:inline>
        </w:drawing>
      </w:r>
    </w:p>
    <w:p>
      <w:pPr>
        <w:spacing w:before="1280" w:after="0"/>
      </w:pPr>
    </w:p>
    <w:p>
      <w:pPr>
        <w:pStyle w:val="Title"/>
        <w:jc w:val="center"/>
      </w:pPr>
      <w:r>
        <w:t>Technical Handover Report</w:t>
      </w:r>
    </w:p>
    <w:p>
      <w:pPr>
        <w:pStyle w:val="Subtitle"/>
        <w:jc w:val="center"/>
      </w:pPr>
      <w:r>
        <w:t>Planetary Collision Initial Conditions</w:t>
      </w:r>
    </w:p>
    <w:p>
      <w:pPr>
        <w:spacing w:after="40"/>
        <w:jc w:val="center"/>
      </w:pPr>
      <w:r>
        <w:rPr>
          <w:rFonts w:ascii="Arial" w:hAnsi="Arial" w:eastAsia="Arial"/>
          <w:b w:val="0"/>
          <w:color w:val="5F6368"/>
          <w:sz w:val="21"/>
        </w:rPr>
        <w:t>Prepared for</w:t>
      </w:r>
    </w:p>
    <w:p>
      <w:pPr>
        <w:spacing w:after="200"/>
        <w:jc w:val="center"/>
      </w:pPr>
      <w:r>
        <w:rPr>
          <w:rFonts w:ascii="Arial" w:hAnsi="Arial" w:eastAsia="Arial"/>
          <w:b/>
          <w:color w:val="000000"/>
          <w:sz w:val="24"/>
        </w:rPr>
        <w:t>Dr Elke Pilat-Lohinger</w:t>
      </w:r>
    </w:p>
    <w:p>
      <w:pPr>
        <w:spacing w:after="40"/>
        <w:jc w:val="center"/>
      </w:pPr>
      <w:r>
        <w:rPr>
          <w:rFonts w:ascii="Arial" w:hAnsi="Arial" w:eastAsia="Arial"/>
          <w:b w:val="0"/>
          <w:color w:val="5F6368"/>
          <w:sz w:val="21"/>
        </w:rPr>
        <w:t>Reference</w:t>
      </w:r>
    </w:p>
    <w:p>
      <w:pPr>
        <w:spacing w:after="200"/>
        <w:jc w:val="center"/>
      </w:pPr>
      <w:r>
        <w:rPr>
          <w:rFonts w:ascii="Arial" w:hAnsi="Arial" w:eastAsia="Arial"/>
          <w:b/>
          <w:color w:val="000000"/>
          <w:sz w:val="24"/>
        </w:rPr>
        <w:t>Offer EPL2026-02</w:t>
      </w:r>
    </w:p>
    <w:p>
      <w:pPr>
        <w:spacing w:after="40"/>
        <w:jc w:val="center"/>
      </w:pPr>
      <w:r>
        <w:rPr>
          <w:rFonts w:ascii="Arial" w:hAnsi="Arial" w:eastAsia="Arial"/>
          <w:b w:val="0"/>
          <w:color w:val="5F6368"/>
          <w:sz w:val="21"/>
        </w:rPr>
        <w:t>Report date</w:t>
      </w:r>
    </w:p>
    <w:p>
      <w:pPr>
        <w:spacing w:after="200"/>
        <w:jc w:val="center"/>
      </w:pPr>
      <w:r>
        <w:rPr>
          <w:rFonts w:ascii="Arial" w:hAnsi="Arial" w:eastAsia="Arial"/>
          <w:b/>
          <w:color w:val="000000"/>
          <w:sz w:val="24"/>
        </w:rPr>
        <w:t>15 September 2026</w:t>
      </w:r>
    </w:p>
    <w:p>
      <w:pPr>
        <w:spacing w:before="920"/>
        <w:jc w:val="center"/>
      </w:pPr>
      <w:r>
        <w:rPr>
          <w:rFonts w:ascii="Arial" w:hAnsi="Arial" w:eastAsia="Arial"/>
          <w:color w:val="000000"/>
          <w:sz w:val="21"/>
        </w:rPr>
        <w:t>Prepared by Dr Thomas Maindl</w:t>
        <w:br/>
        <w:t>CEO</w:t>
        <w:br/>
        <w:t>SDB Science-driven Business Ltd</w:t>
      </w:r>
    </w:p>
    <w:p>
      <w:r>
        <w:br w:type="page"/>
      </w:r>
    </w:p>
    <w:p>
      <w:pPr>
        <w:pStyle w:val="Heading1"/>
        <w:keepNext/>
        <w:keepLines/>
      </w:pPr>
      <w:r>
        <w:t>Delivery Summary</w:t>
      </w:r>
    </w:p>
    <w:p>
      <w:pPr>
        <w:pStyle w:val="BodyText"/>
      </w:pPr>
      <w:r>
        <w:rPr>
          <w:rFonts w:ascii="Arial" w:hAnsi="Arial" w:eastAsia="Arial"/>
          <w:color w:val="000000"/>
        </w:rPr>
        <w:t>The work documented in this report completes the technical activities covered by Offer EPL2026-02. The miluphcuda timestep problem was resolved through source-code commits beginning on 13 August 2026. A command-line workflow was also developed for generating hydrostatically equilibrated smoothed particle hydrodynamics initial conditions for planetary collisions. Two completed production sweeps contain 400 parameter combinations each, for a total of 800 generated cases.</w:t>
      </w:r>
    </w:p>
    <w:p>
      <w:pPr>
        <w:pStyle w:val="BodyText"/>
      </w:pPr>
      <w:r>
        <w:rPr>
          <w:rFonts w:ascii="Arial" w:hAnsi="Arial" w:eastAsia="Arial"/>
          <w:color w:val="000000"/>
        </w:rPr>
        <w:t>Each production case contains the initial particle file, case metadata, hydrostatic structure data, diagnostic logs, a material configuration, and a prepared run_miluphcuda.sh script. The GPU simulations themselves were not started during this delivery.</w:t>
      </w:r>
    </w:p>
    <w:p>
      <w:pPr>
        <w:pStyle w:val="Heading2"/>
        <w:keepNext/>
        <w:keepLines/>
      </w:pPr>
      <w:r>
        <w:t>Completion Against the Offer</w:t>
      </w:r>
    </w:p>
    <w:tbl>
      <w:tblPr>
        <w:tblStyle w:val="TableGrid"/>
        <w:tblW w:type="dxa" w:w="9792"/>
        <w:jc w:val="center"/>
        <w:tblLayout w:type="fixed"/>
        <w:tblLook w:firstColumn="1" w:firstRow="1" w:lastColumn="0" w:lastRow="0" w:noHBand="0" w:noVBand="1" w:val="04A0"/>
      </w:tblPr>
      <w:tblGrid>
        <w:gridCol w:w="648"/>
        <w:gridCol w:w="2376"/>
        <w:gridCol w:w="1080"/>
        <w:gridCol w:w="5688"/>
      </w:tblGrid>
      <w:tr>
        <w:trPr>
          <w:tblHeader w:val="true"/>
        </w:trPr>
        <w:tc>
          <w:tcPr>
            <w:tcW w:type="dxa" w:w="648"/>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b/>
                <w:color w:val="FFFFFF"/>
                <w:sz w:val="18"/>
              </w:rPr>
              <w:t>Item</w:t>
            </w:r>
          </w:p>
        </w:tc>
        <w:tc>
          <w:tcPr>
            <w:tcW w:type="dxa" w:w="2376"/>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Deliverable</w:t>
            </w:r>
          </w:p>
        </w:tc>
        <w:tc>
          <w:tcPr>
            <w:tcW w:type="dxa" w:w="1080"/>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b/>
                <w:color w:val="FFFFFF"/>
                <w:sz w:val="18"/>
              </w:rPr>
              <w:t>Status</w:t>
            </w:r>
          </w:p>
        </w:tc>
        <w:tc>
          <w:tcPr>
            <w:tcW w:type="dxa" w:w="5688"/>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Evidence</w:t>
            </w:r>
          </w:p>
        </w:tc>
      </w:tr>
      <w:tr>
        <w:trPr>
          <w:cantSplit/>
        </w:trPr>
        <w:tc>
          <w:tcPr>
            <w:tcW w:type="dxa" w:w="648"/>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I</w:t>
            </w:r>
          </w:p>
        </w:tc>
        <w:tc>
          <w:tcPr>
            <w:tcW w:type="dxa" w:w="2376"/>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miluphcuda timestep bug</w:t>
            </w:r>
          </w:p>
        </w:tc>
        <w:tc>
          <w:tcPr>
            <w:tcW w:type="dxa" w:w="108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Complete</w:t>
            </w:r>
          </w:p>
        </w:tc>
        <w:tc>
          <w:tcPr>
            <w:tcW w:type="dxa" w:w="5688"/>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Resolved in a series of repository commits beginning 13 August 2026.</w:t>
            </w:r>
          </w:p>
        </w:tc>
      </w:tr>
      <w:tr>
        <w:trPr>
          <w:cantSplit/>
        </w:trPr>
        <w:tc>
          <w:tcPr>
            <w:tcW w:type="dxa" w:w="648"/>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II</w:t>
            </w:r>
          </w:p>
        </w:tc>
        <w:tc>
          <w:tcPr>
            <w:tcW w:type="dxa" w:w="2376"/>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Relaxed particle distributions</w:t>
            </w:r>
          </w:p>
        </w:tc>
        <w:tc>
          <w:tcPr>
            <w:tcW w:type="dxa" w:w="108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Complete</w:t>
            </w:r>
          </w:p>
        </w:tc>
        <w:tc>
          <w:tcPr>
            <w:tcW w:type="dxa" w:w="5688"/>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Hydrostatic structures and SEAGen spherical-shell placement are generated for both bodies.</w:t>
            </w:r>
          </w:p>
        </w:tc>
      </w:tr>
      <w:tr>
        <w:trPr>
          <w:cantSplit/>
        </w:trPr>
        <w:tc>
          <w:tcPr>
            <w:tcW w:type="dxa" w:w="648"/>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III</w:t>
            </w:r>
          </w:p>
        </w:tc>
        <w:tc>
          <w:tcPr>
            <w:tcW w:type="dxa" w:w="2376"/>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Production initial conditions</w:t>
            </w:r>
          </w:p>
        </w:tc>
        <w:tc>
          <w:tcPr>
            <w:tcW w:type="dxa" w:w="108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Complete</w:t>
            </w:r>
          </w:p>
        </w:tc>
        <w:tc>
          <w:tcPr>
            <w:tcW w:type="dxa" w:w="5688"/>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400 distinct parameter combinations were generated in two hydro output variants, with a launch script in every case.</w:t>
            </w:r>
          </w:p>
        </w:tc>
      </w:tr>
      <w:tr>
        <w:trPr>
          <w:cantSplit/>
        </w:trPr>
        <w:tc>
          <w:tcPr>
            <w:tcW w:type="dxa" w:w="648"/>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IV</w:t>
            </w:r>
          </w:p>
        </w:tc>
        <w:tc>
          <w:tcPr>
            <w:tcW w:type="dxa" w:w="2376"/>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Command-line software documentation</w:t>
            </w:r>
          </w:p>
        </w:tc>
        <w:tc>
          <w:tcPr>
            <w:tcW w:type="dxa" w:w="108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Complete</w:t>
            </w:r>
          </w:p>
        </w:tc>
        <w:tc>
          <w:tcPr>
            <w:tcW w:type="dxa" w:w="5688"/>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The private repository contains installation, configuration, execution, restart, and output documentation.</w:t>
            </w:r>
          </w:p>
        </w:tc>
      </w:tr>
    </w:tbl>
    <w:p>
      <w:pPr>
        <w:spacing w:after="20"/>
      </w:pPr>
    </w:p>
    <w:p>
      <w:pPr>
        <w:pStyle w:val="Heading1"/>
        <w:keepNext/>
        <w:keepLines/>
      </w:pPr>
      <w:r>
        <w:t>Timestep Correction in miluphcuda</w:t>
      </w:r>
    </w:p>
    <w:p>
      <w:pPr>
        <w:pStyle w:val="BodyText"/>
      </w:pPr>
      <w:r>
        <w:rPr>
          <w:rFonts w:ascii="Arial" w:hAnsi="Arial" w:eastAsia="Arial"/>
          <w:color w:val="000000"/>
        </w:rPr>
        <w:t>The reported defect caused the timestep in affected collision simulations to collapse to approximately 1e-14 seconds, making further evolution impractical. The problem was resolved through a series of commits beginning on 13 August 2026 in the public miluphcuda source repository.</w:t>
      </w:r>
    </w:p>
    <w:p>
      <w:pPr>
        <w:pStyle w:val="BodyText"/>
      </w:pPr>
      <w:r>
        <w:rPr>
          <w:rFonts w:ascii="Arial" w:hAnsi="Arial" w:eastAsia="Arial"/>
          <w:b/>
          <w:color w:val="000000"/>
        </w:rPr>
        <w:t xml:space="preserve">Repository: </w:t>
      </w:r>
      <w:hyperlink r:id="rId13">
        <w:r>
          <w:rPr>
            <w:rFonts w:ascii="Arial" w:hAnsi="Arial"/>
            <w:color w:val="1F6572"/>
            <w:u w:val="single"/>
          </w:rPr>
          <w:t>github.com/christophmschaefer/miluphcuda</w:t>
        </w:r>
      </w:hyperlink>
    </w:p>
    <w:p>
      <w:r>
        <w:br w:type="page"/>
      </w:r>
    </w:p>
    <w:p>
      <w:pPr>
        <w:pStyle w:val="Heading1"/>
        <w:keepNext/>
        <w:keepLines/>
      </w:pPr>
      <w:r>
        <w:t>Initial Condition Software</w:t>
      </w:r>
    </w:p>
    <w:p>
      <w:pPr>
        <w:pStyle w:val="BodyText"/>
      </w:pPr>
      <w:r>
        <w:rPr>
          <w:rFonts w:ascii="Arial" w:hAnsi="Arial" w:eastAsia="Arial"/>
          <w:color w:val="000000"/>
        </w:rPr>
        <w:t>The Planetary Collision repository contains the C initial-condition generator spheres_ini and the JSON-driven Python sweep program scripts/generate_initial_conditions.py. The Python program expands parameter definitions into a Cartesian grid and creates an isolated directory for each case. It invokes spheres_ini with hydrostatic structure calculation and SEAGen spherical-shell placement. This arrangement avoids the preferred directions introduced by simple cubic or hexagonal particle lattices.</w:t>
      </w:r>
    </w:p>
    <w:p>
      <w:pPr>
        <w:pStyle w:val="BodyText"/>
      </w:pPr>
      <w:r>
        <w:rPr>
          <w:rFonts w:ascii="Arial" w:hAnsi="Arial" w:eastAsia="Arial"/>
          <w:color w:val="000000"/>
        </w:rPr>
        <w:t>For every case, the software records the requested parameters, derived collision quantities, commands, completion status, and actual particle count. A sweep-level manifest.json supports restart and extension operations, while case_table.txt provides a human-readable mapping from parameter combinations to case directories.</w:t>
      </w:r>
    </w:p>
    <w:p>
      <w:pPr>
        <w:pStyle w:val="Heading2"/>
        <w:keepNext/>
        <w:keepLines/>
      </w:pPr>
      <w:r>
        <w:t>Scientific Basis</w:t>
      </w:r>
    </w:p>
    <w:p>
      <w:pPr>
        <w:pStyle w:val="BodyText"/>
      </w:pPr>
      <w:r>
        <w:rPr>
          <w:rFonts w:ascii="Arial" w:hAnsi="Arial" w:eastAsia="Arial"/>
          <w:color w:val="000000"/>
        </w:rPr>
        <w:t>The spheres_ini implementation used in this project builds upon the semi-analytical relaxation method described in Appendix A of Burger, Maindl, and Schäfer (2018). That method computes self-consistent hydrostatic structures for multi-material spherical bodies together with adiabatic internal-energy profiles, producing initial configurations close to equilibrium without a separate dynamical settling run.</w:t>
      </w:r>
    </w:p>
    <w:p>
      <w:pPr>
        <w:pStyle w:val="BodyText"/>
      </w:pPr>
      <w:r>
        <w:rPr>
          <w:rFonts w:ascii="Arial" w:hAnsi="Arial" w:eastAsia="Arial"/>
          <w:color w:val="000000"/>
        </w:rPr>
        <w:t xml:space="preserve">Reference: Burger, C., Maindl, T. I., and Schäfer, C. M. (2018). </w:t>
      </w:r>
      <w:hyperlink r:id="rId14">
        <w:r>
          <w:rPr>
            <w:rFonts w:ascii="Arial" w:hAnsi="Arial"/>
            <w:color w:val="1F6572"/>
            <w:u w:val="single"/>
          </w:rPr>
          <w:t>Transfer, loss and physical processing of water in hit-and-run collisions of planetary embryos</w:t>
        </w:r>
      </w:hyperlink>
      <w:r>
        <w:rPr>
          <w:rFonts w:ascii="Arial" w:hAnsi="Arial" w:eastAsia="Arial"/>
          <w:color w:val="000000"/>
        </w:rPr>
        <w:t>. Celestial Mechanics and Dynamical Astronomy 130, article 2. See Appendix A.</w:t>
      </w:r>
    </w:p>
    <w:p>
      <w:pPr>
        <w:pStyle w:val="Heading2"/>
        <w:keepNext/>
        <w:keepLines/>
      </w:pPr>
      <w:r>
        <w:t>Repository Access</w:t>
      </w:r>
    </w:p>
    <w:p>
      <w:pPr>
        <w:pStyle w:val="BodyText"/>
      </w:pPr>
      <w:r>
        <w:rPr>
          <w:rFonts w:ascii="Arial" w:hAnsi="Arial" w:eastAsia="Arial"/>
          <w:color w:val="000000"/>
        </w:rPr>
        <w:t>The Planetary Collision GitHub repository is private. A clone is already available at /home/tim/planetary-collision on exop2.astro.univie.ac.at, so no separate GitHub invitation is required when the customer has suitable access to that server. For direct GitHub access, Dr Elke Pilat-Lohinger may contact Dr Thomas Maindl at thomas.maindl@sdb.ltd.</w:t>
      </w:r>
    </w:p>
    <w:p>
      <w:pPr>
        <w:pStyle w:val="BodyText"/>
      </w:pPr>
      <w:r>
        <w:rPr>
          <w:rFonts w:ascii="Arial" w:hAnsi="Arial" w:eastAsia="Arial"/>
          <w:b/>
          <w:color w:val="000000"/>
        </w:rPr>
        <w:t xml:space="preserve">Repository: </w:t>
      </w:r>
      <w:hyperlink r:id="rId15">
        <w:r>
          <w:rPr>
            <w:rFonts w:ascii="Arial" w:hAnsi="Arial"/>
            <w:color w:val="1F6572"/>
            <w:u w:val="single"/>
          </w:rPr>
          <w:t>github.com/maindlt/planetary-collision</w:t>
        </w:r>
      </w:hyperlink>
    </w:p>
    <w:p>
      <w:pPr>
        <w:pStyle w:val="Heading2"/>
        <w:keepNext/>
        <w:keepLines/>
      </w:pPr>
      <w:r>
        <w:t>Main Software Components</w:t>
      </w:r>
    </w:p>
    <w:tbl>
      <w:tblPr>
        <w:tblStyle w:val="TableGrid"/>
        <w:tblW w:type="dxa" w:w="9792"/>
        <w:jc w:val="center"/>
        <w:tblLayout w:type="fixed"/>
        <w:tblLook w:firstColumn="1" w:firstRow="1" w:lastColumn="0" w:lastRow="0" w:noHBand="0" w:noVBand="1" w:val="04A0"/>
      </w:tblPr>
      <w:tblGrid>
        <w:gridCol w:w="3384"/>
        <w:gridCol w:w="6408"/>
      </w:tblGrid>
      <w:tr>
        <w:trPr>
          <w:tblHeader w:val="true"/>
        </w:trPr>
        <w:tc>
          <w:tcPr>
            <w:tcW w:type="dxa" w:w="3384"/>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Repository path</w:t>
            </w:r>
          </w:p>
        </w:tc>
        <w:tc>
          <w:tcPr>
            <w:tcW w:type="dxa" w:w="6408"/>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Purpose</w:t>
            </w:r>
          </w:p>
        </w:tc>
      </w:tr>
      <w:tr>
        <w:trPr>
          <w:cantSplit/>
        </w:trPr>
        <w:tc>
          <w:tcPr>
            <w:tcW w:type="dxa" w:w="3384"/>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src/spheres_ini</w:t>
            </w:r>
          </w:p>
        </w:tc>
        <w:tc>
          <w:tcPr>
            <w:tcW w:type="dxa" w:w="6408"/>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C program that constructs differentiated target and projectile particle models.</w:t>
            </w:r>
          </w:p>
        </w:tc>
      </w:tr>
      <w:tr>
        <w:trPr>
          <w:cantSplit/>
        </w:trPr>
        <w:tc>
          <w:tcPr>
            <w:tcW w:type="dxa" w:w="3384"/>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scripts/generate_initial_conditions.py</w:t>
            </w:r>
          </w:p>
        </w:tc>
        <w:tc>
          <w:tcPr>
            <w:tcW w:type="dxa" w:w="6408"/>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Python command-line program that validates JSON sweeps and generates each case.</w:t>
            </w:r>
          </w:p>
        </w:tc>
      </w:tr>
      <w:tr>
        <w:trPr>
          <w:cantSplit/>
        </w:trPr>
        <w:tc>
          <w:tcPr>
            <w:tcW w:type="dxa" w:w="3384"/>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examples/initial_conditions_sweep.json</w:t>
            </w:r>
          </w:p>
        </w:tc>
        <w:tc>
          <w:tcPr>
            <w:tcW w:type="dxa" w:w="6408"/>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Example configuration describing paths, execution planning, and parameter ranges.</w:t>
            </w:r>
          </w:p>
        </w:tc>
      </w:tr>
      <w:tr>
        <w:trPr>
          <w:cantSplit/>
        </w:trPr>
        <w:tc>
          <w:tcPr>
            <w:tcW w:type="dxa" w:w="3384"/>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docs/initial-condition-sweeps.md</w:t>
            </w:r>
          </w:p>
        </w:tc>
        <w:tc>
          <w:tcPr>
            <w:tcW w:type="dxa" w:w="6408"/>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Detailed configuration, restart, output-format, and operational reference.</w:t>
            </w:r>
          </w:p>
        </w:tc>
      </w:tr>
    </w:tbl>
    <w:p>
      <w:pPr>
        <w:spacing w:after="20"/>
      </w:pPr>
    </w:p>
    <w:p>
      <w:r>
        <w:br w:type="page"/>
      </w:r>
    </w:p>
    <w:p>
      <w:pPr>
        <w:pStyle w:val="Heading1"/>
        <w:keepNext/>
        <w:keepLines/>
      </w:pPr>
      <w:r>
        <w:t>Generated Initial Condition Sweeps</w:t>
      </w:r>
    </w:p>
    <w:p>
      <w:pPr>
        <w:pStyle w:val="BodyText"/>
      </w:pPr>
      <w:r>
        <w:rPr>
          <w:rFonts w:ascii="Arial" w:hAnsi="Arial" w:eastAsia="Arial"/>
          <w:color w:val="000000"/>
        </w:rPr>
        <w:t>The two production runs used the same 400-point physical parameter grid. One run wrote the hydro format with particle density, and the second wrote the hydro format without the density column. The supplied case tables list every case as complete after one attempt.</w:t>
      </w:r>
    </w:p>
    <w:tbl>
      <w:tblPr>
        <w:tblStyle w:val="TableGrid"/>
        <w:tblW w:type="dxa" w:w="9792"/>
        <w:jc w:val="center"/>
        <w:tblLayout w:type="fixed"/>
        <w:tblLook w:firstColumn="1" w:firstRow="1" w:lastColumn="0" w:lastRow="0" w:noHBand="0" w:noVBand="1" w:val="04A0"/>
      </w:tblPr>
      <w:tblGrid>
        <w:gridCol w:w="2448"/>
        <w:gridCol w:w="3024"/>
        <w:gridCol w:w="2520"/>
        <w:gridCol w:w="1800"/>
      </w:tblGrid>
      <w:tr>
        <w:trPr>
          <w:tblHeader w:val="true"/>
        </w:trPr>
        <w:tc>
          <w:tcPr>
            <w:tcW w:type="dxa" w:w="2448"/>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Sweep</w:t>
            </w:r>
          </w:p>
        </w:tc>
        <w:tc>
          <w:tcPr>
            <w:tcW w:type="dxa" w:w="3024"/>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Configuration</w:t>
            </w:r>
          </w:p>
        </w:tc>
        <w:tc>
          <w:tcPr>
            <w:tcW w:type="dxa" w:w="2520"/>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Output</w:t>
            </w:r>
          </w:p>
        </w:tc>
        <w:tc>
          <w:tcPr>
            <w:tcW w:type="dxa" w:w="1800"/>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b/>
                <w:color w:val="FFFFFF"/>
                <w:sz w:val="18"/>
              </w:rPr>
              <w:t>Cases</w:t>
            </w:r>
          </w:p>
        </w:tc>
      </w:tr>
      <w:tr>
        <w:trPr>
          <w:cantSplit/>
        </w:trPr>
        <w:tc>
          <w:tcPr>
            <w:tcW w:type="dxa" w:w="2448"/>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init_v01</w:t>
            </w:r>
          </w:p>
        </w:tc>
        <w:tc>
          <w:tcPr>
            <w:tcW w:type="dxa" w:w="3024"/>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init_v1.json</w:t>
            </w:r>
          </w:p>
        </w:tc>
        <w:tc>
          <w:tcPr>
            <w:tcW w:type="dxa" w:w="252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Hydro with density</w:t>
            </w:r>
          </w:p>
        </w:tc>
        <w:tc>
          <w:tcPr>
            <w:tcW w:type="dxa" w:w="180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400 complete</w:t>
            </w:r>
          </w:p>
        </w:tc>
      </w:tr>
      <w:tr>
        <w:trPr>
          <w:cantSplit/>
        </w:trPr>
        <w:tc>
          <w:tcPr>
            <w:tcW w:type="dxa" w:w="2448"/>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init_v01_no-density-column</w:t>
            </w:r>
          </w:p>
        </w:tc>
        <w:tc>
          <w:tcPr>
            <w:tcW w:type="dxa" w:w="3024"/>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init_v01_no-density-column.json</w:t>
            </w:r>
          </w:p>
        </w:tc>
        <w:tc>
          <w:tcPr>
            <w:tcW w:type="dxa" w:w="252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Hydro without density</w:t>
            </w:r>
          </w:p>
        </w:tc>
        <w:tc>
          <w:tcPr>
            <w:tcW w:type="dxa" w:w="180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400 complete</w:t>
            </w:r>
          </w:p>
        </w:tc>
      </w:tr>
    </w:tbl>
    <w:p>
      <w:pPr>
        <w:spacing w:after="20"/>
      </w:pPr>
    </w:p>
    <w:p>
      <w:pPr>
        <w:pStyle w:val="Heading2"/>
        <w:keepNext/>
        <w:keepLines/>
      </w:pPr>
      <w:r>
        <w:t>Completion Statistics</w:t>
      </w:r>
    </w:p>
    <w:tbl>
      <w:tblPr>
        <w:tblStyle w:val="TableGrid"/>
        <w:tblW w:type="dxa" w:w="9792"/>
        <w:jc w:val="center"/>
        <w:tblLayout w:type="fixed"/>
        <w:tblLook w:firstColumn="1" w:firstRow="1" w:lastColumn="0" w:lastRow="0" w:noHBand="0" w:noVBand="1" w:val="04A0"/>
      </w:tblPr>
      <w:tblGrid>
        <w:gridCol w:w="6552"/>
        <w:gridCol w:w="3240"/>
      </w:tblGrid>
      <w:tr>
        <w:trPr>
          <w:tblHeader w:val="true"/>
        </w:trPr>
        <w:tc>
          <w:tcPr>
            <w:tcW w:type="dxa" w:w="6552"/>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Measure</w:t>
            </w:r>
          </w:p>
        </w:tc>
        <w:tc>
          <w:tcPr>
            <w:tcW w:type="dxa" w:w="3240"/>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b/>
                <w:color w:val="FFFFFF"/>
                <w:sz w:val="18"/>
              </w:rPr>
              <w:t>Result</w:t>
            </w:r>
          </w:p>
        </w:tc>
      </w:tr>
      <w:tr>
        <w:trPr>
          <w:cantSplit/>
        </w:trPr>
        <w:tc>
          <w:tcPr>
            <w:tcW w:type="dxa" w:w="6552"/>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Distinct physical parameter combinations</w:t>
            </w:r>
          </w:p>
        </w:tc>
        <w:tc>
          <w:tcPr>
            <w:tcW w:type="dxa" w:w="324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400</w:t>
            </w:r>
          </w:p>
        </w:tc>
      </w:tr>
      <w:tr>
        <w:trPr>
          <w:cantSplit/>
        </w:trPr>
        <w:tc>
          <w:tcPr>
            <w:tcW w:type="dxa" w:w="6552"/>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Generated cases across both output variants</w:t>
            </w:r>
          </w:p>
        </w:tc>
        <w:tc>
          <w:tcPr>
            <w:tcW w:type="dxa" w:w="324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800</w:t>
            </w:r>
          </w:p>
        </w:tc>
      </w:tr>
      <w:tr>
        <w:trPr>
          <w:cantSplit/>
        </w:trPr>
        <w:tc>
          <w:tcPr>
            <w:tcW w:type="dxa" w:w="6552"/>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Requested particles per case</w:t>
            </w:r>
          </w:p>
        </w:tc>
        <w:tc>
          <w:tcPr>
            <w:tcW w:type="dxa" w:w="324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1,000,000</w:t>
            </w:r>
          </w:p>
        </w:tc>
      </w:tr>
      <w:tr>
        <w:trPr>
          <w:cantSplit/>
        </w:trPr>
        <w:tc>
          <w:tcPr>
            <w:tcW w:type="dxa" w:w="6552"/>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Actual particles per case</w:t>
            </w:r>
          </w:p>
        </w:tc>
        <w:tc>
          <w:tcPr>
            <w:tcW w:type="dxa" w:w="324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995,026 to 1,105,168</w:t>
            </w:r>
          </w:p>
        </w:tc>
      </w:tr>
      <w:tr>
        <w:trPr>
          <w:cantSplit/>
        </w:trPr>
        <w:tc>
          <w:tcPr>
            <w:tcW w:type="dxa" w:w="6552"/>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Actual particle records per sweep</w:t>
            </w:r>
          </w:p>
        </w:tc>
        <w:tc>
          <w:tcPr>
            <w:tcW w:type="dxa" w:w="324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416,148,240</w:t>
            </w:r>
          </w:p>
        </w:tc>
      </w:tr>
      <w:tr>
        <w:trPr>
          <w:cantSplit/>
        </w:trPr>
        <w:tc>
          <w:tcPr>
            <w:tcW w:type="dxa" w:w="6552"/>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Actual particle records across both sweeps</w:t>
            </w:r>
          </w:p>
        </w:tc>
        <w:tc>
          <w:tcPr>
            <w:tcW w:type="dxa" w:w="324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832,296,480</w:t>
            </w:r>
          </w:p>
        </w:tc>
      </w:tr>
      <w:tr>
        <w:trPr>
          <w:cantSplit/>
        </w:trPr>
        <w:tc>
          <w:tcPr>
            <w:tcW w:type="dxa" w:w="6552"/>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Recorded completion state</w:t>
            </w:r>
          </w:p>
        </w:tc>
        <w:tc>
          <w:tcPr>
            <w:tcW w:type="dxa" w:w="324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All cases complete</w:t>
            </w:r>
          </w:p>
        </w:tc>
      </w:tr>
      <w:tr>
        <w:trPr>
          <w:cantSplit/>
        </w:trPr>
        <w:tc>
          <w:tcPr>
            <w:tcW w:type="dxa" w:w="6552"/>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Recorded attempts</w:t>
            </w:r>
          </w:p>
        </w:tc>
        <w:tc>
          <w:tcPr>
            <w:tcW w:type="dxa" w:w="324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center"/>
            </w:pPr>
            <w:r>
              <w:rPr>
                <w:rFonts w:ascii="Arial" w:hAnsi="Arial" w:eastAsia="Arial"/>
                <w:color w:val="000000"/>
                <w:sz w:val="18"/>
              </w:rPr>
              <w:t>One attempt per case</w:t>
            </w:r>
          </w:p>
        </w:tc>
      </w:tr>
    </w:tbl>
    <w:p>
      <w:pPr>
        <w:spacing w:after="20"/>
      </w:pPr>
    </w:p>
    <w:p>
      <w:pPr>
        <w:pStyle w:val="BodyText"/>
      </w:pPr>
      <w:r>
        <w:rPr>
          <w:rFonts w:ascii="Arial" w:hAnsi="Arial" w:eastAsia="Arial"/>
          <w:color w:val="000000"/>
        </w:rPr>
        <w:t>The requested total is approximate because SEAGen preserves complete spherical shells and material boundaries. The actual particle count is therefore recorded separately for each case.</w:t>
      </w:r>
    </w:p>
    <w:p>
      <w:r>
        <w:br w:type="page"/>
      </w:r>
    </w:p>
    <w:p>
      <w:pPr>
        <w:pStyle w:val="Heading1"/>
        <w:keepNext/>
        <w:keepLines/>
      </w:pPr>
      <w:r>
        <w:t>Parameter Grid</w:t>
      </w:r>
    </w:p>
    <w:p>
      <w:pPr>
        <w:pStyle w:val="BodyText"/>
      </w:pPr>
      <w:r>
        <w:rPr>
          <w:rFonts w:ascii="Arial" w:hAnsi="Arial" w:eastAsia="Arial"/>
          <w:color w:val="000000"/>
        </w:rPr>
        <w:t>The Cartesian product contains 5 combined masses, 4 projectile-to-target mass ratios, 5 impact velocities, and 4 impact angles. The remaining parameters are fixed. This gives 5 x 4 x 5 x 4 = 400 cases per sweep.</w:t>
      </w:r>
    </w:p>
    <w:tbl>
      <w:tblPr>
        <w:tblStyle w:val="TableGrid"/>
        <w:tblW w:type="dxa" w:w="9792"/>
        <w:jc w:val="center"/>
        <w:tblLayout w:type="fixed"/>
        <w:tblLook w:firstColumn="1" w:firstRow="1" w:lastColumn="0" w:lastRow="0" w:noHBand="0" w:noVBand="1" w:val="04A0"/>
      </w:tblPr>
      <w:tblGrid>
        <w:gridCol w:w="2520"/>
        <w:gridCol w:w="2520"/>
        <w:gridCol w:w="4752"/>
      </w:tblGrid>
      <w:tr>
        <w:trPr>
          <w:tblHeader w:val="true"/>
        </w:trPr>
        <w:tc>
          <w:tcPr>
            <w:tcW w:type="dxa" w:w="2520"/>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Parameter</w:t>
            </w:r>
          </w:p>
        </w:tc>
        <w:tc>
          <w:tcPr>
            <w:tcW w:type="dxa" w:w="2520"/>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Meaning or unit</w:t>
            </w:r>
          </w:p>
        </w:tc>
        <w:tc>
          <w:tcPr>
            <w:tcW w:type="dxa" w:w="4752"/>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Values</w:t>
            </w:r>
          </w:p>
        </w:tc>
      </w:tr>
      <w:tr>
        <w:trPr>
          <w:cantSplit/>
        </w:trPr>
        <w:tc>
          <w:tcPr>
            <w:tcW w:type="dxa" w:w="252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Combined mass m_tot</w:t>
            </w:r>
          </w:p>
        </w:tc>
        <w:tc>
          <w:tcPr>
            <w:tcW w:type="dxa" w:w="252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kg</w:t>
            </w:r>
          </w:p>
        </w:tc>
        <w:tc>
          <w:tcPr>
            <w:tcW w:type="dxa" w:w="4752"/>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Log grid: 1.2838e24, 2.242147158712929e24, 3.915893348905183e24, 6.839078630682894e24, 1.19444e25</w:t>
            </w:r>
          </w:p>
        </w:tc>
      </w:tr>
      <w:tr>
        <w:trPr>
          <w:cantSplit/>
        </w:trPr>
        <w:tc>
          <w:tcPr>
            <w:tcW w:type="dxa" w:w="252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Mass ratio gamma</w:t>
            </w:r>
          </w:p>
        </w:tc>
        <w:tc>
          <w:tcPr>
            <w:tcW w:type="dxa" w:w="252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M_projectile / M_target</w:t>
            </w:r>
          </w:p>
        </w:tc>
        <w:tc>
          <w:tcPr>
            <w:tcW w:type="dxa" w:w="4752"/>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Log grid: 0.05, 0.1357208808297453, 0.3684031498640387, 1</w:t>
            </w:r>
          </w:p>
        </w:tc>
      </w:tr>
      <w:tr>
        <w:trPr>
          <w:cantSplit/>
        </w:trPr>
        <w:tc>
          <w:tcPr>
            <w:tcW w:type="dxa" w:w="252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Iron fraction zeta_iron</w:t>
            </w:r>
          </w:p>
        </w:tc>
        <w:tc>
          <w:tcPr>
            <w:tcW w:type="dxa" w:w="252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Mass fraction in both bodies</w:t>
            </w:r>
          </w:p>
        </w:tc>
        <w:tc>
          <w:tcPr>
            <w:tcW w:type="dxa" w:w="4752"/>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0.3</w:t>
            </w:r>
          </w:p>
        </w:tc>
      </w:tr>
      <w:tr>
        <w:trPr>
          <w:cantSplit/>
        </w:trPr>
        <w:tc>
          <w:tcPr>
            <w:tcW w:type="dxa" w:w="252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Impact velocity</w:t>
            </w:r>
          </w:p>
        </w:tc>
        <w:tc>
          <w:tcPr>
            <w:tcW w:type="dxa" w:w="252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v_impact / v_escape</w:t>
            </w:r>
          </w:p>
        </w:tc>
        <w:tc>
          <w:tcPr>
            <w:tcW w:type="dxa" w:w="4752"/>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Log grid: 1, 1.681792830507429, 2.82842712474619, 4.756828460010883, 8</w:t>
            </w:r>
          </w:p>
        </w:tc>
      </w:tr>
      <w:tr>
        <w:trPr>
          <w:cantSplit/>
        </w:trPr>
        <w:tc>
          <w:tcPr>
            <w:tcW w:type="dxa" w:w="252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Impact angle</w:t>
            </w:r>
          </w:p>
        </w:tc>
        <w:tc>
          <w:tcPr>
            <w:tcW w:type="dxa" w:w="252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degrees</w:t>
            </w:r>
          </w:p>
        </w:tc>
        <w:tc>
          <w:tcPr>
            <w:tcW w:type="dxa" w:w="4752"/>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0, 30, 45, 60; 0 degrees is head-on</w:t>
            </w:r>
          </w:p>
        </w:tc>
      </w:tr>
      <w:tr>
        <w:trPr>
          <w:cantSplit/>
        </w:trPr>
        <w:tc>
          <w:tcPr>
            <w:tcW w:type="dxa" w:w="252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Initial distance factor f_i</w:t>
            </w:r>
          </w:p>
        </w:tc>
        <w:tc>
          <w:tcPr>
            <w:tcW w:type="dxa" w:w="252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Combined radii</w:t>
            </w:r>
          </w:p>
        </w:tc>
        <w:tc>
          <w:tcPr>
            <w:tcW w:type="dxa" w:w="4752"/>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5</w:t>
            </w:r>
          </w:p>
        </w:tc>
      </w:tr>
      <w:tr>
        <w:trPr>
          <w:cantSplit/>
        </w:trPr>
        <w:tc>
          <w:tcPr>
            <w:tcW w:type="dxa" w:w="252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Simulation time factor f_t</w:t>
            </w:r>
          </w:p>
        </w:tc>
        <w:tc>
          <w:tcPr>
            <w:tcW w:type="dxa" w:w="252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Collision timescales</w:t>
            </w:r>
          </w:p>
        </w:tc>
        <w:tc>
          <w:tcPr>
            <w:tcW w:type="dxa" w:w="4752"/>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50</w:t>
            </w:r>
          </w:p>
        </w:tc>
      </w:tr>
      <w:tr>
        <w:trPr>
          <w:cantSplit/>
        </w:trPr>
        <w:tc>
          <w:tcPr>
            <w:tcW w:type="dxa" w:w="252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Requested particle count n_tot</w:t>
            </w:r>
          </w:p>
        </w:tc>
        <w:tc>
          <w:tcPr>
            <w:tcW w:type="dxa" w:w="252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Target and projectile combined</w:t>
            </w:r>
          </w:p>
        </w:tc>
        <w:tc>
          <w:tcPr>
            <w:tcW w:type="dxa" w:w="4752"/>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1,000,000</w:t>
            </w:r>
          </w:p>
        </w:tc>
      </w:tr>
    </w:tbl>
    <w:p>
      <w:pPr>
        <w:spacing w:after="20"/>
      </w:pPr>
    </w:p>
    <w:p>
      <w:pPr>
        <w:pStyle w:val="Heading2"/>
        <w:keepNext/>
        <w:keepLines/>
      </w:pPr>
      <w:r>
        <w:t>Composition and Timing</w:t>
      </w:r>
    </w:p>
    <w:p>
      <w:pPr>
        <w:pStyle w:val="BodyText"/>
      </w:pPr>
      <w:r>
        <w:rPr>
          <w:rFonts w:ascii="Arial" w:hAnsi="Arial" w:eastAsia="Arial"/>
          <w:color w:val="000000"/>
        </w:rPr>
        <w:t>Both target and projectile use an iron-core mass fraction of 0.3 and a basalt-mantle mass fraction of 0.7, with no outer shell. The planned simulation end time for each case is based on the generated body radii and impact velocity:</w:t>
      </w:r>
    </w:p>
    <w:p>
      <w:pPr>
        <w:spacing w:before="40" w:after="100"/>
        <w:ind w:left="346" w:right="202"/>
      </w:pPr>
      <w:r>
        <w:rPr>
          <w:rFonts w:ascii="Courier New" w:hAnsi="Courier New" w:eastAsia="Courier New"/>
          <w:color w:val="2E3338"/>
          <w:sz w:val="18"/>
        </w:rPr>
        <w:t>T_end = (f_i + f_t) (R_projectile + R_target) / v_impact</w:t>
      </w:r>
    </w:p>
    <w:p>
      <w:r>
        <w:br w:type="page"/>
      </w:r>
    </w:p>
    <w:p>
      <w:pPr>
        <w:pStyle w:val="Heading1"/>
        <w:keepNext/>
        <w:keepLines/>
      </w:pPr>
      <w:r>
        <w:t>Storage Locations</w:t>
      </w:r>
    </w:p>
    <w:p>
      <w:pPr>
        <w:pStyle w:val="BodyText"/>
      </w:pPr>
      <w:r>
        <w:rPr>
          <w:rFonts w:ascii="Arial" w:hAnsi="Arial" w:eastAsia="Arial"/>
          <w:color w:val="000000"/>
        </w:rPr>
        <w:t>The repository clone and generated sweeps are stored on the University of Vienna server identified below. Access depends on the account and filesystem permissions administered for that server; this report contains no credentials.</w:t>
      </w:r>
    </w:p>
    <w:tbl>
      <w:tblPr>
        <w:tblStyle w:val="TableGrid"/>
        <w:tblW w:type="dxa" w:w="9792"/>
        <w:jc w:val="center"/>
        <w:tblLayout w:type="fixed"/>
        <w:tblLook w:firstColumn="1" w:firstRow="1" w:lastColumn="0" w:lastRow="0" w:noHBand="0" w:noVBand="1" w:val="04A0"/>
      </w:tblPr>
      <w:tblGrid>
        <w:gridCol w:w="2880"/>
        <w:gridCol w:w="6912"/>
      </w:tblGrid>
      <w:tr>
        <w:trPr>
          <w:tblHeader w:val="true"/>
        </w:trPr>
        <w:tc>
          <w:tcPr>
            <w:tcW w:type="dxa" w:w="2880"/>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Location</w:t>
            </w:r>
          </w:p>
        </w:tc>
        <w:tc>
          <w:tcPr>
            <w:tcW w:type="dxa" w:w="6912"/>
            <w:shd w:fill="245866"/>
            <w:tcMar>
              <w:top w:w="120" w:type="dxa"/>
              <w:start w:w="120" w:type="dxa"/>
              <w:bottom w:w="12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b/>
                <w:color w:val="FFFFFF"/>
                <w:sz w:val="18"/>
              </w:rPr>
              <w:t>Value</w:t>
            </w:r>
          </w:p>
        </w:tc>
      </w:tr>
      <w:tr>
        <w:trPr>
          <w:cantSplit/>
        </w:trPr>
        <w:tc>
          <w:tcPr>
            <w:tcW w:type="dxa" w:w="288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Server</w:t>
            </w:r>
          </w:p>
        </w:tc>
        <w:tc>
          <w:tcPr>
            <w:tcW w:type="dxa" w:w="6912"/>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exop2.astro.univie.ac.at</w:t>
            </w:r>
          </w:p>
        </w:tc>
      </w:tr>
      <w:tr>
        <w:trPr>
          <w:cantSplit/>
        </w:trPr>
        <w:tc>
          <w:tcPr>
            <w:tcW w:type="dxa" w:w="288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Repository clone</w:t>
            </w:r>
          </w:p>
        </w:tc>
        <w:tc>
          <w:tcPr>
            <w:tcW w:type="dxa" w:w="6912"/>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/home/tim/planetary-collision</w:t>
            </w:r>
          </w:p>
        </w:tc>
      </w:tr>
      <w:tr>
        <w:trPr>
          <w:cantSplit/>
        </w:trPr>
        <w:tc>
          <w:tcPr>
            <w:tcW w:type="dxa" w:w="288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Runs root</w:t>
            </w:r>
          </w:p>
        </w:tc>
        <w:tc>
          <w:tcPr>
            <w:tcW w:type="dxa" w:w="6912"/>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/home/tim/planetary-collision/runs</w:t>
            </w:r>
          </w:p>
        </w:tc>
      </w:tr>
      <w:tr>
        <w:trPr>
          <w:cantSplit/>
        </w:trPr>
        <w:tc>
          <w:tcPr>
            <w:tcW w:type="dxa" w:w="2880"/>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Density-column sweep</w:t>
            </w:r>
          </w:p>
        </w:tc>
        <w:tc>
          <w:tcPr>
            <w:tcW w:type="dxa" w:w="6912"/>
            <w:shd w:fill="F5F6F7"/>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/home/tim/planetary-collision/runs/init_v01</w:t>
            </w:r>
          </w:p>
        </w:tc>
      </w:tr>
      <w:tr>
        <w:trPr>
          <w:cantSplit/>
        </w:trPr>
        <w:tc>
          <w:tcPr>
            <w:tcW w:type="dxa" w:w="2880"/>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No-density-column sweep</w:t>
            </w:r>
          </w:p>
        </w:tc>
        <w:tc>
          <w:tcPr>
            <w:tcW w:type="dxa" w:w="6912"/>
            <w:shd w:fill="FFFFFF"/>
            <w:tcMar>
              <w:top w:w="110" w:type="dxa"/>
              <w:start w:w="120" w:type="dxa"/>
              <w:bottom w:w="11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vAlign w:val="center"/>
          </w:tcPr>
          <w:p>
            <w:pPr>
              <w:spacing w:after="0"/>
              <w:jc w:val="left"/>
            </w:pPr>
            <w:r>
              <w:rPr>
                <w:rFonts w:ascii="Arial" w:hAnsi="Arial" w:eastAsia="Arial"/>
                <w:color w:val="000000"/>
                <w:sz w:val="18"/>
              </w:rPr>
              <w:t>/home/tim/planetary-collision/runs/init_v01_no-density-column</w:t>
            </w:r>
          </w:p>
        </w:tc>
      </w:tr>
    </w:tbl>
    <w:p>
      <w:pPr>
        <w:spacing w:after="20"/>
      </w:pPr>
    </w:p>
    <w:p>
      <w:pPr>
        <w:pStyle w:val="Heading2"/>
        <w:keepNext/>
        <w:keepLines/>
      </w:pPr>
      <w:r>
        <w:t>Sweep and Case Files</w:t>
      </w:r>
    </w:p>
    <w:p>
      <w:pPr>
        <w:pStyle w:val="BodyText"/>
      </w:pPr>
      <w:r>
        <w:rPr>
          <w:rFonts w:ascii="Arial" w:hAnsi="Arial" w:eastAsia="Arial"/>
          <w:color w:val="000000"/>
        </w:rPr>
        <w:t>Each sweep directory contains:</w:t>
      </w:r>
    </w:p>
    <w:p>
      <w:pPr>
        <w:pStyle w:val="ListBullet"/>
        <w:spacing w:after="60"/>
        <w:ind w:left="346" w:hanging="202"/>
      </w:pPr>
      <w:r>
        <w:rPr>
          <w:rFonts w:ascii="Arial" w:hAnsi="Arial" w:eastAsia="Arial"/>
          <w:color w:val="000000"/>
        </w:rPr>
        <w:t>manifest.json, containing the case plan, commands, metadata, and status records;</w:t>
      </w:r>
    </w:p>
    <w:p>
      <w:pPr>
        <w:pStyle w:val="ListBullet"/>
        <w:spacing w:after="60"/>
        <w:ind w:left="346" w:hanging="202"/>
      </w:pPr>
      <w:r>
        <w:rPr>
          <w:rFonts w:ascii="Arial" w:hAnsi="Arial" w:eastAsia="Arial"/>
          <w:color w:val="000000"/>
        </w:rPr>
        <w:t>case_table.txt, mapping parameter combinations and actual particle counts to case directories; and</w:t>
      </w:r>
    </w:p>
    <w:p>
      <w:pPr>
        <w:pStyle w:val="ListBullet"/>
        <w:spacing w:after="60"/>
        <w:ind w:left="346" w:hanging="202"/>
      </w:pPr>
      <w:r>
        <w:rPr>
          <w:rFonts w:ascii="Arial" w:hAnsi="Arial" w:eastAsia="Arial"/>
          <w:color w:val="000000"/>
        </w:rPr>
        <w:t>one directory per generated case.</w:t>
      </w:r>
    </w:p>
    <w:p>
      <w:pPr>
        <w:pStyle w:val="BodyText"/>
      </w:pPr>
      <w:r>
        <w:rPr>
          <w:rFonts w:ascii="Arial" w:hAnsi="Arial" w:eastAsia="Arial"/>
          <w:color w:val="000000"/>
        </w:rPr>
        <w:t>Each completed case directory contains:</w:t>
      </w:r>
    </w:p>
    <w:p>
      <w:pPr>
        <w:pStyle w:val="ListBullet"/>
        <w:spacing w:after="60"/>
        <w:ind w:left="346" w:hanging="202"/>
      </w:pPr>
      <w:r>
        <w:rPr>
          <w:rFonts w:ascii="Arial" w:hAnsi="Arial" w:eastAsia="Arial"/>
          <w:color w:val="000000"/>
        </w:rPr>
        <w:t>impact.0000, the particle initial-condition file in the selected hydro format;</w:t>
      </w:r>
    </w:p>
    <w:p>
      <w:pPr>
        <w:pStyle w:val="ListBullet"/>
        <w:spacing w:after="60"/>
        <w:ind w:left="346" w:hanging="202"/>
      </w:pPr>
      <w:r>
        <w:rPr>
          <w:rFonts w:ascii="Arial" w:hAnsi="Arial" w:eastAsia="Arial"/>
          <w:color w:val="000000"/>
        </w:rPr>
        <w:t>case.json and spheres_ini.input, recording the case settings and generated command;</w:t>
      </w:r>
    </w:p>
    <w:p>
      <w:pPr>
        <w:pStyle w:val="ListBullet"/>
        <w:spacing w:after="60"/>
        <w:ind w:left="346" w:hanging="202"/>
      </w:pPr>
      <w:r>
        <w:rPr>
          <w:rFonts w:ascii="Arial" w:hAnsi="Arial" w:eastAsia="Arial"/>
          <w:color w:val="000000"/>
        </w:rPr>
        <w:t>projectile.structure and target.structure, containing the hydrostatic radial profiles;</w:t>
      </w:r>
    </w:p>
    <w:p>
      <w:pPr>
        <w:pStyle w:val="ListBullet"/>
        <w:spacing w:after="60"/>
        <w:ind w:left="346" w:hanging="202"/>
      </w:pPr>
      <w:r>
        <w:rPr>
          <w:rFonts w:ascii="Arial" w:hAnsi="Arial" w:eastAsia="Arial"/>
          <w:color w:val="000000"/>
        </w:rPr>
        <w:t>material.cfg and diagnostic log files; and</w:t>
      </w:r>
    </w:p>
    <w:p>
      <w:pPr>
        <w:pStyle w:val="ListBullet"/>
        <w:spacing w:after="60"/>
        <w:ind w:left="346" w:hanging="202"/>
      </w:pPr>
      <w:r>
        <w:rPr>
          <w:rFonts w:ascii="Arial" w:hAnsi="Arial" w:eastAsia="Arial"/>
          <w:color w:val="000000"/>
        </w:rPr>
        <w:t>run_miluphcuda.sh, the prepared simulation launch script.</w:t>
      </w:r>
    </w:p>
    <w:p>
      <w:r>
        <w:br w:type="page"/>
      </w:r>
    </w:p>
    <w:p>
      <w:pPr>
        <w:pStyle w:val="Heading1"/>
        <w:keepNext/>
        <w:keepLines/>
      </w:pPr>
      <w:r>
        <w:t>Operational Notes</w:t>
      </w:r>
    </w:p>
    <w:p>
      <w:pPr>
        <w:pStyle w:val="Heading2"/>
        <w:keepNext/>
        <w:keepLines/>
      </w:pPr>
      <w:r>
        <w:t>Prepared Simulation Scripts</w:t>
      </w:r>
    </w:p>
    <w:p>
      <w:pPr>
        <w:pStyle w:val="BodyText"/>
      </w:pPr>
      <w:r>
        <w:rPr>
          <w:rFonts w:ascii="Arial" w:hAnsi="Arial" w:eastAsia="Arial"/>
          <w:color w:val="000000"/>
        </w:rPr>
        <w:t>Each case includes an executable run_miluphcuda.sh script containing the planned miluphcuda invocation. The script changes into its own case directory and uses relative paths for impact.0000 and material.cfg, allowing the sweep tree to be transferred to another compatible GPU system. The configuration value miluphcuda.enabled was false during generation, so these scripts were written but not executed.</w:t>
      </w:r>
    </w:p>
    <w:p>
      <w:pPr>
        <w:pStyle w:val="Heading2"/>
        <w:keepNext/>
        <w:keepLines/>
      </w:pPr>
      <w:r>
        <w:t>Legacy Sweep Configuration</w:t>
      </w:r>
    </w:p>
    <w:p>
      <w:pPr>
        <w:pStyle w:val="BodyText"/>
      </w:pPr>
      <w:r>
        <w:rPr>
          <w:rFonts w:ascii="Arial" w:hAnsi="Arial" w:eastAsia="Arial"/>
          <w:color w:val="000000"/>
        </w:rPr>
        <w:t>The production JSON files were created before output selection moved into the JSON schema. They therefore do not contain the current generation object. The density-column sweep used the hydro default, while the no-density-column sweep used the legacy command-line selection. With the current software, the corresponding settings are:</w:t>
      </w:r>
    </w:p>
    <w:p>
      <w:pPr>
        <w:spacing w:before="40" w:after="100"/>
        <w:ind w:left="346" w:right="202"/>
      </w:pPr>
      <w:r>
        <w:rPr>
          <w:rFonts w:ascii="Courier New" w:hAnsi="Courier New" w:eastAsia="Courier New"/>
          <w:color w:val="2E3338"/>
          <w:sz w:val="18"/>
        </w:rPr>
        <w:t>With density:    "generation": {"mode": "hydro", "fragmentation": false, "density_column": true}</w:t>
      </w:r>
    </w:p>
    <w:p>
      <w:pPr>
        <w:spacing w:before="40" w:after="100"/>
        <w:ind w:left="346" w:right="202"/>
      </w:pPr>
      <w:r>
        <w:rPr>
          <w:rFonts w:ascii="Courier New" w:hAnsi="Courier New" w:eastAsia="Courier New"/>
          <w:color w:val="2E3338"/>
          <w:sz w:val="18"/>
        </w:rPr>
        <w:t>Without density: "generation": {"mode": "hydro", "fragmentation": false, "density_column": false}</w:t>
      </w:r>
    </w:p>
    <w:p>
      <w:pPr>
        <w:pStyle w:val="BodyText"/>
      </w:pPr>
      <w:r>
        <w:rPr>
          <w:rFonts w:ascii="Arial" w:hAnsi="Arial" w:eastAsia="Arial"/>
          <w:color w:val="000000"/>
        </w:rPr>
        <w:t>In both legacy configurations, execution.max_cases is 1000. This value is a safety ceiling; the parameter expansion itself produced 400 cases.</w:t>
      </w:r>
    </w:p>
    <w:p>
      <w:pPr>
        <w:pStyle w:val="Heading2"/>
        <w:keepNext/>
        <w:keepLines/>
      </w:pPr>
      <w:r>
        <w:t>Reproduction Notes</w:t>
      </w:r>
    </w:p>
    <w:p>
      <w:pPr>
        <w:pStyle w:val="BodyText"/>
      </w:pPr>
      <w:r>
        <w:rPr>
          <w:rFonts w:ascii="Arial" w:hAnsi="Arial" w:eastAsia="Arial"/>
          <w:color w:val="000000"/>
        </w:rPr>
        <w:t>Installation, compilation, configuration, and execution instructions are maintained in the private repository README and in docs/initial-condition-sweeps.md. A normal generation command has the following form:</w:t>
      </w:r>
    </w:p>
    <w:p>
      <w:pPr>
        <w:spacing w:before="40" w:after="100"/>
        <w:ind w:left="346" w:right="202"/>
      </w:pPr>
      <w:r>
        <w:rPr>
          <w:rFonts w:ascii="Courier New" w:hAnsi="Courier New" w:eastAsia="Courier New"/>
          <w:color w:val="2E3338"/>
          <w:sz w:val="18"/>
        </w:rPr>
        <w:t>python3.14 scripts/generate_initial_conditions.py &lt;configuration.json&gt;</w:t>
      </w:r>
    </w:p>
    <w:p>
      <w:pPr>
        <w:pStyle w:val="BodyText"/>
      </w:pPr>
      <w:r>
        <w:rPr>
          <w:rFonts w:ascii="Arial" w:hAnsi="Arial" w:eastAsia="Arial"/>
          <w:color w:val="000000"/>
        </w:rPr>
        <w:t>SEAGen chooses shell orientations stochastically. Repeating a case with the same physical parameters can therefore produce a different particle realization while preserving the specified macroscopic setup.</w:t>
      </w:r>
    </w:p>
    <w:p>
      <w:pPr>
        <w:pStyle w:val="Heading1"/>
        <w:keepNext/>
        <w:keepLines/>
      </w:pPr>
      <w:r>
        <w:t>Verification and Delivery Status</w:t>
      </w:r>
    </w:p>
    <w:p>
      <w:pPr>
        <w:pStyle w:val="BodyText"/>
      </w:pPr>
      <w:r>
        <w:rPr>
          <w:rFonts w:ascii="Arial" w:hAnsi="Arial" w:eastAsia="Arial"/>
          <w:color w:val="000000"/>
        </w:rPr>
        <w:t>The supplied case tables contain 400 sequential cases for each sweep. Every row records status complete and attempts 1. The configuration dimensions independently expand to 400 combinations, which agrees with both inventories. The case tables also record the actual particle count for every generated case.</w:t>
      </w:r>
    </w:p>
    <w:p>
      <w:pPr>
        <w:pStyle w:val="BodyText"/>
      </w:pPr>
      <w:r>
        <w:rPr>
          <w:rFonts w:ascii="Arial" w:hAnsi="Arial" w:eastAsia="Arial"/>
          <w:color w:val="000000"/>
        </w:rPr>
        <w:t>Offer item I is represented by the miluphcuda repository correction beginning on 13 August 2026. Offer items II to IV are represented by the private Planetary Collision software, the two completed production sweeps, their manifests and case tables, the per-case launch scripts, and the accompanying software documentation. No work remains outstanding within the scope documented in this report.</w:t>
      </w:r>
    </w:p>
    <w:p>
      <w:pPr>
        <w:pStyle w:val="Heading2"/>
        <w:keepNext/>
        <w:keepLines/>
      </w:pPr>
      <w:r>
        <w:t>Handover Contact</w:t>
      </w:r>
    </w:p>
    <w:p>
      <w:pPr>
        <w:pStyle w:val="BodyText"/>
      </w:pPr>
      <w:r>
        <w:rPr>
          <w:rFonts w:ascii="Arial" w:hAnsi="Arial" w:eastAsia="Arial"/>
          <w:color w:val="000000"/>
        </w:rPr>
        <w:t>Dr Thomas Maindl</w:t>
        <w:br/>
        <w:t>CEO, SDB Science-driven Business Ltd</w:t>
        <w:br/>
        <w:t>thomas.maindl@sdb.ltd</w:t>
      </w:r>
    </w:p>
    <w:sectPr w:rsidR="00FC693F" w:rsidRPr="0006063C" w:rsidSect="00034616">
      <w:headerReference w:type="default" r:id="rId9"/>
      <w:footerReference w:type="default" r:id="rId10"/>
      <w:footerReference w:type="first" r:id="rId11"/>
      <w:pgSz w:w="12240" w:h="15840"/>
      <w:pgMar w:top="979" w:right="1123" w:bottom="1037"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rFonts w:ascii="Arial" w:hAnsi="Arial" w:eastAsia="Arial"/>
        <w:color w:val="5F6368"/>
        <w:sz w:val="17"/>
      </w:rPr>
      <w:t xml:space="preserve">EPL2026-02   |   Planetary Collision Technical Handover   |   Page </w:t>
    </w:r>
    <w:r>
      <w:rPr>
        <w:rFonts w:ascii="Arial" w:hAnsi="Arial" w:eastAsia="Arial"/>
        <w:color w:val="5F6368"/>
        <w:sz w:val="17"/>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rFonts w:ascii="Arial" w:hAnsi="Arial" w:eastAsia="Arial"/>
        <w:color w:val="5F6368"/>
        <w:sz w:val="17"/>
      </w:rPr>
      <w:t xml:space="preserve">EPL2026-02   |   Planetary Collision Technical Handover   |   Page </w:t>
    </w:r>
    <w:r>
      <w:rPr>
        <w:rFonts w:ascii="Arial" w:hAnsi="Arial" w:eastAsia="Arial"/>
        <w:color w:val="5F6368"/>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508760" cy="601147"/>
          <wp:docPr id="1" name="Picture 1" descr="SDB Science-driven Business Ltd logo" title="SDB logo"/>
          <wp:cNvGraphicFramePr>
            <a:graphicFrameLocks noChangeAspect="1"/>
          </wp:cNvGraphicFramePr>
          <a:graphic>
            <a:graphicData uri="http://schemas.openxmlformats.org/drawingml/2006/picture">
              <pic:pic>
                <pic:nvPicPr>
                  <pic:cNvPr id="0" name="image3.jpg"/>
                  <pic:cNvPicPr/>
                </pic:nvPicPr>
                <pic:blipFill>
                  <a:blip r:embed="rId1"/>
                  <a:stretch>
                    <a:fillRect/>
                  </a:stretch>
                </pic:blipFill>
                <pic:spPr>
                  <a:xfrm>
                    <a:off x="0" y="0"/>
                    <a:ext cx="1508760" cy="60114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Arial" w:hAnsi="Arial"/>
      <w:i/>
      <w:iCs/>
      <w:color w:val="5F636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 Id="rId13" Type="http://schemas.openxmlformats.org/officeDocument/2006/relationships/hyperlink" Target="https://github.com/christophmschaefer/miluphcuda" TargetMode="External"/><Relationship Id="rId14" Type="http://schemas.openxmlformats.org/officeDocument/2006/relationships/hyperlink" Target="https://doi.org/10.1007/s10569-017-9795-3" TargetMode="External"/><Relationship Id="rId15" Type="http://schemas.openxmlformats.org/officeDocument/2006/relationships/hyperlink" Target="https://github.com/maindlt/planetary-collis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Planetary Collision Technical Handover Report</dc:title>
  <dc:subject>Delivery under Offer EPL2026-02</dc:subject>
  <dc:creator>SDB Science-driven Business Ltd</dc:creator>
  <cp:keywords>planetary collision, SPH, spheres_ini, miluphcuda, initial conditions</cp:keywords>
  <dc:description>Technical handover prepared for Dr Elke Pilat-Lohinger</dc:description>
  <cp:lastModifiedBy/>
  <cp:revision>1</cp:revision>
  <dcterms:created xsi:type="dcterms:W3CDTF">2013-12-23T23:15:00Z</dcterms:created>
  <dcterms:modified xsi:type="dcterms:W3CDTF">2013-12-23T23:15:00Z</dcterms:modified>
  <cp:category/>
</cp:coreProperties>
</file>