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digital-stargate-technical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Digital StarGate – Technical Manual</w:t>
      </w:r>
    </w:p>
    <w:p>
      <w:pPr>
        <w:pStyle w:val="FirstParagraph"/>
      </w:pPr>
      <w:r>
        <w:t xml:space="preserve">Repository sorgente del manuale tecnico dell’Osservatorio Remoto di Manciano.</w:t>
      </w:r>
    </w:p>
    <w:p>
      <w:pPr>
        <w:pStyle w:val="Compact"/>
        <w:numPr>
          <w:ilvl w:val="0"/>
          <w:numId w:val="1001"/>
        </w:numPr>
      </w:pPr>
      <w:r>
        <w:t xml:space="preserve">Codice documento:</w:t>
      </w:r>
      <w:r>
        <w:t xml:space="preserve"> </w:t>
      </w:r>
      <w:r>
        <w:rPr>
          <w:rStyle w:val="VerbatimChar"/>
        </w:rPr>
        <w:t xml:space="preserve">DSG-TM-001</w:t>
      </w:r>
    </w:p>
    <w:p>
      <w:pPr>
        <w:pStyle w:val="Compact"/>
        <w:numPr>
          <w:ilvl w:val="0"/>
          <w:numId w:val="1001"/>
        </w:numPr>
      </w:pPr>
      <w:r>
        <w:t xml:space="preserve">Formato sorgente: Markdown</w:t>
      </w:r>
    </w:p>
    <w:p>
      <w:pPr>
        <w:pStyle w:val="Compact"/>
        <w:numPr>
          <w:ilvl w:val="0"/>
          <w:numId w:val="1001"/>
        </w:numPr>
      </w:pPr>
      <w:r>
        <w:t xml:space="preserve">Stato: Draft</w:t>
      </w:r>
    </w:p>
    <w:p>
      <w:pPr>
        <w:pStyle w:val="Compact"/>
        <w:numPr>
          <w:ilvl w:val="0"/>
          <w:numId w:val="1001"/>
        </w:numPr>
      </w:pPr>
      <w:r>
        <w:t xml:space="preserve">Autore: Massimo Mainini</w:t>
      </w:r>
    </w:p>
    <w:bookmarkStart w:id="9" w:name="struttura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Struttura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chapters/</w:t>
      </w:r>
      <w:r>
        <w:t xml:space="preserve"> </w:t>
      </w:r>
      <w:r>
        <w:t xml:space="preserve">capitoli del manuale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appendices/</w:t>
      </w:r>
      <w:r>
        <w:t xml:space="preserve"> </w:t>
      </w:r>
      <w:r>
        <w:t xml:space="preserve">allegati tecnici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assets/</w:t>
      </w:r>
      <w:r>
        <w:t xml:space="preserve"> </w:t>
      </w:r>
      <w:r>
        <w:t xml:space="preserve">immagini, diagrammi e screenshot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modelli per procedure, checklist e registri</w:t>
      </w:r>
    </w:p>
    <w:bookmarkEnd w:id="9"/>
    <w:bookmarkStart w:id="10" w:name="generazione-documenti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Generazione documenti</w:t>
      </w:r>
    </w:p>
    <w:p>
      <w:pPr>
        <w:pStyle w:val="FirstParagraph"/>
      </w:pPr>
      <w:r>
        <w:t xml:space="preserve">Il repository è predisposto per una futura conversione in Word o PDF mediante Pandoc.</w:t>
      </w:r>
    </w:p>
    <w:p>
      <w:pPr>
        <w:pStyle w:val="BodyText"/>
      </w:pPr>
      <w:r>
        <w:t xml:space="preserve">Esempio: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chapters/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DSG-TM-001_Digital_StarGate.docx </w:t>
      </w:r>
      <w:r>
        <w:rPr>
          <w:rStyle w:val="AttributeTok"/>
        </w:rPr>
        <w:t xml:space="preserve">--toc</w:t>
      </w:r>
    </w:p>
    <w:bookmarkEnd w:id="10"/>
    <w:bookmarkEnd w:id="11"/>
    <w:bookmarkStart w:id="15" w:name="capitolo-1-introduzion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Capitolo 1 – Introduzione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DSG-TM-001-01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12" w:name="scop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Scopo</w:t>
      </w:r>
    </w:p>
    <w:p>
      <w:pPr>
        <w:pStyle w:val="FirstParagraph"/>
      </w:pPr>
      <w:r>
        <w:t xml:space="preserve">Il presente manuale documenta l’architettura, la conduzione, la manutenzione e il troubleshooting dell’Osservatorio Remoto Digital StarGate di Manciano.</w:t>
      </w:r>
    </w:p>
    <w:bookmarkEnd w:id="12"/>
    <w:bookmarkStart w:id="13" w:name="obiettivi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Obiettivi</w:t>
      </w:r>
    </w:p>
    <w:p>
      <w:pPr>
        <w:pStyle w:val="Compact"/>
        <w:numPr>
          <w:ilvl w:val="0"/>
          <w:numId w:val="1003"/>
        </w:numPr>
      </w:pPr>
      <w:r>
        <w:t xml:space="preserve">Preservare il know-how tecnico.</w:t>
      </w:r>
    </w:p>
    <w:p>
      <w:pPr>
        <w:pStyle w:val="Compact"/>
        <w:numPr>
          <w:ilvl w:val="0"/>
          <w:numId w:val="1003"/>
        </w:numPr>
      </w:pPr>
      <w:r>
        <w:t xml:space="preserve">Rendere ripetibili le procedure operative.</w:t>
      </w:r>
    </w:p>
    <w:p>
      <w:pPr>
        <w:pStyle w:val="Compact"/>
        <w:numPr>
          <w:ilvl w:val="0"/>
          <w:numId w:val="1003"/>
        </w:numPr>
      </w:pPr>
      <w:r>
        <w:t xml:space="preserve">Supportare manutenzione, recovery ed evoluzione del sistema.</w:t>
      </w:r>
    </w:p>
    <w:p>
      <w:pPr>
        <w:pStyle w:val="Compact"/>
        <w:numPr>
          <w:ilvl w:val="0"/>
          <w:numId w:val="1003"/>
        </w:numPr>
      </w:pPr>
      <w:r>
        <w:t xml:space="preserve">Fornire un riferimento univoco agli operatori autorizzati.</w:t>
      </w:r>
    </w:p>
    <w:bookmarkEnd w:id="13"/>
    <w:bookmarkStart w:id="14" w:name="campo-di-applicazion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Campo di applicazione</w:t>
      </w:r>
    </w:p>
    <w:p>
      <w:pPr>
        <w:pStyle w:val="FirstParagraph"/>
      </w:pPr>
      <w:r>
        <w:t xml:space="preserve">Il documento si applica alla configurazione hardware, software, di rete e di automazione installata presso l’osservatorio.</w:t>
      </w:r>
    </w:p>
    <w:bookmarkEnd w:id="14"/>
    <w:bookmarkEnd w:id="15"/>
    <w:bookmarkStart w:id="20" w:name="capitolo-2-architettura-general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Capitolo 2 – Architettura generale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DSG-TM-001-02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16" w:name="principi-progettuali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Principi progettuali</w:t>
      </w:r>
    </w:p>
    <w:p>
      <w:pPr>
        <w:pStyle w:val="FirstParagraph"/>
      </w:pPr>
      <w:r>
        <w:t xml:space="preserve">L’architettura è modulare, distribuita, ridondata e orientata alla sicurezza.</w:t>
      </w:r>
    </w:p>
    <w:bookmarkEnd w:id="16"/>
    <w:bookmarkStart w:id="17" w:name="macro-sistemi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Macro-sistemi</w:t>
      </w:r>
    </w:p>
    <w:p>
      <w:pPr>
        <w:pStyle w:val="Compact"/>
        <w:numPr>
          <w:ilvl w:val="0"/>
          <w:numId w:val="1004"/>
        </w:numPr>
      </w:pPr>
      <w:r>
        <w:t xml:space="preserve">Struttura meccanica.</w:t>
      </w:r>
    </w:p>
    <w:p>
      <w:pPr>
        <w:pStyle w:val="Compact"/>
        <w:numPr>
          <w:ilvl w:val="0"/>
          <w:numId w:val="1004"/>
        </w:numPr>
      </w:pPr>
      <w:r>
        <w:t xml:space="preserve">Sistema astronomico.</w:t>
      </w:r>
    </w:p>
    <w:p>
      <w:pPr>
        <w:pStyle w:val="Compact"/>
        <w:numPr>
          <w:ilvl w:val="0"/>
          <w:numId w:val="1004"/>
        </w:numPr>
      </w:pPr>
      <w:r>
        <w:t xml:space="preserve">Computer di controllo.</w:t>
      </w:r>
    </w:p>
    <w:p>
      <w:pPr>
        <w:pStyle w:val="Compact"/>
        <w:numPr>
          <w:ilvl w:val="0"/>
          <w:numId w:val="1004"/>
        </w:numPr>
      </w:pPr>
      <w:r>
        <w:t xml:space="preserve">Software di orchestrazione.</w:t>
      </w:r>
    </w:p>
    <w:p>
      <w:pPr>
        <w:pStyle w:val="Compact"/>
        <w:numPr>
          <w:ilvl w:val="0"/>
          <w:numId w:val="1004"/>
        </w:numPr>
      </w:pPr>
      <w:r>
        <w:t xml:space="preserve">Networking e VPN.</w:t>
      </w:r>
    </w:p>
    <w:p>
      <w:pPr>
        <w:pStyle w:val="Compact"/>
        <w:numPr>
          <w:ilvl w:val="0"/>
          <w:numId w:val="1004"/>
        </w:numPr>
      </w:pPr>
      <w:r>
        <w:t xml:space="preserve">Automazione.</w:t>
      </w:r>
    </w:p>
    <w:p>
      <w:pPr>
        <w:pStyle w:val="Compact"/>
        <w:numPr>
          <w:ilvl w:val="0"/>
          <w:numId w:val="1004"/>
        </w:numPr>
      </w:pPr>
      <w:r>
        <w:t xml:space="preserve">Sicurezza.</w:t>
      </w:r>
    </w:p>
    <w:bookmarkEnd w:id="17"/>
    <w:bookmarkStart w:id="18" w:name="flusso-logico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Flusso logico</w:t>
      </w:r>
    </w:p>
    <w:p>
      <w:pPr>
        <w:pStyle w:val="FirstParagraph"/>
      </w:pPr>
      <w:r>
        <w:rPr>
          <w:rStyle w:val="VerbatimChar"/>
        </w:rPr>
        <w:t xml:space="preserve">Internet → Starlink → Teltonika RUT955 → LAN → EAGLE → ASCOM → NINA/CPWI/PHD2 → Montatura → Ottica → Camera</w:t>
      </w:r>
    </w:p>
    <w:bookmarkEnd w:id="18"/>
    <w:bookmarkStart w:id="19" w:name="stati-principali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Stati principali</w:t>
      </w:r>
    </w:p>
    <w:p>
      <w:pPr>
        <w:pStyle w:val="FirstParagraph"/>
      </w:pPr>
      <w:r>
        <w:rPr>
          <w:rStyle w:val="VerbatimChar"/>
        </w:rPr>
        <w:t xml:space="preserve">OFFLINE → READY → INITIALIZATION → OBSERVING → RECOVERY → SAFE MODE</w:t>
      </w:r>
    </w:p>
    <w:bookmarkEnd w:id="19"/>
    <w:bookmarkEnd w:id="20"/>
    <w:bookmarkStart w:id="25" w:name="capitolo-3-struttura-della-cupol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Capitolo 3 – Struttura della cupola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DSG-TM-001-03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21" w:name="funzion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Funzione</w:t>
      </w:r>
    </w:p>
    <w:p>
      <w:pPr>
        <w:pStyle w:val="FirstParagraph"/>
      </w:pPr>
      <w:r>
        <w:t xml:space="preserve">La cupola e il tetto motorizzato proteggono la strumentazione e consentono apertura e chiusura da remoto.</w:t>
      </w:r>
    </w:p>
    <w:bookmarkEnd w:id="21"/>
    <w:bookmarkStart w:id="22" w:name="componenti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Componenti</w:t>
      </w:r>
    </w:p>
    <w:p>
      <w:pPr>
        <w:pStyle w:val="Compact"/>
        <w:numPr>
          <w:ilvl w:val="0"/>
          <w:numId w:val="1005"/>
        </w:numPr>
      </w:pPr>
      <w:r>
        <w:t xml:space="preserve">Struttura portante.</w:t>
      </w:r>
    </w:p>
    <w:p>
      <w:pPr>
        <w:pStyle w:val="Compact"/>
        <w:numPr>
          <w:ilvl w:val="0"/>
          <w:numId w:val="1005"/>
        </w:numPr>
      </w:pPr>
      <w:r>
        <w:t xml:space="preserve">Guide di scorrimento.</w:t>
      </w:r>
    </w:p>
    <w:p>
      <w:pPr>
        <w:pStyle w:val="Compact"/>
        <w:numPr>
          <w:ilvl w:val="0"/>
          <w:numId w:val="1005"/>
        </w:numPr>
      </w:pPr>
      <w:r>
        <w:t xml:space="preserve">Motorizzazione.</w:t>
      </w:r>
    </w:p>
    <w:p>
      <w:pPr>
        <w:pStyle w:val="Compact"/>
        <w:numPr>
          <w:ilvl w:val="0"/>
          <w:numId w:val="1005"/>
        </w:numPr>
      </w:pPr>
      <w:r>
        <w:t xml:space="preserve">Finecorsa OPEN e CLOSED.</w:t>
      </w:r>
    </w:p>
    <w:p>
      <w:pPr>
        <w:pStyle w:val="Compact"/>
        <w:numPr>
          <w:ilvl w:val="0"/>
          <w:numId w:val="1005"/>
        </w:numPr>
      </w:pPr>
      <w:r>
        <w:t xml:space="preserve">Sensore SAFE.</w:t>
      </w:r>
    </w:p>
    <w:p>
      <w:pPr>
        <w:pStyle w:val="Compact"/>
        <w:numPr>
          <w:ilvl w:val="0"/>
          <w:numId w:val="1005"/>
        </w:numPr>
      </w:pPr>
      <w:r>
        <w:t xml:space="preserve">Centralina di controllo.</w:t>
      </w:r>
    </w:p>
    <w:bookmarkEnd w:id="22"/>
    <w:bookmarkStart w:id="23" w:name="requisiti-di-sicurezz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Requisiti di sicurezza</w:t>
      </w:r>
    </w:p>
    <w:p>
      <w:pPr>
        <w:pStyle w:val="FirstParagraph"/>
      </w:pPr>
      <w:r>
        <w:t xml:space="preserve">I sensori devono risultare coerenti prima di qualsiasi movimento. In caso di stato incerto, il sistema deve bloccare i comandi.</w:t>
      </w:r>
    </w:p>
    <w:bookmarkEnd w:id="23"/>
    <w:bookmarkStart w:id="24" w:name="manutenzion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Manutenzione</w:t>
      </w:r>
    </w:p>
    <w:p>
      <w:pPr>
        <w:pStyle w:val="FirstParagraph"/>
      </w:pPr>
      <w:r>
        <w:t xml:space="preserve">Controlli settimanali, mensili e annuali su guide, sensori, motore, cablaggi e bulloneria.</w:t>
      </w:r>
    </w:p>
    <w:bookmarkEnd w:id="24"/>
    <w:bookmarkEnd w:id="25"/>
    <w:bookmarkStart w:id="30" w:name="capitolo-4-impianto-elettric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Capitolo 4 – Impianto elettrico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DSG-TM-001-04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26" w:name="scopo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Scopo</w:t>
      </w:r>
    </w:p>
    <w:p>
      <w:pPr>
        <w:pStyle w:val="FirstParagraph"/>
      </w:pPr>
      <w:r>
        <w:t xml:space="preserve">L’impianto elettrico alimenta in modo selettivo i sottosistemi dell’osservatorio.</w:t>
      </w:r>
    </w:p>
    <w:bookmarkEnd w:id="26"/>
    <w:bookmarkStart w:id="27" w:name="principi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Principi</w:t>
      </w:r>
    </w:p>
    <w:p>
      <w:pPr>
        <w:pStyle w:val="Compact"/>
        <w:numPr>
          <w:ilvl w:val="0"/>
          <w:numId w:val="1006"/>
        </w:numPr>
      </w:pPr>
      <w:r>
        <w:t xml:space="preserve">Separazione tra potenza e segnali.</w:t>
      </w:r>
    </w:p>
    <w:p>
      <w:pPr>
        <w:pStyle w:val="Compact"/>
        <w:numPr>
          <w:ilvl w:val="0"/>
          <w:numId w:val="1006"/>
        </w:numPr>
      </w:pPr>
      <w:r>
        <w:t xml:space="preserve">Protezioni dedicate.</w:t>
      </w:r>
    </w:p>
    <w:p>
      <w:pPr>
        <w:pStyle w:val="Compact"/>
        <w:numPr>
          <w:ilvl w:val="0"/>
          <w:numId w:val="1006"/>
        </w:numPr>
      </w:pPr>
      <w:r>
        <w:t xml:space="preserve">Cablaggi identificati.</w:t>
      </w:r>
    </w:p>
    <w:p>
      <w:pPr>
        <w:pStyle w:val="Compact"/>
        <w:numPr>
          <w:ilvl w:val="0"/>
          <w:numId w:val="1006"/>
        </w:numPr>
      </w:pPr>
      <w:r>
        <w:t xml:space="preserve">Facilità di isolamento dei guasti.</w:t>
      </w:r>
    </w:p>
    <w:bookmarkEnd w:id="27"/>
    <w:bookmarkStart w:id="28" w:name="utenze-principali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Utenze principali</w:t>
      </w:r>
    </w:p>
    <w:p>
      <w:pPr>
        <w:pStyle w:val="Compact"/>
        <w:numPr>
          <w:ilvl w:val="0"/>
          <w:numId w:val="1007"/>
        </w:numPr>
      </w:pPr>
      <w:r>
        <w:t xml:space="preserve">EAGLE.</w:t>
      </w:r>
    </w:p>
    <w:p>
      <w:pPr>
        <w:pStyle w:val="Compact"/>
        <w:numPr>
          <w:ilvl w:val="0"/>
          <w:numId w:val="1007"/>
        </w:numPr>
      </w:pPr>
      <w:r>
        <w:t xml:space="preserve">CGX-L.</w:t>
      </w:r>
    </w:p>
    <w:p>
      <w:pPr>
        <w:pStyle w:val="Compact"/>
        <w:numPr>
          <w:ilvl w:val="0"/>
          <w:numId w:val="1007"/>
        </w:numPr>
      </w:pPr>
      <w:r>
        <w:t xml:space="preserve">Camere.</w:t>
      </w:r>
    </w:p>
    <w:p>
      <w:pPr>
        <w:pStyle w:val="Compact"/>
        <w:numPr>
          <w:ilvl w:val="0"/>
          <w:numId w:val="1007"/>
        </w:numPr>
      </w:pPr>
      <w:r>
        <w:t xml:space="preserve">Fuocheggiatori.</w:t>
      </w:r>
    </w:p>
    <w:p>
      <w:pPr>
        <w:pStyle w:val="Compact"/>
        <w:numPr>
          <w:ilvl w:val="0"/>
          <w:numId w:val="1007"/>
        </w:numPr>
      </w:pPr>
      <w:r>
        <w:t xml:space="preserve">Flat box.</w:t>
      </w:r>
    </w:p>
    <w:p>
      <w:pPr>
        <w:pStyle w:val="Compact"/>
        <w:numPr>
          <w:ilvl w:val="0"/>
          <w:numId w:val="1007"/>
        </w:numPr>
      </w:pPr>
      <w:r>
        <w:t xml:space="preserve">Starlink.</w:t>
      </w:r>
    </w:p>
    <w:p>
      <w:pPr>
        <w:pStyle w:val="Compact"/>
        <w:numPr>
          <w:ilvl w:val="0"/>
          <w:numId w:val="1007"/>
        </w:numPr>
      </w:pPr>
      <w:r>
        <w:t xml:space="preserve">RUT955.</w:t>
      </w:r>
    </w:p>
    <w:p>
      <w:pPr>
        <w:pStyle w:val="Compact"/>
        <w:numPr>
          <w:ilvl w:val="0"/>
          <w:numId w:val="1007"/>
        </w:numPr>
      </w:pPr>
      <w:r>
        <w:t xml:space="preserve">Illuminazione tecnica.</w:t>
      </w:r>
    </w:p>
    <w:bookmarkEnd w:id="28"/>
    <w:bookmarkStart w:id="29" w:name="verifich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Verifiche</w:t>
      </w:r>
    </w:p>
    <w:p>
      <w:pPr>
        <w:pStyle w:val="FirstParagraph"/>
      </w:pPr>
      <w:r>
        <w:t xml:space="preserve">Controllare alimentazione, LED, surriscaldamenti, integrità dei cavi e corretto assorbimento.</w:t>
      </w:r>
    </w:p>
    <w:bookmarkEnd w:id="29"/>
    <w:bookmarkEnd w:id="30"/>
    <w:bookmarkStart w:id="35" w:name="capitolo-5-infrastruttura-di-ret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Capitolo 5 – Infrastruttura di rete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DSG-TM-001-05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31" w:name="architettura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Architettura</w:t>
      </w:r>
    </w:p>
    <w:p>
      <w:pPr>
        <w:pStyle w:val="FirstParagraph"/>
      </w:pPr>
      <w:r>
        <w:t xml:space="preserve">La connettività primaria è fornita da Starlink. Il Teltonika RUT955 gestisce gateway, VPN e failover.</w:t>
      </w:r>
    </w:p>
    <w:bookmarkEnd w:id="31"/>
    <w:bookmarkStart w:id="32" w:name="continuità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Continuità</w:t>
      </w:r>
    </w:p>
    <w:p>
      <w:pPr>
        <w:pStyle w:val="FirstParagraph"/>
      </w:pPr>
      <w:r>
        <w:t xml:space="preserve">Ordine di priorità:</w:t>
      </w:r>
    </w:p>
    <w:p>
      <w:pPr>
        <w:pStyle w:val="Compact"/>
        <w:numPr>
          <w:ilvl w:val="0"/>
          <w:numId w:val="1008"/>
        </w:numPr>
      </w:pPr>
      <w:r>
        <w:t xml:space="preserve">Starlink.</w:t>
      </w:r>
    </w:p>
    <w:p>
      <w:pPr>
        <w:pStyle w:val="Compact"/>
        <w:numPr>
          <w:ilvl w:val="0"/>
          <w:numId w:val="1008"/>
        </w:numPr>
      </w:pPr>
      <w:r>
        <w:t xml:space="preserve">SIM1 LTE.</w:t>
      </w:r>
    </w:p>
    <w:p>
      <w:pPr>
        <w:pStyle w:val="Compact"/>
        <w:numPr>
          <w:ilvl w:val="0"/>
          <w:numId w:val="1008"/>
        </w:numPr>
      </w:pPr>
      <w:r>
        <w:t xml:space="preserve">SIM2 LTE.</w:t>
      </w:r>
    </w:p>
    <w:bookmarkEnd w:id="32"/>
    <w:bookmarkStart w:id="33" w:name="sicurezza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Sicurezza</w:t>
      </w:r>
    </w:p>
    <w:p>
      <w:pPr>
        <w:pStyle w:val="FirstParagraph"/>
      </w:pPr>
      <w:r>
        <w:t xml:space="preserve">L’accesso remoto deve avvenire tramite VPN. I servizi non devono essere esposti direttamente su Internet.</w:t>
      </w:r>
    </w:p>
    <w:bookmarkEnd w:id="33"/>
    <w:bookmarkStart w:id="34" w:name="parametri-da-documentare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Parametri da documentare</w:t>
      </w:r>
    </w:p>
    <w:p>
      <w:pPr>
        <w:pStyle w:val="FirstParagraph"/>
      </w:pPr>
      <w:r>
        <w:t xml:space="preserve">Indirizzi IP, subnet, DHCP, DNS, rotte, configurazione OpenVPN, backup del router.</w:t>
      </w:r>
    </w:p>
    <w:bookmarkEnd w:id="34"/>
    <w:bookmarkEnd w:id="35"/>
    <w:bookmarkStart w:id="40" w:name="capitolo-6-computer-di-controllo-eagl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Capitolo 6 – Computer di controllo EAGLE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DSG-TM-001-06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36" w:name="ruolo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Ruolo</w:t>
      </w:r>
    </w:p>
    <w:p>
      <w:pPr>
        <w:pStyle w:val="FirstParagraph"/>
      </w:pPr>
      <w:r>
        <w:t xml:space="preserve">L’EAGLE è il nodo centrale di elaborazione, connettività USB, alimentazione e controllo remoto.</w:t>
      </w:r>
    </w:p>
    <w:bookmarkEnd w:id="36"/>
    <w:bookmarkStart w:id="37" w:name="software-principali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Software principali</w:t>
      </w:r>
    </w:p>
    <w:p>
      <w:pPr>
        <w:pStyle w:val="Compact"/>
        <w:numPr>
          <w:ilvl w:val="0"/>
          <w:numId w:val="1009"/>
        </w:numPr>
      </w:pPr>
      <w:r>
        <w:t xml:space="preserve">Windows.</w:t>
      </w:r>
    </w:p>
    <w:p>
      <w:pPr>
        <w:pStyle w:val="Compact"/>
        <w:numPr>
          <w:ilvl w:val="0"/>
          <w:numId w:val="1009"/>
        </w:numPr>
      </w:pPr>
      <w:r>
        <w:t xml:space="preserve">N.I.N.A.</w:t>
      </w:r>
    </w:p>
    <w:p>
      <w:pPr>
        <w:pStyle w:val="Compact"/>
        <w:numPr>
          <w:ilvl w:val="0"/>
          <w:numId w:val="1009"/>
        </w:numPr>
      </w:pPr>
      <w:r>
        <w:t xml:space="preserve">CPWI.</w:t>
      </w:r>
    </w:p>
    <w:p>
      <w:pPr>
        <w:pStyle w:val="Compact"/>
        <w:numPr>
          <w:ilvl w:val="0"/>
          <w:numId w:val="1009"/>
        </w:numPr>
      </w:pPr>
      <w:r>
        <w:t xml:space="preserve">PHD2.</w:t>
      </w:r>
    </w:p>
    <w:p>
      <w:pPr>
        <w:pStyle w:val="Compact"/>
        <w:numPr>
          <w:ilvl w:val="0"/>
          <w:numId w:val="1009"/>
        </w:numPr>
      </w:pPr>
      <w:r>
        <w:t xml:space="preserve">ASTAP.</w:t>
      </w:r>
    </w:p>
    <w:p>
      <w:pPr>
        <w:pStyle w:val="Compact"/>
        <w:numPr>
          <w:ilvl w:val="0"/>
          <w:numId w:val="1009"/>
        </w:numPr>
      </w:pPr>
      <w:r>
        <w:t xml:space="preserve">ASCOM Platform.</w:t>
      </w:r>
    </w:p>
    <w:bookmarkEnd w:id="37"/>
    <w:bookmarkStart w:id="38" w:name="gestione-usb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Gestione USB</w:t>
      </w:r>
    </w:p>
    <w:p>
      <w:pPr>
        <w:pStyle w:val="FirstParagraph"/>
      </w:pPr>
      <w:r>
        <w:t xml:space="preserve">Mantenere una mappatura stabile delle porte, evitare hub non alimentati e disabilitare la sospensione selettiva USB.</w:t>
      </w:r>
    </w:p>
    <w:bookmarkEnd w:id="38"/>
    <w:bookmarkStart w:id="39" w:name="backup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Backup</w:t>
      </w:r>
    </w:p>
    <w:p>
      <w:pPr>
        <w:pStyle w:val="FirstParagraph"/>
      </w:pPr>
      <w:r>
        <w:t xml:space="preserve">Eseguire backup periodici di profili, driver, sequenze, log e configurazioni.</w:t>
      </w:r>
    </w:p>
    <w:bookmarkEnd w:id="39"/>
    <w:bookmarkEnd w:id="40"/>
    <w:bookmarkStart w:id="45" w:name="capitolo-7-montatura-celestron-cgx-l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Capitolo 7 – Montatura Celestron CGX-L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DSG-TM-001-07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41" w:name="funzione-1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Funzione</w:t>
      </w:r>
    </w:p>
    <w:p>
      <w:pPr>
        <w:pStyle w:val="FirstParagraph"/>
      </w:pPr>
      <w:r>
        <w:t xml:space="preserve">La CGX-L garantisce puntamento, inseguimento, Park, Unpark e Meridian Flip.</w:t>
      </w:r>
    </w:p>
    <w:bookmarkEnd w:id="41"/>
    <w:bookmarkStart w:id="42" w:name="integrazion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Integrazione</w:t>
      </w:r>
    </w:p>
    <w:p>
      <w:pPr>
        <w:pStyle w:val="FirstParagraph"/>
      </w:pPr>
      <w:r>
        <w:rPr>
          <w:rStyle w:val="VerbatimChar"/>
        </w:rPr>
        <w:t xml:space="preserve">N.I.N.A. → ASCOM → CPWI → CGX-L</w:t>
      </w:r>
    </w:p>
    <w:bookmarkEnd w:id="42"/>
    <w:bookmarkStart w:id="43" w:name="procedure-critiche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7.3 Procedure critiche</w:t>
      </w:r>
    </w:p>
    <w:p>
      <w:pPr>
        <w:pStyle w:val="Compact"/>
        <w:numPr>
          <w:ilvl w:val="0"/>
          <w:numId w:val="1010"/>
        </w:numPr>
      </w:pPr>
      <w:r>
        <w:t xml:space="preserve">Verifica Park.</w:t>
      </w:r>
    </w:p>
    <w:p>
      <w:pPr>
        <w:pStyle w:val="Compact"/>
        <w:numPr>
          <w:ilvl w:val="0"/>
          <w:numId w:val="1010"/>
        </w:numPr>
      </w:pPr>
      <w:r>
        <w:t xml:space="preserve">Plate solving iniziale.</w:t>
      </w:r>
    </w:p>
    <w:p>
      <w:pPr>
        <w:pStyle w:val="Compact"/>
        <w:numPr>
          <w:ilvl w:val="0"/>
          <w:numId w:val="1010"/>
        </w:numPr>
      </w:pPr>
      <w:r>
        <w:t xml:space="preserve">Meridian Flip.</w:t>
      </w:r>
    </w:p>
    <w:p>
      <w:pPr>
        <w:pStyle w:val="Compact"/>
        <w:numPr>
          <w:ilvl w:val="0"/>
          <w:numId w:val="1010"/>
        </w:numPr>
      </w:pPr>
      <w:r>
        <w:t xml:space="preserve">Recovery dopo perdita di connessione.</w:t>
      </w:r>
    </w:p>
    <w:bookmarkEnd w:id="43"/>
    <w:bookmarkStart w:id="44" w:name="troubleshooting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7.4 Troubleshooting</w:t>
      </w:r>
    </w:p>
    <w:p>
      <w:pPr>
        <w:pStyle w:val="FirstParagraph"/>
      </w:pPr>
      <w:r>
        <w:t xml:space="preserve">Controllare alimentazione, USB, CPWI, porta COM, driver ASCOM e stato meccanico.</w:t>
      </w:r>
    </w:p>
    <w:bookmarkEnd w:id="44"/>
    <w:bookmarkEnd w:id="45"/>
    <w:bookmarkStart w:id="49" w:name="capitolo-8-celestron-c8-xl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Capitolo 8 – Celestron C8 XLT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DSG-TM-001-08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46" w:name="configurazione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8.1 Configurazione</w:t>
      </w:r>
    </w:p>
    <w:p>
      <w:pPr>
        <w:pStyle w:val="Compact"/>
        <w:numPr>
          <w:ilvl w:val="0"/>
          <w:numId w:val="1011"/>
        </w:numPr>
      </w:pPr>
      <w:r>
        <w:t xml:space="preserve">Diametro: 203 mm.</w:t>
      </w:r>
    </w:p>
    <w:p>
      <w:pPr>
        <w:pStyle w:val="Compact"/>
        <w:numPr>
          <w:ilvl w:val="0"/>
          <w:numId w:val="1011"/>
        </w:numPr>
      </w:pPr>
      <w:r>
        <w:t xml:space="preserve">Focale nominale: 2032 mm.</w:t>
      </w:r>
    </w:p>
    <w:p>
      <w:pPr>
        <w:pStyle w:val="Compact"/>
        <w:numPr>
          <w:ilvl w:val="0"/>
          <w:numId w:val="1011"/>
        </w:numPr>
      </w:pPr>
      <w:r>
        <w:t xml:space="preserve">Riduttore 0,63×.</w:t>
      </w:r>
    </w:p>
    <w:p>
      <w:pPr>
        <w:pStyle w:val="Compact"/>
        <w:numPr>
          <w:ilvl w:val="0"/>
          <w:numId w:val="1011"/>
        </w:numPr>
      </w:pPr>
      <w:r>
        <w:t xml:space="preserve">Focale operativa indicativa: circa 1260–1280 mm.</w:t>
      </w:r>
    </w:p>
    <w:p>
      <w:pPr>
        <w:pStyle w:val="Compact"/>
        <w:numPr>
          <w:ilvl w:val="0"/>
          <w:numId w:val="1011"/>
        </w:numPr>
      </w:pPr>
      <w:r>
        <w:t xml:space="preserve">FocusCube.</w:t>
      </w:r>
    </w:p>
    <w:bookmarkEnd w:id="46"/>
    <w:bookmarkStart w:id="47" w:name="impiego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8.2 Impiego</w:t>
      </w:r>
    </w:p>
    <w:p>
      <w:pPr>
        <w:pStyle w:val="FirstParagraph"/>
      </w:pPr>
      <w:r>
        <w:t xml:space="preserve">Galassie, nebulose planetarie, ammassi globulari e soggetti compatti.</w:t>
      </w:r>
    </w:p>
    <w:bookmarkEnd w:id="47"/>
    <w:bookmarkStart w:id="48" w:name="best-practice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8.3 Best practice</w:t>
      </w:r>
    </w:p>
    <w:p>
      <w:pPr>
        <w:pStyle w:val="FirstParagraph"/>
      </w:pPr>
      <w:r>
        <w:t xml:space="preserve">Usare BIN2 quando il seeing rende sovracampionato il setup; verificare collimazione, backfocus e autofocus.</w:t>
      </w:r>
    </w:p>
    <w:bookmarkEnd w:id="48"/>
    <w:bookmarkEnd w:id="49"/>
    <w:bookmarkStart w:id="53" w:name="capitolo-9-sky-watcher-quattro-200p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Capitolo 9 – Sky-Watcher Quattro 200P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DSG-TM-001-09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50" w:name="configurazione-1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9.1 Configurazione</w:t>
      </w:r>
    </w:p>
    <w:p>
      <w:pPr>
        <w:pStyle w:val="Compact"/>
        <w:numPr>
          <w:ilvl w:val="0"/>
          <w:numId w:val="1012"/>
        </w:numPr>
      </w:pPr>
      <w:r>
        <w:t xml:space="preserve">Schema Newton.</w:t>
      </w:r>
    </w:p>
    <w:p>
      <w:pPr>
        <w:pStyle w:val="Compact"/>
        <w:numPr>
          <w:ilvl w:val="0"/>
          <w:numId w:val="1012"/>
        </w:numPr>
      </w:pPr>
      <w:r>
        <w:t xml:space="preserve">Diametro: 200 mm.</w:t>
      </w:r>
    </w:p>
    <w:p>
      <w:pPr>
        <w:pStyle w:val="Compact"/>
        <w:numPr>
          <w:ilvl w:val="0"/>
          <w:numId w:val="1012"/>
        </w:numPr>
      </w:pPr>
      <w:r>
        <w:t xml:space="preserve">Focale nominale: 800 mm.</w:t>
      </w:r>
    </w:p>
    <w:p>
      <w:pPr>
        <w:pStyle w:val="Compact"/>
        <w:numPr>
          <w:ilvl w:val="0"/>
          <w:numId w:val="1012"/>
        </w:numPr>
      </w:pPr>
      <w:r>
        <w:t xml:space="preserve">Focale operativa indicativa: circa 760 mm.</w:t>
      </w:r>
    </w:p>
    <w:p>
      <w:pPr>
        <w:pStyle w:val="Compact"/>
        <w:numPr>
          <w:ilvl w:val="0"/>
          <w:numId w:val="1012"/>
        </w:numPr>
      </w:pPr>
      <w:r>
        <w:t xml:space="preserve">ESATTO 2”.</w:t>
      </w:r>
    </w:p>
    <w:bookmarkEnd w:id="50"/>
    <w:bookmarkStart w:id="51" w:name="impiego-1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9.2 Impiego</w:t>
      </w:r>
    </w:p>
    <w:p>
      <w:pPr>
        <w:pStyle w:val="FirstParagraph"/>
      </w:pPr>
      <w:r>
        <w:t xml:space="preserve">Nebulose diffuse, mosaici, campi larghi e grandi regioni Hα.</w:t>
      </w:r>
    </w:p>
    <w:bookmarkEnd w:id="51"/>
    <w:bookmarkStart w:id="52" w:name="criticità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9.3 Criticità</w:t>
      </w:r>
    </w:p>
    <w:p>
      <w:pPr>
        <w:pStyle w:val="FirstParagraph"/>
      </w:pPr>
      <w:r>
        <w:t xml:space="preserve">Collimazione, correttore di coma, backfocus, tilt e serraggio meccanico.</w:t>
      </w:r>
    </w:p>
    <w:bookmarkEnd w:id="52"/>
    <w:bookmarkEnd w:id="53"/>
    <w:bookmarkStart w:id="58" w:name="capitolo-10-camere-e-treno-ottico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Capitolo 10 – Camere e treno ottico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DSG-TM-001-10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54" w:name="camere-principali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10.1 Camere principali</w:t>
      </w:r>
    </w:p>
    <w:p>
      <w:pPr>
        <w:pStyle w:val="Compact"/>
        <w:numPr>
          <w:ilvl w:val="0"/>
          <w:numId w:val="1013"/>
        </w:numPr>
      </w:pPr>
      <w:r>
        <w:t xml:space="preserve">QHY695A monocromatica.</w:t>
      </w:r>
    </w:p>
    <w:p>
      <w:pPr>
        <w:pStyle w:val="Compact"/>
        <w:numPr>
          <w:ilvl w:val="0"/>
          <w:numId w:val="1013"/>
        </w:numPr>
      </w:pPr>
      <w:r>
        <w:t xml:space="preserve">ToupTek 294MC Pro a colori.</w:t>
      </w:r>
    </w:p>
    <w:bookmarkEnd w:id="54"/>
    <w:bookmarkStart w:id="55" w:name="filtri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10.2 Filtri</w:t>
      </w:r>
    </w:p>
    <w:p>
      <w:pPr>
        <w:pStyle w:val="FirstParagraph"/>
      </w:pPr>
      <w:r>
        <w:t xml:space="preserve">LRGB, Hα, OIII, SII, L-Pro e L-Extreme.</w:t>
      </w:r>
    </w:p>
    <w:bookmarkEnd w:id="55"/>
    <w:bookmarkStart w:id="56" w:name="configurazioni-standard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10.3 Configurazioni standard</w:t>
      </w:r>
    </w:p>
    <w:p>
      <w:pPr>
        <w:pStyle w:val="Compact"/>
        <w:numPr>
          <w:ilvl w:val="0"/>
          <w:numId w:val="1014"/>
        </w:numPr>
      </w:pPr>
      <w:r>
        <w:t xml:space="preserve">C8 + QHY695A + LRGB/SHO.</w:t>
      </w:r>
    </w:p>
    <w:p>
      <w:pPr>
        <w:pStyle w:val="Compact"/>
        <w:numPr>
          <w:ilvl w:val="0"/>
          <w:numId w:val="1014"/>
        </w:numPr>
      </w:pPr>
      <w:r>
        <w:t xml:space="preserve">C8 + ToupTek 294MC Pro.</w:t>
      </w:r>
    </w:p>
    <w:p>
      <w:pPr>
        <w:pStyle w:val="Compact"/>
        <w:numPr>
          <w:ilvl w:val="0"/>
          <w:numId w:val="1014"/>
        </w:numPr>
      </w:pPr>
      <w:r>
        <w:t xml:space="preserve">Quattro + ToupTek + L-Pro/L-Extreme.</w:t>
      </w:r>
    </w:p>
    <w:p>
      <w:pPr>
        <w:pStyle w:val="Compact"/>
        <w:numPr>
          <w:ilvl w:val="0"/>
          <w:numId w:val="1014"/>
        </w:numPr>
      </w:pPr>
      <w:r>
        <w:t xml:space="preserve">Quattro + QHY695A + SHO.</w:t>
      </w:r>
    </w:p>
    <w:bookmarkEnd w:id="56"/>
    <w:bookmarkStart w:id="57" w:name="controlli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10.4 Controlli</w:t>
      </w:r>
    </w:p>
    <w:p>
      <w:pPr>
        <w:pStyle w:val="FirstParagraph"/>
      </w:pPr>
      <w:r>
        <w:t xml:space="preserve">Backfocus, tilt, serraggi, raffreddamento, librerie di calibrazione e metadati FITS.</w:t>
      </w:r>
    </w:p>
    <w:bookmarkEnd w:id="57"/>
    <w:bookmarkEnd w:id="58"/>
    <w:bookmarkStart w:id="63" w:name="capitolo-11-n.i.n.a.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Capitolo 11 – N.I.N.A.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DSG-TM-001-11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59" w:name="ruolo-1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11.1 Ruolo</w:t>
      </w:r>
    </w:p>
    <w:p>
      <w:pPr>
        <w:pStyle w:val="FirstParagraph"/>
      </w:pPr>
      <w:r>
        <w:t xml:space="preserve">N.I.N.A. orchestra dispositivi, sequenze, plate solving, autofocus, dithering e Meridian Flip.</w:t>
      </w:r>
    </w:p>
    <w:bookmarkEnd w:id="59"/>
    <w:bookmarkStart w:id="60" w:name="profili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11.2 Profili</w:t>
      </w:r>
    </w:p>
    <w:p>
      <w:pPr>
        <w:pStyle w:val="FirstParagraph"/>
      </w:pPr>
      <w:r>
        <w:t xml:space="preserve">Mantenere profili separati per ogni combinazione di telescopio, camera e filtri.</w:t>
      </w:r>
    </w:p>
    <w:bookmarkEnd w:id="60"/>
    <w:bookmarkStart w:id="61" w:name="sequenza-standard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11.3 Sequenza standard</w:t>
      </w:r>
    </w:p>
    <w:p>
      <w:pPr>
        <w:pStyle w:val="FirstParagraph"/>
      </w:pPr>
      <w:r>
        <w:t xml:space="preserve">Connessione dispositivi, apertura, slew, plate solve, autofocus, guida, acquisizione, flip, Park e chiusura.</w:t>
      </w:r>
    </w:p>
    <w:bookmarkEnd w:id="61"/>
    <w:bookmarkStart w:id="62" w:name="recovery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11.4 Recovery</w:t>
      </w:r>
    </w:p>
    <w:p>
      <w:pPr>
        <w:pStyle w:val="FirstParagraph"/>
      </w:pPr>
      <w:r>
        <w:t xml:space="preserve">Definire timeout, numero massimo di tentativi e passaggio a SAFE MODE.</w:t>
      </w:r>
    </w:p>
    <w:bookmarkEnd w:id="62"/>
    <w:bookmarkEnd w:id="63"/>
    <w:bookmarkStart w:id="68" w:name="capitolo-12-phd2-guiding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Capitolo 12 – PHD2 Guiding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DSG-TM-001-12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64" w:name="funzione-2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12.1 Funzione</w:t>
      </w:r>
    </w:p>
    <w:p>
      <w:pPr>
        <w:pStyle w:val="FirstParagraph"/>
      </w:pPr>
      <w:r>
        <w:t xml:space="preserve">PHD2 corregge gli errori di inseguimento tramite Pulse Guiding via ASCOM.</w:t>
      </w:r>
    </w:p>
    <w:bookmarkEnd w:id="64"/>
    <w:bookmarkStart w:id="65" w:name="profili-1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12.2 Profili</w:t>
      </w:r>
    </w:p>
    <w:p>
      <w:pPr>
        <w:pStyle w:val="FirstParagraph"/>
      </w:pPr>
      <w:r>
        <w:t xml:space="preserve">Profili distinti per C8 e Quattro 200P.</w:t>
      </w:r>
    </w:p>
    <w:bookmarkEnd w:id="65"/>
    <w:bookmarkStart w:id="66" w:name="indicatori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12.3 Indicatori</w:t>
      </w:r>
    </w:p>
    <w:p>
      <w:pPr>
        <w:pStyle w:val="FirstParagraph"/>
      </w:pPr>
      <w:r>
        <w:t xml:space="preserve">RMS RA, RMS DEC, RMS totale, S/N della stella guida e stabilizzazione dopo dithering.</w:t>
      </w:r>
    </w:p>
    <w:bookmarkEnd w:id="66"/>
    <w:bookmarkStart w:id="67" w:name="caso-noto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12.4 Caso noto</w:t>
      </w:r>
    </w:p>
    <w:p>
      <w:pPr>
        <w:pStyle w:val="FirstParagraph"/>
      </w:pPr>
      <w:r>
        <w:t xml:space="preserve">In caso di</w:t>
      </w:r>
      <w:r>
        <w:t xml:space="preserve"> </w:t>
      </w:r>
      <w:r>
        <w:rPr>
          <w:rStyle w:val="VerbatimChar"/>
        </w:rPr>
        <w:t xml:space="preserve">Pulse Guide Failed</w:t>
      </w:r>
      <w:r>
        <w:t xml:space="preserve">, verificare CPWI, ASCOM, USB, alimentazione, log e sospensione selettiva Windows.</w:t>
      </w:r>
    </w:p>
    <w:bookmarkEnd w:id="67"/>
    <w:bookmarkEnd w:id="68"/>
    <w:bookmarkStart w:id="73" w:name="capitolo-13-cpwi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Capitolo 13 – CPWI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DSG-TM-001-13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69" w:name="ruolo-2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13.1 Ruolo</w:t>
      </w:r>
    </w:p>
    <w:p>
      <w:pPr>
        <w:pStyle w:val="FirstParagraph"/>
      </w:pPr>
      <w:r>
        <w:t xml:space="preserve">CPWI è l’unico punto di controllo diretto della CGX-L.</w:t>
      </w:r>
    </w:p>
    <w:bookmarkEnd w:id="69"/>
    <w:bookmarkStart w:id="70" w:name="parametri-critici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13.2 Parametri critici</w:t>
      </w:r>
    </w:p>
    <w:p>
      <w:pPr>
        <w:pStyle w:val="FirstParagraph"/>
      </w:pPr>
      <w:r>
        <w:t xml:space="preserve">Coordinate del sito, data e ora, Park, limiti di sicurezza e tracking rate.</w:t>
      </w:r>
    </w:p>
    <w:bookmarkEnd w:id="70"/>
    <w:bookmarkStart w:id="71" w:name="integrazione-1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13.3 Integrazione</w:t>
      </w:r>
    </w:p>
    <w:p>
      <w:pPr>
        <w:pStyle w:val="FirstParagraph"/>
      </w:pPr>
      <w:r>
        <w:t xml:space="preserve">N.I.N.A. e PHD2 devono accedere alla montatura tramite ASCOM/CPWI.</w:t>
      </w:r>
    </w:p>
    <w:bookmarkEnd w:id="71"/>
    <w:bookmarkStart w:id="72" w:name="recovery-1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13.4 Recovery</w:t>
      </w:r>
    </w:p>
    <w:p>
      <w:pPr>
        <w:pStyle w:val="FirstParagraph"/>
      </w:pPr>
      <w:r>
        <w:t xml:space="preserve">In caso di disconnessione, verificare alimentazione, USB, porta COM, driver e stato della montatura.</w:t>
      </w:r>
    </w:p>
    <w:bookmarkEnd w:id="72"/>
    <w:bookmarkEnd w:id="73"/>
    <w:bookmarkStart w:id="78" w:name="capitolo-14-ascom-platform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Capitolo 14 – ASCOM Platform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DSG-TM-001-14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74" w:name="funzione-3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14.1 Funzione</w:t>
      </w:r>
    </w:p>
    <w:p>
      <w:pPr>
        <w:pStyle w:val="FirstParagraph"/>
      </w:pPr>
      <w:r>
        <w:t xml:space="preserve">ASCOM fornisce il middleware standard tra applicazioni e dispositivi.</w:t>
      </w:r>
    </w:p>
    <w:bookmarkEnd w:id="74"/>
    <w:bookmarkStart w:id="75" w:name="driver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14.2 Driver</w:t>
      </w:r>
    </w:p>
    <w:p>
      <w:pPr>
        <w:pStyle w:val="FirstParagraph"/>
      </w:pPr>
      <w:r>
        <w:t xml:space="preserve">Montatura, camera, focuser e filter wheel.</w:t>
      </w:r>
    </w:p>
    <w:bookmarkEnd w:id="75"/>
    <w:bookmarkStart w:id="76" w:name="aggiornamenti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14.3 Aggiornamenti</w:t>
      </w:r>
    </w:p>
    <w:p>
      <w:pPr>
        <w:pStyle w:val="FirstParagraph"/>
      </w:pPr>
      <w:r>
        <w:t xml:space="preserve">Eseguire backup, installazione controllata, test di connessione e sessione di collaudo.</w:t>
      </w:r>
    </w:p>
    <w:bookmarkEnd w:id="76"/>
    <w:bookmarkStart w:id="77" w:name="regola-operativa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14.4 Regola operativa</w:t>
      </w:r>
    </w:p>
    <w:p>
      <w:pPr>
        <w:pStyle w:val="FirstParagraph"/>
      </w:pPr>
      <w:r>
        <w:t xml:space="preserve">Evitare accessi concorrenti e mantenere una matrice di compatibilità delle versioni.</w:t>
      </w:r>
    </w:p>
    <w:bookmarkEnd w:id="77"/>
    <w:bookmarkEnd w:id="78"/>
    <w:bookmarkStart w:id="82" w:name="capitolo-15-architettura-dellautomazione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Capitolo 15 – Architettura dell’automazione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DSG-TM-001-15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79" w:name="principi-1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15.1 Principi</w:t>
      </w:r>
    </w:p>
    <w:p>
      <w:pPr>
        <w:pStyle w:val="FirstParagraph"/>
      </w:pPr>
      <w:r>
        <w:t xml:space="preserve">Safety First, determinismo, fail safe e recovery.</w:t>
      </w:r>
    </w:p>
    <w:bookmarkEnd w:id="79"/>
    <w:bookmarkStart w:id="80" w:name="livelli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15.2 Livelli</w:t>
      </w:r>
    </w:p>
    <w:p>
      <w:pPr>
        <w:pStyle w:val="Compact"/>
        <w:numPr>
          <w:ilvl w:val="0"/>
          <w:numId w:val="1015"/>
        </w:numPr>
      </w:pPr>
      <w:r>
        <w:t xml:space="preserve">Alimentazione e rete.</w:t>
      </w:r>
    </w:p>
    <w:p>
      <w:pPr>
        <w:pStyle w:val="Compact"/>
        <w:numPr>
          <w:ilvl w:val="0"/>
          <w:numId w:val="1015"/>
        </w:numPr>
      </w:pPr>
      <w:r>
        <w:t xml:space="preserve">EAGLE e servizi.</w:t>
      </w:r>
    </w:p>
    <w:p>
      <w:pPr>
        <w:pStyle w:val="Compact"/>
        <w:numPr>
          <w:ilvl w:val="0"/>
          <w:numId w:val="1015"/>
        </w:numPr>
      </w:pPr>
      <w:r>
        <w:t xml:space="preserve">Dispositivi astronomici.</w:t>
      </w:r>
    </w:p>
    <w:p>
      <w:pPr>
        <w:pStyle w:val="Compact"/>
        <w:numPr>
          <w:ilvl w:val="0"/>
          <w:numId w:val="1015"/>
        </w:numPr>
      </w:pPr>
      <w:r>
        <w:t xml:space="preserve">Sequenze osservative.</w:t>
      </w:r>
    </w:p>
    <w:p>
      <w:pPr>
        <w:pStyle w:val="Compact"/>
        <w:numPr>
          <w:ilvl w:val="0"/>
          <w:numId w:val="1015"/>
        </w:numPr>
      </w:pPr>
      <w:r>
        <w:t xml:space="preserve">Supervisione e recovery.</w:t>
      </w:r>
    </w:p>
    <w:bookmarkEnd w:id="80"/>
    <w:bookmarkStart w:id="81" w:name="stati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15.3 Stati</w:t>
      </w:r>
    </w:p>
    <w:p>
      <w:pPr>
        <w:pStyle w:val="FirstParagraph"/>
      </w:pPr>
      <w:r>
        <w:t xml:space="preserve">OFFLINE, READY, INITIALIZATION, OBSERVING, RECOVERY e SAFE MODE.</w:t>
      </w:r>
    </w:p>
    <w:bookmarkEnd w:id="81"/>
    <w:bookmarkEnd w:id="82"/>
    <w:bookmarkStart w:id="86" w:name="Xf646407f3b8680e285dfe99788bc7b7b69527c4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Capitolo 16 – SOP di avvio dell’osservatorio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DSG-TM-001-16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83" w:name="prerequisiti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16.1 Prerequisiti</w:t>
      </w:r>
    </w:p>
    <w:p>
      <w:pPr>
        <w:pStyle w:val="FirstParagraph"/>
      </w:pPr>
      <w:r>
        <w:t xml:space="preserve">Alimentazione, Starlink, VPN, RUT955, EAGLE, cupola chiusa, montatura in Park e condizioni meteo compatibili.</w:t>
      </w:r>
    </w:p>
    <w:bookmarkEnd w:id="83"/>
    <w:bookmarkStart w:id="84" w:name="ordine-di-avvio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16.2 Ordine di avvio</w:t>
      </w:r>
    </w:p>
    <w:p>
      <w:pPr>
        <w:pStyle w:val="Compact"/>
        <w:numPr>
          <w:ilvl w:val="0"/>
          <w:numId w:val="1016"/>
        </w:numPr>
      </w:pPr>
      <w:r>
        <w:t xml:space="preserve">CPWI.</w:t>
      </w:r>
    </w:p>
    <w:p>
      <w:pPr>
        <w:pStyle w:val="Compact"/>
        <w:numPr>
          <w:ilvl w:val="0"/>
          <w:numId w:val="1016"/>
        </w:numPr>
      </w:pPr>
      <w:r>
        <w:t xml:space="preserve">Driver ASCOM.</w:t>
      </w:r>
    </w:p>
    <w:p>
      <w:pPr>
        <w:pStyle w:val="Compact"/>
        <w:numPr>
          <w:ilvl w:val="0"/>
          <w:numId w:val="1016"/>
        </w:numPr>
      </w:pPr>
      <w:r>
        <w:t xml:space="preserve">N.I.N.A.</w:t>
      </w:r>
    </w:p>
    <w:p>
      <w:pPr>
        <w:pStyle w:val="Compact"/>
        <w:numPr>
          <w:ilvl w:val="0"/>
          <w:numId w:val="1016"/>
        </w:numPr>
      </w:pPr>
      <w:r>
        <w:t xml:space="preserve">PHD2.</w:t>
      </w:r>
    </w:p>
    <w:p>
      <w:pPr>
        <w:pStyle w:val="Compact"/>
        <w:numPr>
          <w:ilvl w:val="0"/>
          <w:numId w:val="1016"/>
        </w:numPr>
      </w:pPr>
      <w:r>
        <w:t xml:space="preserve">ASTAP.</w:t>
      </w:r>
    </w:p>
    <w:bookmarkEnd w:id="84"/>
    <w:bookmarkStart w:id="85" w:name="controlli-1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16.3 Controlli</w:t>
      </w:r>
    </w:p>
    <w:p>
      <w:pPr>
        <w:pStyle w:val="FirstParagraph"/>
      </w:pPr>
      <w:r>
        <w:t xml:space="preserve">Verificare dispositivi, sensori OPEN/CLOSED/SAFE, montatura, camere e spazio disco.</w:t>
      </w:r>
    </w:p>
    <w:bookmarkEnd w:id="85"/>
    <w:bookmarkEnd w:id="86"/>
    <w:bookmarkStart w:id="90" w:name="capitolo-17-acquisizione-automatica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Capitolo 17 – Acquisizione automatica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DSG-TM-001-17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87" w:name="flusso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17.1 Flusso</w:t>
      </w:r>
    </w:p>
    <w:p>
      <w:pPr>
        <w:pStyle w:val="FirstParagraph"/>
      </w:pPr>
      <w:r>
        <w:t xml:space="preserve">Profilo N.I.N.A., verifica target, plate solving, autofocus, guida, acquisizione, dithering, controllo qualità, Meridian Flip e Park.</w:t>
      </w:r>
    </w:p>
    <w:bookmarkEnd w:id="87"/>
    <w:bookmarkStart w:id="88" w:name="qualità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17.2 Qualità</w:t>
      </w:r>
    </w:p>
    <w:p>
      <w:pPr>
        <w:pStyle w:val="FirstParagraph"/>
      </w:pPr>
      <w:r>
        <w:t xml:space="preserve">Monitorare FWHM, eccentricità, RMS guida, temperatura camera e tracking.</w:t>
      </w:r>
    </w:p>
    <w:bookmarkEnd w:id="88"/>
    <w:bookmarkStart w:id="89" w:name="report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17.3 Report</w:t>
      </w:r>
    </w:p>
    <w:p>
      <w:pPr>
        <w:pStyle w:val="FirstParagraph"/>
      </w:pPr>
      <w:r>
        <w:t xml:space="preserve">Registrare durata, target, numero immagini, integrazione, anomalie e recovery.</w:t>
      </w:r>
    </w:p>
    <w:bookmarkEnd w:id="89"/>
    <w:bookmarkEnd w:id="90"/>
    <w:bookmarkStart w:id="94" w:name="capitolo-18-emergenze-e-ripristino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Capitolo 18 – Emergenze e ripristino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DSG-TM-001-18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91" w:name="livelli-di-gravità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18.1 Livelli di gravità</w:t>
      </w:r>
    </w:p>
    <w:p>
      <w:pPr>
        <w:pStyle w:val="FirstParagraph"/>
      </w:pPr>
      <w:r>
        <w:t xml:space="preserve">INFO, WARNING, ERROR, CRITICAL ed EMERGENCY.</w:t>
      </w:r>
    </w:p>
    <w:bookmarkEnd w:id="91"/>
    <w:bookmarkStart w:id="92" w:name="safe-mode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18.2 SAFE MODE</w:t>
      </w:r>
    </w:p>
    <w:p>
      <w:pPr>
        <w:pStyle w:val="FirstParagraph"/>
      </w:pPr>
      <w:r>
        <w:t xml:space="preserve">Interrompere esposizioni, fermare guida, parcheggiare la montatura se possibile, chiudere la cupola se sicuro, salvare i log e notificare l’operatore.</w:t>
      </w:r>
    </w:p>
    <w:bookmarkEnd w:id="92"/>
    <w:bookmarkStart w:id="93" w:name="eventi-principali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18.3 Eventi principali</w:t>
      </w:r>
    </w:p>
    <w:p>
      <w:pPr>
        <w:pStyle w:val="FirstParagraph"/>
      </w:pPr>
      <w:r>
        <w:t xml:space="preserve">Perdita VPN, perdita Starlink, EAGLE non raggiungibile, sensori incoerenti, perdita guida, Pulse Guide Failed, camera disconnessa, autofocus fallito, Meridian Flip fallito e blackout.</w:t>
      </w:r>
    </w:p>
    <w:bookmarkEnd w:id="93"/>
    <w:bookmarkEnd w:id="94"/>
    <w:bookmarkStart w:id="99" w:name="capitolo-19-manutenzione-preventiva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Capitolo 19 – Manutenzione preventiva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DSG-TM-001-19</w:t>
      </w:r>
      <w:r>
        <w:br/>
      </w:r>
      <w:r>
        <w:rPr>
          <w:b/>
          <w:bCs/>
        </w:rPr>
        <w:t xml:space="preserve">Revisione:</w:t>
      </w:r>
      <w:r>
        <w:t xml:space="preserve"> </w:t>
      </w:r>
      <w:r>
        <w:t xml:space="preserve">0.1 Draft</w:t>
      </w:r>
    </w:p>
    <w:bookmarkStart w:id="95" w:name="tipologie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19.1 Tipologie</w:t>
      </w:r>
    </w:p>
    <w:p>
      <w:pPr>
        <w:pStyle w:val="FirstParagraph"/>
      </w:pPr>
      <w:r>
        <w:t xml:space="preserve">Preventiva, predittiva, correttiva ed evolutiva.</w:t>
      </w:r>
    </w:p>
    <w:bookmarkEnd w:id="95"/>
    <w:bookmarkStart w:id="96" w:name="frequenze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19.2 Frequenze</w:t>
      </w:r>
    </w:p>
    <w:p>
      <w:pPr>
        <w:pStyle w:val="FirstParagraph"/>
      </w:pPr>
      <w:r>
        <w:t xml:space="preserve">Controlli pre-sessione, settimanali, mensili, trimestrali, semestrali e annuali.</w:t>
      </w:r>
    </w:p>
    <w:bookmarkEnd w:id="96"/>
    <w:bookmarkStart w:id="97" w:name="ambiti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19.3 Ambiti</w:t>
      </w:r>
    </w:p>
    <w:p>
      <w:pPr>
        <w:pStyle w:val="FirstParagraph"/>
      </w:pPr>
      <w:r>
        <w:t xml:space="preserve">Struttura, cupola, impianto elettrico, rete, EAGLE, montatura, ottiche, camere e software.</w:t>
      </w:r>
    </w:p>
    <w:bookmarkEnd w:id="97"/>
    <w:bookmarkStart w:id="98" w:name="registri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19.4 Registri</w:t>
      </w:r>
    </w:p>
    <w:p>
      <w:pPr>
        <w:pStyle w:val="FirstParagraph"/>
      </w:pPr>
      <w:r>
        <w:t xml:space="preserve">Usare il Registro Manutenzioni</w:t>
      </w:r>
      <w:r>
        <w:t xml:space="preserve"> </w:t>
      </w:r>
      <w:r>
        <w:rPr>
          <w:rStyle w:val="VerbatimChar"/>
        </w:rPr>
        <w:t xml:space="preserve">DSG-MNT-LOG</w:t>
      </w:r>
      <w:r>
        <w:t xml:space="preserve"> </w:t>
      </w:r>
      <w:r>
        <w:t xml:space="preserve">e monitorare disponibilità, MTBF, MTTR e sessioni concluse senza anomalie.</w:t>
      </w:r>
    </w:p>
    <w:bookmarkEnd w:id="98"/>
    <w:bookmarkEnd w:id="99"/>
    <w:bookmarkStart w:id="100" w:name="dati-tecnici-da-validare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Dati tecnici da validare</w:t>
      </w:r>
    </w:p>
    <w:p>
      <w:pPr>
        <w:pStyle w:val="Compact"/>
        <w:numPr>
          <w:ilvl w:val="0"/>
          <w:numId w:val="1017"/>
        </w:numPr>
      </w:pPr>
      <w:r>
        <w:t xml:space="preserve">Numeri di serie dei dispositivi</w:t>
      </w:r>
    </w:p>
    <w:p>
      <w:pPr>
        <w:pStyle w:val="Compact"/>
        <w:numPr>
          <w:ilvl w:val="0"/>
          <w:numId w:val="1017"/>
        </w:numPr>
      </w:pPr>
      <w:r>
        <w:t xml:space="preserve">Assorbimenti elettrici reali</w:t>
      </w:r>
    </w:p>
    <w:p>
      <w:pPr>
        <w:pStyle w:val="Compact"/>
        <w:numPr>
          <w:ilvl w:val="0"/>
          <w:numId w:val="1017"/>
        </w:numPr>
      </w:pPr>
      <w:r>
        <w:t xml:space="preserve">Schema definitivo delle alimentazioni</w:t>
      </w:r>
    </w:p>
    <w:p>
      <w:pPr>
        <w:pStyle w:val="Compact"/>
        <w:numPr>
          <w:ilvl w:val="0"/>
          <w:numId w:val="1017"/>
        </w:numPr>
      </w:pPr>
      <w:r>
        <w:t xml:space="preserve">Indirizzamento IP completo</w:t>
      </w:r>
    </w:p>
    <w:p>
      <w:pPr>
        <w:pStyle w:val="Compact"/>
        <w:numPr>
          <w:ilvl w:val="0"/>
          <w:numId w:val="1017"/>
        </w:numPr>
      </w:pPr>
      <w:r>
        <w:t xml:space="preserve">Versioni software e firmware</w:t>
      </w:r>
    </w:p>
    <w:p>
      <w:pPr>
        <w:pStyle w:val="Compact"/>
        <w:numPr>
          <w:ilvl w:val="0"/>
          <w:numId w:val="1017"/>
        </w:numPr>
      </w:pPr>
      <w:r>
        <w:t xml:space="preserve">Backfocus nominali e reali</w:t>
      </w:r>
    </w:p>
    <w:p>
      <w:pPr>
        <w:pStyle w:val="Compact"/>
        <w:numPr>
          <w:ilvl w:val="0"/>
          <w:numId w:val="1017"/>
        </w:numPr>
      </w:pPr>
      <w:r>
        <w:t xml:space="preserve">Mappatura porte USB</w:t>
      </w:r>
    </w:p>
    <w:p>
      <w:pPr>
        <w:pStyle w:val="Compact"/>
        <w:numPr>
          <w:ilvl w:val="0"/>
          <w:numId w:val="1017"/>
        </w:numPr>
      </w:pPr>
      <w:r>
        <w:t xml:space="preserve">Posizione Park certificata</w:t>
      </w:r>
    </w:p>
    <w:p>
      <w:pPr>
        <w:pStyle w:val="Compact"/>
        <w:numPr>
          <w:ilvl w:val="0"/>
          <w:numId w:val="1017"/>
        </w:numPr>
      </w:pPr>
      <w:r>
        <w:t xml:space="preserve">Soglie meteo e logiche SAFE</w:t>
      </w:r>
    </w:p>
    <w:bookmarkEnd w:id="100"/>
    <w:bookmarkStart w:id="101" w:name="registro-revisioni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Registro revisioni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2026-07-13</w:t>
            </w:r>
          </w:p>
        </w:tc>
        <w:tc>
          <w:tcPr/>
          <w:p>
            <w:pPr>
              <w:pStyle w:val="Compact"/>
            </w:pPr>
            <w:r>
              <w:t xml:space="preserve">Massimo Mainini</w:t>
            </w:r>
          </w:p>
        </w:tc>
        <w:tc>
          <w:tcPr/>
          <w:p>
            <w:pPr>
              <w:pStyle w:val="Compact"/>
            </w:pPr>
            <w:r>
              <w:t xml:space="preserve">Creazione repository sorgente Markdown</w:t>
            </w:r>
          </w:p>
        </w:tc>
      </w:tr>
    </w:tbl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2026-07-13T14:31:16Z</dcterms:created>
  <dcterms:modified xsi:type="dcterms:W3CDTF">2026-07-13T14:31:16Z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