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3Jane Korea Marketing Proposal</w:t>
      </w:r>
    </w:p>
    <w:p>
      <w:pPr>
        <w:spacing w:after="240"/>
      </w:pPr>
      <w:r>
        <w:rPr>
          <w:sz w:val="18"/>
        </w:rPr>
        <w:t>Prepared by HOPE   September 2026   Three months from kickoff</w:t>
      </w:r>
    </w:p>
    <w:p>
      <w:r>
        <w:t>HOPE proposes a focused Korea program to turn product understanding into qualified supplier interest. The engagement combines a $50,000 marketing execution budget with a separate $3,000 monthly advisory retainer. Total proposed investment over three months is $59,000.</w:t>
      </w:r>
    </w:p>
    <w:p>
      <w:pPr>
        <w:pStyle w:val="Heading1"/>
      </w:pPr>
      <w:r>
        <w:t>The problem and priority</w:t>
      </w:r>
    </w:p>
    <w:p>
      <w:r>
        <w:t>3Jane now promotes credit financing for fintech lenders alongside USD3, sUSD3 and Levered Callable Capital (LCC). Korean demand and acquisition economics remain unvalidated. The task is to establish whether experienced Korean DeFi users understand the products and progress to eligible, measurable actions at an acceptable cost.</w:t>
      </w:r>
    </w:p>
    <w:p>
      <w:r>
        <w:t>Prioritize experienced stablecoin suppliers and larger liquidity providers. Use specialist X creators and Telegram publishers to bring them into a Korean information hub, then offer expert Q&amp;A and approved product journeys. Broad incentive campaigns and borrower acquisition are outside the initial focus.</w:t>
      </w:r>
    </w:p>
    <w:p>
      <w:pPr>
        <w:pStyle w:val="Heading1"/>
      </w:pPr>
      <w:r>
        <w:t>Messaging that matches the product</w:t>
      </w:r>
    </w:p>
    <w:p>
      <w:r>
        <w:t>Lead with cryptonative credit creation and explain how capital funds fintech credit facilities. Use the current LCC launch and public dashboard as timely education topics. Keep the products distinct:</w:t>
      </w:r>
    </w:p>
    <w:tbl>
      <w:tblPr>
        <w:tblW w:type="auto" w:w="0"/>
        <w:jc w:val="center"/>
        <w:tblLayout w:type="fixed"/>
        <w:tblLook w:firstColumn="1" w:firstRow="1" w:lastColumn="0" w:lastRow="0" w:noHBand="0" w:noVBand="1" w:val="04A0"/>
      </w:tblPr>
      <w:tblGrid>
        <w:gridCol w:w="1440"/>
        <w:gridCol w:w="8784"/>
      </w:tblGrid>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Product</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Korean education priority</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USD3</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Senior exposure to the credit pool. Explain yield sources, credit losses and redemption conditions.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sUSD3</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Junior, first-loss exposure. Explain how greater exposure changes both potential yield and losses.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LCC</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Margin backs a larger future funding commitment. Explain commitment fees, capital calls, funding deadlines and potential loss of posted margin.</w:t>
            </w:r>
          </w:p>
        </w:tc>
      </w:tr>
    </w:tbl>
    <w:p>
      <w:pPr>
        <w:spacing w:before="120"/>
      </w:pPr>
      <w:r>
        <w:t>Use dated, approved yield figures only. For LCC, specify that advertised APY refers to posted margin. Confirm Korean eligibility and current exit terms before activation. JANE incentives require current terms and approval. All product copy must state relevant credit, liquidity and smart-contract risks.</w:t>
      </w:r>
    </w:p>
    <w:p>
      <w:pPr>
        <w:pStyle w:val="Heading1"/>
      </w:pPr>
      <w:r>
        <w:t>Three month execution sequence</w:t>
      </w:r>
    </w:p>
    <w:tbl>
      <w:tblPr>
        <w:tblW w:type="auto" w:w="0"/>
        <w:jc w:val="center"/>
        <w:tblLayout w:type="fixed"/>
        <w:tblLook w:firstColumn="1" w:firstRow="1" w:lastColumn="0" w:lastRow="0" w:noHBand="0" w:noVBand="1" w:val="04A0"/>
      </w:tblPr>
      <w:tblGrid>
        <w:gridCol w:w="1440"/>
        <w:gridCol w:w="8784"/>
      </w:tblGrid>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Timing</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Priority and decision</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Month 1</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Launch Korean Telegram and FAQ, establish tracking, publish the first explainer and a small paid distribution wave. Review the baseline and agree cost thresholds after two weeks.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Month 2</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Run two expert sessions with Korean recaps, the creator program and the feature interview. Compare qualified participation and channel costs before further commitments.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Month 3</w:t>
            </w:r>
          </w:p>
        </w:tc>
        <w:tc>
          <w:tcPr>
            <w:tcW w:type="dxa" w:w="878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Amplify effective content, complete the video package and hold one Seoul event if qualified demand supports it. Follow up with consenting leads and evaluate continuation.</w:t>
            </w:r>
          </w:p>
        </w:tc>
      </w:tr>
    </w:tbl>
    <w:p>
      <w:r>
        <w:br w:type="page"/>
      </w:r>
    </w:p>
    <w:p>
      <w:pPr>
        <w:pStyle w:val="Heading1"/>
      </w:pPr>
      <w:r>
        <w:t>Execution scope and budget</w:t>
      </w:r>
    </w:p>
    <w:tbl>
      <w:tblPr>
        <w:tblW w:type="auto" w:w="0"/>
        <w:jc w:val="center"/>
        <w:tblLayout w:type="fixed"/>
        <w:tblLook w:firstColumn="1" w:firstRow="1" w:lastColumn="0" w:lastRow="0" w:noHBand="0" w:noVBand="1" w:val="04A0"/>
      </w:tblPr>
      <w:tblGrid>
        <w:gridCol w:w="2232"/>
        <w:gridCol w:w="6552"/>
        <w:gridCol w:w="1440"/>
      </w:tblGrid>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Workstream</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Included scope</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E9EEF8"/>
          </w:tcPr>
          <w:p>
            <w:pPr>
              <w:spacing w:after="0" w:line="245" w:lineRule="auto"/>
            </w:pPr>
            <w:r>
              <w:rPr>
                <w:b/>
                <w:sz w:val="19"/>
              </w:rPr>
              <w:t>USD</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Community</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Two Telegram channels, FAQ, entry event and three months of moderation</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$4,000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Expert education</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Two AMA or podcast sessions and two Korean recaps</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$6,000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Paid distribution</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18–24 X and Telegram placements, subject to partner quotations</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$9,000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Creator program</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One 2–4 week program including rewards, operations and review</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$5,000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PR and search</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Release, feature interview and video package at $2,000 each</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$6,000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Seoul event</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One meetup up to 100 people or a private dinner of about 20</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$5,000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Amplification reserve</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Additional distribution and campaign optimization, released against results</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$15,000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Marketing execution</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Three month budget ceiling</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$50,000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Advisory retainer</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$3,000 per month for three months, billed separately</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$9,000</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Total engagement</w:t>
            </w:r>
          </w:p>
        </w:tc>
        <w:tc>
          <w:tcPr>
            <w:tcW w:type="dxa" w:w="655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Marketing execution plus advisory</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tcPr>
          <w:p>
            <w:pPr>
              <w:spacing w:after="0" w:line="245" w:lineRule="auto"/>
            </w:pPr>
            <w:r>
              <w:rPr>
                <w:b w:val="0"/>
                <w:sz w:val="19"/>
              </w:rPr>
              <w:t>$59,000</w:t>
            </w:r>
          </w:p>
        </w:tc>
      </w:tr>
    </w:tbl>
    <w:p>
      <w:pPr>
        <w:spacing w:before="120"/>
      </w:pPr>
      <w:r>
        <w:t>The advisory retainer covers Korea strategy, messaging review, partner guidance and weekly optimization calls. Execution includes routine tracking and reporting. Third-party costs, taxes and payment charges must fit the approved budget or receive separate written approval.</w:t>
      </w:r>
    </w:p>
    <w:p>
      <w:pPr>
        <w:pStyle w:val="Heading1"/>
      </w:pPr>
      <w:r>
        <w:t>Measurement and spending discipline</w:t>
      </w:r>
    </w:p>
    <w:p>
      <w:r>
        <w:t>Judge performance by qualified community participation, tagged visits and verified eligible product actions. Track cost per qualified action by channel. Use 500–1,000 qualified members and 1,000–2,000 tagged sessions as directional three-month planning ranges, to confirm or reset after the first two weeks. These are targets, not guarantees. Set product-action targets only once access and attribution work.</w:t>
      </w:r>
    </w:p>
    <w:p>
      <w:r>
        <w:t>Keep the $15,000 reserve uncommitted until a channel meets agreed cost and quality thresholds. Pause new spend on underperforming channels after two consecutive biweekly reviews. If product access is unavailable, continue useful education and hold activation commitments. Prioritize retained, relevant users over rewarded joins or gross views.</w:t>
      </w:r>
    </w:p>
    <w:p>
      <w:r>
        <w:t>HOPE provides a weekly dashboard and monthly review covering delivery, results and committed versus paid spend. Exclude bots and duplicates, use consented lead data and reconcile product events. The final report and budget reconciliation are due within ten business days of campaign close.</w:t>
      </w:r>
    </w:p>
    <w:p>
      <w:pPr>
        <w:pStyle w:val="Heading1"/>
      </w:pPr>
      <w:r>
        <w:t>Responsibilities and approval</w:t>
      </w:r>
    </w:p>
    <w:p>
      <w:r>
        <w:t>HOPE manages Korean content, community, partners and reporting. 3Jane confirms product facts, Korean eligibility, incentive terms and final approvals, and provides its spokesperson, official assets and analytics access. Product changes trigger a pause in affected calls to action and prompt corrections.</w:t>
      </w:r>
    </w:p>
    <w:p>
      <w:r>
        <w:t>To proceed, approve the budget and advisory retainer, confirm kickoff and the campaign milestone, and nominate the product and approval owners. Agree partner quotations, payment terms and a two-business-day review window before bookings. Material reallocations and any increase in total spend require written approval.</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3Jane Korea Marketing Proposal</dc:title>
  <dc:subject>Three month Korea marketing program</dc:subject>
  <dc:creator>HOPE</dc:creator>
  <cp:keywords/>
  <dc:description>generated by python-docx</dc:description>
  <cp:lastModifiedBy/>
  <cp:revision>1</cp:revision>
  <dcterms:created xsi:type="dcterms:W3CDTF">2013-12-23T23:15:00Z</dcterms:created>
  <dcterms:modified xsi:type="dcterms:W3CDTF">2013-12-23T23:15:00Z</dcterms:modified>
  <cp:category/>
</cp:coreProperties>
</file>