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MAINZWARE</w:t>
      </w:r>
    </w:p>
    <w:p>
      <w:pPr>
        <w:pStyle w:val="Title"/>
      </w:pPr>
      <w:r>
        <w:t>Budget App</w:t>
        <w:br/>
        <w:t>Adaptive Receipt Classification &amp; Agentic Architecture</w:t>
      </w:r>
    </w:p>
    <w:p>
      <w:pPr>
        <w:jc w:val="center"/>
      </w:pPr>
      <w:r>
        <w:rPr>
          <w:b/>
        </w:rPr>
        <w:t>Pilot with Dev • Production-ready application architecture • App Store scale</w:t>
      </w:r>
    </w:p>
    <w:p>
      <w:pPr>
        <w:jc w:val="center"/>
      </w:pPr>
      <w:r>
        <w:t>September 2026</w:t>
      </w:r>
    </w:p>
    <w:p>
      <w:r>
        <w:br w:type="page"/>
      </w:r>
    </w:p>
    <w:p>
      <w:pPr>
        <w:pStyle w:val="Heading1"/>
      </w:pPr>
      <w:r>
        <w:t>1. Purpose</w:t>
      </w:r>
    </w:p>
    <w:p>
      <w:r>
        <w:t>This document defines the technical architecture for the MainzWare Budget application, with particular emphasis on intelligent receipt processing, item-level product classification, adaptive user memory, agentic clarification, and a production architecture capable of supporting a growing App Store user base.</w:t>
      </w:r>
    </w:p>
    <w:p>
      <w:r>
        <w:t>The initial deployment provides a controlled environment for validating the application with Dev. The underlying software architecture is designed so the same application can grow from a small deployment into a multi-tenant production service.</w:t>
      </w:r>
    </w:p>
    <w:p>
      <w:pPr>
        <w:pStyle w:val="Heading1"/>
      </w:pPr>
      <w:r>
        <w:t>2. Product Objective</w:t>
      </w:r>
    </w:p>
    <w:p>
      <w:r>
        <w:t>The budget application should automatically turn receipts into accurately categorized budget transactions. The important distinction is that categorization occurs at the individual product level rather than simply at the merchant level.</w:t>
      </w:r>
    </w:p>
    <w:p>
      <w:pPr>
        <w:pStyle w:val="ListBullet"/>
      </w:pPr>
      <w:r>
        <w:t>Read and extract individual receipt line items.</w:t>
      </w:r>
    </w:p>
    <w:p>
      <w:pPr>
        <w:pStyle w:val="ListBullet"/>
      </w:pPr>
      <w:r>
        <w:t>Understand abbreviated and imperfect receipt descriptions.</w:t>
      </w:r>
    </w:p>
    <w:p>
      <w:pPr>
        <w:pStyle w:val="ListBullet"/>
      </w:pPr>
      <w:r>
        <w:t>Normalize a receipt description into an understandable product concept.</w:t>
      </w:r>
    </w:p>
    <w:p>
      <w:pPr>
        <w:pStyle w:val="ListBullet"/>
      </w:pPr>
      <w:r>
        <w:t>Assign the product to the application's controlled budget taxonomy.</w:t>
      </w:r>
    </w:p>
    <w:p>
      <w:pPr>
        <w:pStyle w:val="ListBullet"/>
      </w:pPr>
      <w:r>
        <w:t>Provide a confidence score for each classification.</w:t>
      </w:r>
    </w:p>
    <w:p>
      <w:pPr>
        <w:pStyle w:val="ListBullet"/>
      </w:pPr>
      <w:r>
        <w:t>Ask the user for clarification when the available information is insufficient.</w:t>
      </w:r>
    </w:p>
    <w:p>
      <w:pPr>
        <w:pStyle w:val="ListBullet"/>
      </w:pPr>
      <w:r>
        <w:t>Remember the user's answer and use it on future receipts.</w:t>
      </w:r>
    </w:p>
    <w:p>
      <w:pPr>
        <w:pStyle w:val="ListBullet"/>
      </w:pPr>
      <w:r>
        <w:t>Improve classification through accumulated knowledge without requiring a developer to hard-code every new product.</w:t>
      </w:r>
    </w:p>
    <w:p>
      <w:pPr>
        <w:pStyle w:val="Heading1"/>
      </w:pPr>
      <w:r>
        <w:t>3. Example Product Classification</w:t>
      </w:r>
    </w:p>
    <w:p>
      <w:r>
        <w:t>A single Walmart receipt could contain products from many budget categories:</w:t>
      </w:r>
    </w:p>
    <w:tbl>
      <w:tblPr>
        <w:tblStyle w:val="TableGrid"/>
        <w:tblW w:type="auto" w:w="0"/>
        <w:tblLook w:firstColumn="1" w:firstRow="1" w:lastColumn="0" w:lastRow="0" w:noHBand="0" w:noVBand="1" w:val="04A0"/>
      </w:tblPr>
      <w:tblGrid>
        <w:gridCol w:w="3312"/>
        <w:gridCol w:w="3312"/>
        <w:gridCol w:w="3312"/>
      </w:tblGrid>
      <w:tr>
        <w:tc>
          <w:tcPr>
            <w:tcW w:type="dxa" w:w="3312"/>
          </w:tcPr>
          <w:p>
            <w:r>
              <w:t>Receipt description</w:t>
            </w:r>
          </w:p>
        </w:tc>
        <w:tc>
          <w:tcPr>
            <w:tcW w:type="dxa" w:w="3312"/>
          </w:tcPr>
          <w:p>
            <w:r>
              <w:t>Normalized product</w:t>
            </w:r>
          </w:p>
        </w:tc>
        <w:tc>
          <w:tcPr>
            <w:tcW w:type="dxa" w:w="3312"/>
          </w:tcPr>
          <w:p>
            <w:r>
              <w:t>Budget classification</w:t>
            </w:r>
          </w:p>
        </w:tc>
      </w:tr>
      <w:tr>
        <w:tc>
          <w:tcPr>
            <w:tcW w:type="dxa" w:w="3312"/>
          </w:tcPr>
          <w:p>
            <w:r>
              <w:t>GV 2% MILK</w:t>
            </w:r>
          </w:p>
        </w:tc>
        <w:tc>
          <w:tcPr>
            <w:tcW w:type="dxa" w:w="3312"/>
          </w:tcPr>
          <w:p>
            <w:r>
              <w:t>2% milk</w:t>
            </w:r>
          </w:p>
        </w:tc>
        <w:tc>
          <w:tcPr>
            <w:tcW w:type="dxa" w:w="3312"/>
          </w:tcPr>
          <w:p>
            <w:r>
              <w:t>Groceries</w:t>
            </w:r>
          </w:p>
        </w:tc>
      </w:tr>
      <w:tr>
        <w:tc>
          <w:tcPr>
            <w:tcW w:type="dxa" w:w="3312"/>
          </w:tcPr>
          <w:p>
            <w:r>
              <w:t>HDMI CBL 6FT BLK</w:t>
            </w:r>
          </w:p>
        </w:tc>
        <w:tc>
          <w:tcPr>
            <w:tcW w:type="dxa" w:w="3312"/>
          </w:tcPr>
          <w:p>
            <w:r>
              <w:t>6-foot HDMI cable</w:t>
            </w:r>
          </w:p>
        </w:tc>
        <w:tc>
          <w:tcPr>
            <w:tcW w:type="dxa" w:w="3312"/>
          </w:tcPr>
          <w:p>
            <w:r>
              <w:t>Electronics → Cables &amp; Accessories</w:t>
            </w:r>
          </w:p>
        </w:tc>
      </w:tr>
      <w:tr>
        <w:tc>
          <w:tcPr>
            <w:tcW w:type="dxa" w:w="3312"/>
          </w:tcPr>
          <w:p>
            <w:r>
              <w:t>PURINA DOG CHOW</w:t>
            </w:r>
          </w:p>
        </w:tc>
        <w:tc>
          <w:tcPr>
            <w:tcW w:type="dxa" w:w="3312"/>
          </w:tcPr>
          <w:p>
            <w:r>
              <w:t>Dog food</w:t>
            </w:r>
          </w:p>
        </w:tc>
        <w:tc>
          <w:tcPr>
            <w:tcW w:type="dxa" w:w="3312"/>
          </w:tcPr>
          <w:p>
            <w:r>
              <w:t>Pets</w:t>
            </w:r>
          </w:p>
        </w:tc>
      </w:tr>
      <w:tr>
        <w:tc>
          <w:tcPr>
            <w:tcW w:type="dxa" w:w="3312"/>
          </w:tcPr>
          <w:p>
            <w:r>
              <w:t>MAINSTAYS 5X7 FRAME</w:t>
            </w:r>
          </w:p>
        </w:tc>
        <w:tc>
          <w:tcPr>
            <w:tcW w:type="dxa" w:w="3312"/>
          </w:tcPr>
          <w:p>
            <w:r>
              <w:t>5×7 picture frame</w:t>
            </w:r>
          </w:p>
        </w:tc>
        <w:tc>
          <w:tcPr>
            <w:tcW w:type="dxa" w:w="3312"/>
          </w:tcPr>
          <w:p>
            <w:r>
              <w:t>Household → Home Decor</w:t>
            </w:r>
          </w:p>
        </w:tc>
      </w:tr>
    </w:tbl>
    <w:p>
      <w:r>
        <w:t>The system should reason about the product represented by the receipt text instead of attempting to maintain a manually coded list of every product in existence.</w:t>
      </w:r>
    </w:p>
    <w:p>
      <w:pPr>
        <w:pStyle w:val="Heading1"/>
      </w:pPr>
      <w:r>
        <w:t>4. Adaptive Classification Architecture</w:t>
      </w:r>
    </w:p>
    <w:p>
      <w:r>
        <w:t>The core processing pipeline is:</w:t>
      </w:r>
    </w:p>
    <w:p>
      <w:pPr>
        <w:jc w:val="center"/>
      </w:pPr>
      <w:r>
        <w:rPr>
          <w:b/>
        </w:rPr>
        <w:t>Receipt Image → OCR → Line Items → Normalize → Retrieve Knowledge → AI Classification → Confidence → Assign / Ask → Learn</w:t>
      </w:r>
    </w:p>
    <w:p>
      <w:r>
        <w:t>The classification engine combines general product knowledge with information learned specifically from the current user.</w:t>
      </w:r>
    </w:p>
    <w:p>
      <w:pPr>
        <w:pStyle w:val="ListBullet"/>
      </w:pPr>
      <w:r>
        <w:t>Exact user-memory match — highest-value signal when the same item has been classified before.</w:t>
      </w:r>
    </w:p>
    <w:p>
      <w:pPr>
        <w:pStyle w:val="ListBullet"/>
      </w:pPr>
      <w:r>
        <w:t>Semantic user-memory match — useful when the receipt description changes but the product is similar.</w:t>
      </w:r>
    </w:p>
    <w:p>
      <w:pPr>
        <w:pStyle w:val="ListBullet"/>
      </w:pPr>
      <w:r>
        <w:t>Global product knowledge — broad information about products and their typical categories.</w:t>
      </w:r>
    </w:p>
    <w:p>
      <w:pPr>
        <w:pStyle w:val="ListBullet"/>
      </w:pPr>
      <w:r>
        <w:t>AI reasoning — resolves previously unseen products and ambiguous descriptions.</w:t>
      </w:r>
    </w:p>
    <w:p>
      <w:pPr>
        <w:pStyle w:val="ListBullet"/>
      </w:pPr>
      <w:r>
        <w:t>User clarification — supplies missing information when automated confidence is insufficient.</w:t>
      </w:r>
    </w:p>
    <w:p>
      <w:pPr>
        <w:pStyle w:val="Heading1"/>
      </w:pPr>
      <w:r>
        <w:t>5. Agentic Behavior</w:t>
      </w:r>
    </w:p>
    <w:p>
      <w:r>
        <w:t>The receipt classifier should operate as an agentic workflow rather than a single AI prompt. The agent receives a task, retrieves relevant knowledge, reasons over the receipt item, chooses an action, and persists the result.</w:t>
      </w:r>
    </w:p>
    <w:p>
      <w:r>
        <w:t>Recommended agent capabilities:</w:t>
      </w:r>
    </w:p>
    <w:p>
      <w:pPr>
        <w:pStyle w:val="ListBullet"/>
      </w:pPr>
      <w:r>
        <w:t>search_user_memory()</w:t>
      </w:r>
    </w:p>
    <w:p>
      <w:pPr>
        <w:pStyle w:val="ListBullet"/>
      </w:pPr>
      <w:r>
        <w:t>search_global_knowledge()</w:t>
      </w:r>
    </w:p>
    <w:p>
      <w:pPr>
        <w:pStyle w:val="ListBullet"/>
      </w:pPr>
      <w:r>
        <w:t>classify_product()</w:t>
      </w:r>
    </w:p>
    <w:p>
      <w:pPr>
        <w:pStyle w:val="ListBullet"/>
      </w:pPr>
      <w:r>
        <w:t>request_user_clarification()</w:t>
      </w:r>
    </w:p>
    <w:p>
      <w:pPr>
        <w:pStyle w:val="ListBullet"/>
      </w:pPr>
      <w:r>
        <w:t>save_classification()</w:t>
      </w:r>
    </w:p>
    <w:p>
      <w:pPr>
        <w:pStyle w:val="ListBullet"/>
      </w:pPr>
      <w:r>
        <w:t>update_user_memory()</w:t>
      </w:r>
    </w:p>
    <w:p>
      <w:pPr>
        <w:pStyle w:val="ListBullet"/>
      </w:pPr>
      <w:r>
        <w:t>finalize_receipt()</w:t>
      </w:r>
    </w:p>
    <w:p>
      <w:r>
        <w:t>The agent should return structured data rather than free-form prose. A classification result should contain at least the normalized product, category, optional subcategory, confidence, and action.</w:t>
      </w:r>
    </w:p>
    <w:p>
      <w:pPr>
        <w:pStyle w:val="Heading1"/>
      </w:pPr>
      <w:r>
        <w:t>6. Self-Updating Knowledge</w:t>
      </w:r>
    </w:p>
    <w:p>
      <w:r>
        <w:t>The application should be self-updating through persistent knowledge rather than through self-modifying source code.</w:t>
      </w:r>
    </w:p>
    <w:p>
      <w:pPr>
        <w:pStyle w:val="ListBullet"/>
      </w:pPr>
      <w:r>
        <w:t>PHP code defines application behavior.</w:t>
      </w:r>
    </w:p>
    <w:p>
      <w:pPr>
        <w:pStyle w:val="ListBullet"/>
      </w:pPr>
      <w:r>
        <w:t>Agent policy defines how the agent should reason and use its tools.</w:t>
      </w:r>
    </w:p>
    <w:p>
      <w:pPr>
        <w:pStyle w:val="ListBullet"/>
      </w:pPr>
      <w:r>
        <w:t>PostgreSQL stores durable classifications, preferences and memories.</w:t>
      </w:r>
    </w:p>
    <w:p>
      <w:pPr>
        <w:pStyle w:val="ListBullet"/>
      </w:pPr>
      <w:r>
        <w:t>Redis manages queued work and transient processing state.</w:t>
      </w:r>
    </w:p>
    <w:p>
      <w:pPr>
        <w:pStyle w:val="ListBullet"/>
      </w:pPr>
      <w:r>
        <w:t>The AI model provides reasoning and classification.</w:t>
      </w:r>
    </w:p>
    <w:p>
      <w:pPr>
        <w:pStyle w:val="ListBullet"/>
      </w:pPr>
      <w:r>
        <w:t>User corrections become new knowledge.</w:t>
      </w:r>
    </w:p>
    <w:p>
      <w:r>
        <w:t>An agent instruction file such as agent.md may define the classifier's operating policy, but it should not be rewritten for every newly encountered product. New knowledge belongs in the database.</w:t>
      </w:r>
    </w:p>
    <w:p>
      <w:pPr>
        <w:pStyle w:val="Heading1"/>
      </w:pPr>
      <w:r>
        <w:t>7. User Clarification Loop</w:t>
      </w:r>
    </w:p>
    <w:p>
      <w:r>
        <w:t>When an item cannot be confidently classified, the system should ask the smallest useful question.</w:t>
      </w:r>
    </w:p>
    <w:p>
      <w:r>
        <w:t>Example:</w:t>
      </w:r>
    </w:p>
    <w:p>
      <w:pPr>
        <w:pStyle w:val="ListNumber"/>
      </w:pPr>
      <w:r>
        <w:t>Receipt item: EQ DISHWASH</w:t>
      </w:r>
    </w:p>
    <w:p>
      <w:pPr>
        <w:pStyle w:val="ListNumber"/>
      </w:pPr>
      <w:r>
        <w:t>System cannot confidently determine the exact product.</w:t>
      </w:r>
    </w:p>
    <w:p>
      <w:pPr>
        <w:pStyle w:val="ListNumber"/>
      </w:pPr>
      <w:r>
        <w:t>Agent asks: “What was EQ DISHWASH?”</w:t>
      </w:r>
    </w:p>
    <w:p>
      <w:pPr>
        <w:pStyle w:val="ListNumber"/>
      </w:pPr>
      <w:r>
        <w:t>User answers: “Dish soap.”</w:t>
      </w:r>
    </w:p>
    <w:p>
      <w:pPr>
        <w:pStyle w:val="ListNumber"/>
      </w:pPr>
      <w:r>
        <w:t>System stores the user's interpretation.</w:t>
      </w:r>
    </w:p>
    <w:p>
      <w:pPr>
        <w:pStyle w:val="ListNumber"/>
      </w:pPr>
      <w:r>
        <w:t>Current item is classified as Household → Cleaning.</w:t>
      </w:r>
    </w:p>
    <w:p>
      <w:pPr>
        <w:pStyle w:val="ListNumber"/>
      </w:pPr>
      <w:r>
        <w:t>Future matching or semantically similar receipt descriptions can use the learned information.</w:t>
      </w:r>
    </w:p>
    <w:p>
      <w:r>
        <w:t>This human-in-the-loop process is a central learning mechanism of the application.</w:t>
      </w:r>
    </w:p>
    <w:p>
      <w:pPr>
        <w:pStyle w:val="Heading1"/>
      </w:pPr>
      <w:r>
        <w:t>8. Confidence Policy</w:t>
      </w:r>
    </w:p>
    <w:p>
      <w:r>
        <w:t>Confidence should control whether the system acts automatically or asks the user. Initial thresholds can be tuned using real receipt data.</w:t>
      </w:r>
    </w:p>
    <w:tbl>
      <w:tblPr>
        <w:tblStyle w:val="TableGrid"/>
        <w:tblW w:type="auto" w:w="0"/>
        <w:tblLook w:firstColumn="1" w:firstRow="1" w:lastColumn="0" w:lastRow="0" w:noHBand="0" w:noVBand="1" w:val="04A0"/>
      </w:tblPr>
      <w:tblGrid>
        <w:gridCol w:w="3312"/>
        <w:gridCol w:w="3312"/>
        <w:gridCol w:w="3312"/>
      </w:tblGrid>
      <w:tr>
        <w:tc>
          <w:tcPr>
            <w:tcW w:type="dxa" w:w="3312"/>
          </w:tcPr>
          <w:p>
            <w:r>
              <w:t>Confidence</w:t>
            </w:r>
          </w:p>
        </w:tc>
        <w:tc>
          <w:tcPr>
            <w:tcW w:type="dxa" w:w="3312"/>
          </w:tcPr>
          <w:p>
            <w:r>
              <w:t>Initial action</w:t>
            </w:r>
          </w:p>
        </w:tc>
        <w:tc>
          <w:tcPr>
            <w:tcW w:type="dxa" w:w="3312"/>
          </w:tcPr>
          <w:p>
            <w:r>
              <w:t>Reason</w:t>
            </w:r>
          </w:p>
        </w:tc>
      </w:tr>
      <w:tr>
        <w:tc>
          <w:tcPr>
            <w:tcW w:type="dxa" w:w="3312"/>
          </w:tcPr>
          <w:p>
            <w:r>
              <w:t>95–100%</w:t>
            </w:r>
          </w:p>
        </w:tc>
        <w:tc>
          <w:tcPr>
            <w:tcW w:type="dxa" w:w="3312"/>
          </w:tcPr>
          <w:p>
            <w:r>
              <w:t>Automatically assign</w:t>
            </w:r>
          </w:p>
        </w:tc>
        <w:tc>
          <w:tcPr>
            <w:tcW w:type="dxa" w:w="3312"/>
          </w:tcPr>
          <w:p>
            <w:r>
              <w:t>High confidence</w:t>
            </w:r>
          </w:p>
        </w:tc>
      </w:tr>
      <w:tr>
        <w:tc>
          <w:tcPr>
            <w:tcW w:type="dxa" w:w="3312"/>
          </w:tcPr>
          <w:p>
            <w:r>
              <w:t>85–94%</w:t>
            </w:r>
          </w:p>
        </w:tc>
        <w:tc>
          <w:tcPr>
            <w:tcW w:type="dxa" w:w="3312"/>
          </w:tcPr>
          <w:p>
            <w:r>
              <w:t>Assign with review option</w:t>
            </w:r>
          </w:p>
        </w:tc>
        <w:tc>
          <w:tcPr>
            <w:tcW w:type="dxa" w:w="3312"/>
          </w:tcPr>
          <w:p>
            <w:r>
              <w:t>Likely correct</w:t>
            </w:r>
          </w:p>
        </w:tc>
      </w:tr>
      <w:tr>
        <w:tc>
          <w:tcPr>
            <w:tcW w:type="dxa" w:w="3312"/>
          </w:tcPr>
          <w:p>
            <w:r>
              <w:t>70–84%</w:t>
            </w:r>
          </w:p>
        </w:tc>
        <w:tc>
          <w:tcPr>
            <w:tcW w:type="dxa" w:w="3312"/>
          </w:tcPr>
          <w:p>
            <w:r>
              <w:t>Ask user</w:t>
            </w:r>
          </w:p>
        </w:tc>
        <w:tc>
          <w:tcPr>
            <w:tcW w:type="dxa" w:w="3312"/>
          </w:tcPr>
          <w:p>
            <w:r>
              <w:t>Meaningful ambiguity</w:t>
            </w:r>
          </w:p>
        </w:tc>
      </w:tr>
      <w:tr>
        <w:tc>
          <w:tcPr>
            <w:tcW w:type="dxa" w:w="3312"/>
          </w:tcPr>
          <w:p>
            <w:r>
              <w:t>&lt;70%</w:t>
            </w:r>
          </w:p>
        </w:tc>
        <w:tc>
          <w:tcPr>
            <w:tcW w:type="dxa" w:w="3312"/>
          </w:tcPr>
          <w:p>
            <w:r>
              <w:t>Ask user</w:t>
            </w:r>
          </w:p>
        </w:tc>
        <w:tc>
          <w:tcPr>
            <w:tcW w:type="dxa" w:w="3312"/>
          </w:tcPr>
          <w:p>
            <w:r>
              <w:t>Insufficient information</w:t>
            </w:r>
          </w:p>
        </w:tc>
      </w:tr>
    </w:tbl>
    <w:p>
      <w:pPr>
        <w:pStyle w:val="Heading1"/>
      </w:pPr>
      <w:r>
        <w:t>9. Controlled Budget Taxonomy</w:t>
      </w:r>
    </w:p>
    <w:p>
      <w:r>
        <w:t>The application owns the budget taxonomy. AI selects from the available categories rather than freely creating categories.</w:t>
      </w:r>
    </w:p>
    <w:p>
      <w:pPr>
        <w:pStyle w:val="ListBullet"/>
      </w:pPr>
      <w:r>
        <w:t>Groceries</w:t>
      </w:r>
    </w:p>
    <w:p>
      <w:pPr>
        <w:pStyle w:val="ListBullet"/>
      </w:pPr>
      <w:r>
        <w:t>Dining</w:t>
      </w:r>
    </w:p>
    <w:p>
      <w:pPr>
        <w:pStyle w:val="ListBullet"/>
      </w:pPr>
      <w:r>
        <w:t>Household → Cleaning / Supplies / Home Decor / Furniture</w:t>
      </w:r>
    </w:p>
    <w:p>
      <w:pPr>
        <w:pStyle w:val="ListBullet"/>
      </w:pPr>
      <w:r>
        <w:t>Electronics → Devices / Computers / Audio / Cables &amp; Accessories</w:t>
      </w:r>
    </w:p>
    <w:p>
      <w:pPr>
        <w:pStyle w:val="ListBullet"/>
      </w:pPr>
      <w:r>
        <w:t>Clothing</w:t>
      </w:r>
    </w:p>
    <w:p>
      <w:pPr>
        <w:pStyle w:val="ListBullet"/>
      </w:pPr>
      <w:r>
        <w:t>Pets</w:t>
      </w:r>
    </w:p>
    <w:p>
      <w:pPr>
        <w:pStyle w:val="ListBullet"/>
      </w:pPr>
      <w:r>
        <w:t>Transportation</w:t>
      </w:r>
    </w:p>
    <w:p>
      <w:pPr>
        <w:pStyle w:val="ListBullet"/>
      </w:pPr>
      <w:r>
        <w:t>Medical</w:t>
      </w:r>
    </w:p>
    <w:p>
      <w:pPr>
        <w:pStyle w:val="ListBullet"/>
      </w:pPr>
      <w:r>
        <w:t>Entertainment</w:t>
      </w:r>
    </w:p>
    <w:p>
      <w:pPr>
        <w:pStyle w:val="ListBullet"/>
      </w:pPr>
      <w:r>
        <w:t>Personal Care</w:t>
      </w:r>
    </w:p>
    <w:p>
      <w:pPr>
        <w:pStyle w:val="ListBullet"/>
      </w:pPr>
      <w:r>
        <w:t>Gifts</w:t>
      </w:r>
    </w:p>
    <w:p>
      <w:pPr>
        <w:pStyle w:val="ListBullet"/>
      </w:pPr>
      <w:r>
        <w:t>Other</w:t>
      </w:r>
    </w:p>
    <w:p>
      <w:r>
        <w:t>The taxonomy can evolve as a product feature, while product understanding remains separate from the user's budget-category preferences.</w:t>
      </w:r>
    </w:p>
    <w:p>
      <w:pPr>
        <w:pStyle w:val="Heading1"/>
      </w:pPr>
      <w:r>
        <w:t>10. User Memory vs. Global Knowledge</w:t>
      </w:r>
    </w:p>
    <w:tbl>
      <w:tblPr>
        <w:tblStyle w:val="TableGrid"/>
        <w:tblW w:type="auto" w:w="0"/>
        <w:tblLook w:firstColumn="1" w:firstRow="1" w:lastColumn="0" w:lastRow="0" w:noHBand="0" w:noVBand="1" w:val="04A0"/>
      </w:tblPr>
      <w:tblGrid>
        <w:gridCol w:w="3312"/>
        <w:gridCol w:w="3312"/>
        <w:gridCol w:w="3312"/>
      </w:tblGrid>
      <w:tr>
        <w:tc>
          <w:tcPr>
            <w:tcW w:type="dxa" w:w="3312"/>
          </w:tcPr>
          <w:p>
            <w:r>
              <w:t>Knowledge layer</w:t>
            </w:r>
          </w:p>
        </w:tc>
        <w:tc>
          <w:tcPr>
            <w:tcW w:type="dxa" w:w="3312"/>
          </w:tcPr>
          <w:p>
            <w:r>
              <w:t>Purpose</w:t>
            </w:r>
          </w:p>
        </w:tc>
        <w:tc>
          <w:tcPr>
            <w:tcW w:type="dxa" w:w="3312"/>
          </w:tcPr>
          <w:p>
            <w:r>
              <w:t>Visibility</w:t>
            </w:r>
          </w:p>
        </w:tc>
      </w:tr>
      <w:tr>
        <w:tc>
          <w:tcPr>
            <w:tcW w:type="dxa" w:w="3312"/>
          </w:tcPr>
          <w:p>
            <w:r>
              <w:t>User memory</w:t>
            </w:r>
          </w:p>
        </w:tc>
        <w:tc>
          <w:tcPr>
            <w:tcW w:type="dxa" w:w="3312"/>
          </w:tcPr>
          <w:p>
            <w:r>
              <w:t>User's classifications and preferences</w:t>
            </w:r>
          </w:p>
        </w:tc>
        <w:tc>
          <w:tcPr>
            <w:tcW w:type="dxa" w:w="3312"/>
          </w:tcPr>
          <w:p>
            <w:r>
              <w:t>Private to that user</w:t>
            </w:r>
          </w:p>
        </w:tc>
      </w:tr>
      <w:tr>
        <w:tc>
          <w:tcPr>
            <w:tcW w:type="dxa" w:w="3312"/>
          </w:tcPr>
          <w:p>
            <w:r>
              <w:t>Global knowledge</w:t>
            </w:r>
          </w:p>
        </w:tc>
        <w:tc>
          <w:tcPr>
            <w:tcW w:type="dxa" w:w="3312"/>
          </w:tcPr>
          <w:p>
            <w:r>
              <w:t>General product knowledge useful across users</w:t>
            </w:r>
          </w:p>
        </w:tc>
        <w:tc>
          <w:tcPr>
            <w:tcW w:type="dxa" w:w="3312"/>
          </w:tcPr>
          <w:p>
            <w:r>
              <w:t>Shared</w:t>
            </w:r>
          </w:p>
        </w:tc>
      </w:tr>
      <w:tr>
        <w:tc>
          <w:tcPr>
            <w:tcW w:type="dxa" w:w="3312"/>
          </w:tcPr>
          <w:p>
            <w:r>
              <w:t>Receipt context</w:t>
            </w:r>
          </w:p>
        </w:tc>
        <w:tc>
          <w:tcPr>
            <w:tcW w:type="dxa" w:w="3312"/>
          </w:tcPr>
          <w:p>
            <w:r>
              <w:t>Information specific to current receipt</w:t>
            </w:r>
          </w:p>
        </w:tc>
        <w:tc>
          <w:tcPr>
            <w:tcW w:type="dxa" w:w="3312"/>
          </w:tcPr>
          <w:p>
            <w:r>
              <w:t>Current task</w:t>
            </w:r>
          </w:p>
        </w:tc>
      </w:tr>
      <w:tr>
        <w:tc>
          <w:tcPr>
            <w:tcW w:type="dxa" w:w="3312"/>
          </w:tcPr>
          <w:p>
            <w:r>
              <w:t>Agent task state</w:t>
            </w:r>
          </w:p>
        </w:tc>
        <w:tc>
          <w:tcPr>
            <w:tcW w:type="dxa" w:w="3312"/>
          </w:tcPr>
          <w:p>
            <w:r>
              <w:t>Processing status and workflow state</w:t>
            </w:r>
          </w:p>
        </w:tc>
        <w:tc>
          <w:tcPr>
            <w:tcW w:type="dxa" w:w="3312"/>
          </w:tcPr>
          <w:p>
            <w:r>
              <w:t>System/internal</w:t>
            </w:r>
          </w:p>
        </w:tc>
      </w:tr>
    </w:tbl>
    <w:p>
      <w:r>
        <w:t>A user's correction should normally become private user knowledge first. Promotion of information into global knowledge should use a deliberate validation process.</w:t>
      </w:r>
    </w:p>
    <w:p>
      <w:pPr>
        <w:pStyle w:val="Heading1"/>
      </w:pPr>
      <w:r>
        <w:t>11. Logical System Architecture</w:t>
      </w:r>
    </w:p>
    <w:p>
      <w:r>
        <w:t>Recommended architecture:</w:t>
      </w:r>
    </w:p>
    <w:p>
      <w:pPr>
        <w:pStyle w:val="ListBullet"/>
      </w:pPr>
      <w:r>
        <w:t>Mobile App</w:t>
      </w:r>
    </w:p>
    <w:p>
      <w:pPr>
        <w:pStyle w:val="ListBullet"/>
      </w:pPr>
      <w:r>
        <w:t>PHP REST API</w:t>
      </w:r>
    </w:p>
    <w:p>
      <w:pPr>
        <w:pStyle w:val="ListBullet"/>
      </w:pPr>
      <w:r>
        <w:t>Durable Job Queue (Redis)</w:t>
      </w:r>
    </w:p>
    <w:p>
      <w:pPr>
        <w:pStyle w:val="ListBullet"/>
      </w:pPr>
      <w:r>
        <w:t>Agent Worker</w:t>
      </w:r>
    </w:p>
    <w:p>
      <w:pPr>
        <w:pStyle w:val="ListBullet"/>
      </w:pPr>
      <w:r>
        <w:t>PostgreSQL</w:t>
      </w:r>
    </w:p>
    <w:p>
      <w:pPr>
        <w:pStyle w:val="ListBullet"/>
      </w:pPr>
      <w:r>
        <w:t>AI Inference via Ollama</w:t>
      </w:r>
    </w:p>
    <w:p>
      <w:pPr>
        <w:pStyle w:val="ListBullet"/>
      </w:pPr>
      <w:r>
        <w:t>OCR / Receipt Extraction</w:t>
      </w:r>
    </w:p>
    <w:p>
      <w:pPr>
        <w:pStyle w:val="ListBullet"/>
      </w:pPr>
      <w:r>
        <w:t>Receipt Image/File Storage</w:t>
      </w:r>
    </w:p>
    <w:p>
      <w:r>
        <w:t>Processing flow:</w:t>
      </w:r>
    </w:p>
    <w:p>
      <w:pPr>
        <w:jc w:val="center"/>
      </w:pPr>
      <w:r>
        <w:rPr>
          <w:b/>
        </w:rPr>
        <w:t>Mobile App → PHP API → Queue → Agent Worker → Knowledge + AI → PostgreSQL → Mobile App</w:t>
      </w:r>
    </w:p>
    <w:p>
      <w:pPr>
        <w:pStyle w:val="Heading1"/>
      </w:pPr>
      <w:r>
        <w:t>12. Asynchronous Processing</w:t>
      </w:r>
    </w:p>
    <w:p>
      <w:r>
        <w:t>The API should not wait for AI inference to complete during a receipt upload request. Receipt processing should be represented as durable jobs.</w:t>
      </w:r>
    </w:p>
    <w:p>
      <w:pPr>
        <w:pStyle w:val="ListBullet"/>
      </w:pPr>
      <w:r>
        <w:t>receipt.ocr</w:t>
      </w:r>
    </w:p>
    <w:p>
      <w:pPr>
        <w:pStyle w:val="ListBullet"/>
      </w:pPr>
      <w:r>
        <w:t>receipt.classify</w:t>
      </w:r>
    </w:p>
    <w:p>
      <w:pPr>
        <w:pStyle w:val="ListBullet"/>
      </w:pPr>
      <w:r>
        <w:t>agent.clarification</w:t>
      </w:r>
    </w:p>
    <w:p>
      <w:pPr>
        <w:pStyle w:val="ListBullet"/>
      </w:pPr>
      <w:r>
        <w:t>memory.index</w:t>
      </w:r>
    </w:p>
    <w:p>
      <w:pPr>
        <w:pStyle w:val="ListBullet"/>
      </w:pPr>
      <w:r>
        <w:t>global.knowledge.review</w:t>
      </w:r>
    </w:p>
    <w:p>
      <w:pPr>
        <w:pStyle w:val="ListBullet"/>
      </w:pPr>
      <w:r>
        <w:t>cleanup</w:t>
      </w:r>
    </w:p>
    <w:p>
      <w:r>
        <w:t>This allows multiple users to submit receipts while workers process the workload in an orderly manner. It also allows jobs to survive application restarts and temporary failures.</w:t>
      </w:r>
    </w:p>
    <w:p>
      <w:pPr>
        <w:pStyle w:val="Heading1"/>
      </w:pPr>
      <w:r>
        <w:t>13. Agent Task State</w:t>
      </w:r>
    </w:p>
    <w:p>
      <w:r>
        <w:t>Recommended state machine:</w:t>
      </w:r>
    </w:p>
    <w:p>
      <w:pPr>
        <w:jc w:val="center"/>
      </w:pPr>
      <w:r>
        <w:rPr>
          <w:b/>
        </w:rPr>
        <w:t>RECEIVED → OCR_PROCESSING → ITEM_EXTRACTION → CLASSIFYING → ASSIGNED</w:t>
      </w:r>
    </w:p>
    <w:p>
      <w:pPr>
        <w:jc w:val="center"/>
      </w:pPr>
      <w:r>
        <w:rPr>
          <w:b/>
        </w:rPr>
        <w:t>CLASSIFYING → NEEDS_USER → WAITING_FOR_USER → USER_RESPONDED → LEARN_MEMORY → ASSIGNED</w:t>
      </w:r>
    </w:p>
    <w:p>
      <w:r>
        <w:t>Explicit retry and failure states should be included so incomplete work can be diagnosed and recovered.</w:t>
      </w:r>
    </w:p>
    <w:p>
      <w:pPr>
        <w:pStyle w:val="Heading1"/>
      </w:pPr>
      <w:r>
        <w:t>14. Database Architecture</w:t>
      </w:r>
    </w:p>
    <w:p>
      <w:r>
        <w:t>Core entities should include:</w:t>
      </w:r>
    </w:p>
    <w:p>
      <w:pPr>
        <w:pStyle w:val="ListBullet"/>
      </w:pPr>
      <w:r>
        <w:t>users</w:t>
      </w:r>
    </w:p>
    <w:p>
      <w:pPr>
        <w:pStyle w:val="ListBullet"/>
      </w:pPr>
      <w:r>
        <w:t>budget_categories</w:t>
      </w:r>
    </w:p>
    <w:p>
      <w:pPr>
        <w:pStyle w:val="ListBullet"/>
      </w:pPr>
      <w:r>
        <w:t>receipts</w:t>
      </w:r>
    </w:p>
    <w:p>
      <w:pPr>
        <w:pStyle w:val="ListBullet"/>
      </w:pPr>
      <w:r>
        <w:t>receipt_items</w:t>
      </w:r>
    </w:p>
    <w:p>
      <w:pPr>
        <w:pStyle w:val="ListBullet"/>
      </w:pPr>
      <w:r>
        <w:t>classification_results</w:t>
      </w:r>
    </w:p>
    <w:p>
      <w:pPr>
        <w:pStyle w:val="ListBullet"/>
      </w:pPr>
      <w:r>
        <w:t>user_item_memory</w:t>
      </w:r>
    </w:p>
    <w:p>
      <w:pPr>
        <w:pStyle w:val="ListBullet"/>
      </w:pPr>
      <w:r>
        <w:t>global_product_knowledge</w:t>
      </w:r>
    </w:p>
    <w:p>
      <w:pPr>
        <w:pStyle w:val="ListBullet"/>
      </w:pPr>
      <w:r>
        <w:t>agent_tasks</w:t>
      </w:r>
    </w:p>
    <w:p>
      <w:pPr>
        <w:pStyle w:val="ListBullet"/>
      </w:pPr>
      <w:r>
        <w:t>agent_events</w:t>
      </w:r>
    </w:p>
    <w:p>
      <w:pPr>
        <w:pStyle w:val="ListBullet"/>
      </w:pPr>
      <w:r>
        <w:t>agent_clarifications</w:t>
      </w:r>
    </w:p>
    <w:p>
      <w:pPr>
        <w:pStyle w:val="ListBullet"/>
      </w:pPr>
      <w:r>
        <w:t>user_preferences</w:t>
      </w:r>
    </w:p>
    <w:p>
      <w:pPr>
        <w:pStyle w:val="ListBullet"/>
      </w:pPr>
      <w:r>
        <w:t>embedding_records</w:t>
      </w:r>
    </w:p>
    <w:p>
      <w:r>
        <w:t>PostgreSQL can also support semantic/vector retrieval through pgvector or an equivalent vector capability when semantic memory is introduced.</w:t>
      </w:r>
    </w:p>
    <w:p>
      <w:pPr>
        <w:pStyle w:val="Heading1"/>
      </w:pPr>
      <w:r>
        <w:t>15. Initial Deployment</w:t>
      </w:r>
    </w:p>
    <w:p>
      <w:r>
        <w:t>The initial Bluehost Standard NVMe 4 VPS can host the pilot environment, including the PHP API, PostgreSQL, Redis, agent worker and Ollama, provided resource usage is monitored.</w:t>
      </w:r>
    </w:p>
    <w:p>
      <w:pPr>
        <w:pStyle w:val="ListBullet"/>
      </w:pPr>
      <w:r>
        <w:t>Start with a small quantized model appropriate for the available memory.</w:t>
      </w:r>
    </w:p>
    <w:p>
      <w:pPr>
        <w:pStyle w:val="ListBullet"/>
      </w:pPr>
      <w:r>
        <w:t>Limit active Ollama inference initially to maintain API and database responsiveness.</w:t>
      </w:r>
    </w:p>
    <w:p>
      <w:pPr>
        <w:pStyle w:val="ListBullet"/>
      </w:pPr>
      <w:r>
        <w:t>Use the queue to absorb simultaneous receipt submissions.</w:t>
      </w:r>
    </w:p>
    <w:p>
      <w:pPr>
        <w:pStyle w:val="ListBullet"/>
      </w:pPr>
      <w:r>
        <w:t>Keep receipt files controlled and monitored for storage growth.</w:t>
      </w:r>
    </w:p>
    <w:p>
      <w:pPr>
        <w:pStyle w:val="ListBullet"/>
      </w:pPr>
      <w:r>
        <w:t>Collect performance measurements from the beginning.</w:t>
      </w:r>
    </w:p>
    <w:p>
      <w:pPr>
        <w:pStyle w:val="Heading1"/>
      </w:pPr>
      <w:r>
        <w:t>16. Production Deployment</w:t>
      </w:r>
    </w:p>
    <w:p>
      <w:r>
        <w:t>As the application moves toward public App Store availability, infrastructure should be able to separate workloads.</w:t>
      </w:r>
    </w:p>
    <w:p>
      <w:pPr>
        <w:jc w:val="center"/>
      </w:pPr>
      <w:r>
        <w:rPr>
          <w:b/>
        </w:rPr>
        <w:t>Load Balancer → API Servers → Queue → Worker Pool → Database</w:t>
      </w:r>
    </w:p>
    <w:p>
      <w:pPr>
        <w:jc w:val="center"/>
      </w:pPr>
      <w:r>
        <w:rPr>
          <w:b/>
        </w:rPr>
        <w:t xml:space="preserve">                                                             ↘ AI Inference Pool</w:t>
      </w:r>
    </w:p>
    <w:p>
      <w:r>
        <w:t>The API, worker pool, database and AI inference layer should be independently deployable so each can be scaled according to its bottleneck.</w:t>
      </w:r>
    </w:p>
    <w:p>
      <w:pPr>
        <w:pStyle w:val="Heading1"/>
      </w:pPr>
      <w:r>
        <w:t>17. Scaling Strategy</w:t>
      </w:r>
    </w:p>
    <w:p>
      <w:r>
        <w:t>Infrastructure capacity should be determined by actual workload. Important workload variables include concurrent requests, receipt scans, line-item volume, AI inference time and database activity.</w:t>
      </w:r>
    </w:p>
    <w:tbl>
      <w:tblPr>
        <w:tblStyle w:val="TableGrid"/>
        <w:tblW w:type="auto" w:w="0"/>
        <w:tblLook w:firstColumn="1" w:firstRow="1" w:lastColumn="0" w:lastRow="0" w:noHBand="0" w:noVBand="1" w:val="04A0"/>
      </w:tblPr>
      <w:tblGrid>
        <w:gridCol w:w="4968"/>
        <w:gridCol w:w="4968"/>
      </w:tblGrid>
      <w:tr>
        <w:tc>
          <w:tcPr>
            <w:tcW w:type="dxa" w:w="4968"/>
          </w:tcPr>
          <w:p>
            <w:r>
              <w:t>Signal</w:t>
            </w:r>
          </w:p>
        </w:tc>
        <w:tc>
          <w:tcPr>
            <w:tcW w:type="dxa" w:w="4968"/>
          </w:tcPr>
          <w:p>
            <w:r>
              <w:t>Possible response</w:t>
            </w:r>
          </w:p>
        </w:tc>
      </w:tr>
      <w:tr>
        <w:tc>
          <w:tcPr>
            <w:tcW w:type="dxa" w:w="4968"/>
          </w:tcPr>
          <w:p>
            <w:r>
              <w:t>Sustained high CPU</w:t>
            </w:r>
          </w:p>
        </w:tc>
        <w:tc>
          <w:tcPr>
            <w:tcW w:type="dxa" w:w="4968"/>
          </w:tcPr>
          <w:p>
            <w:r>
              <w:t>Increase compute capacity or distribute workers</w:t>
            </w:r>
          </w:p>
        </w:tc>
      </w:tr>
      <w:tr>
        <w:tc>
          <w:tcPr>
            <w:tcW w:type="dxa" w:w="4968"/>
          </w:tcPr>
          <w:p>
            <w:r>
              <w:t>High RAM / swap activity</w:t>
            </w:r>
          </w:p>
        </w:tc>
        <w:tc>
          <w:tcPr>
            <w:tcW w:type="dxa" w:w="4968"/>
          </w:tcPr>
          <w:p>
            <w:r>
              <w:t>Increase memory and/or separate AI inference</w:t>
            </w:r>
          </w:p>
        </w:tc>
      </w:tr>
      <w:tr>
        <w:tc>
          <w:tcPr>
            <w:tcW w:type="dxa" w:w="4968"/>
          </w:tcPr>
          <w:p>
            <w:r>
              <w:t>Growing receipt queue</w:t>
            </w:r>
          </w:p>
        </w:tc>
        <w:tc>
          <w:tcPr>
            <w:tcW w:type="dxa" w:w="4968"/>
          </w:tcPr>
          <w:p>
            <w:r>
              <w:t>Increase worker capacity</w:t>
            </w:r>
          </w:p>
        </w:tc>
      </w:tr>
      <w:tr>
        <w:tc>
          <w:tcPr>
            <w:tcW w:type="dxa" w:w="4968"/>
          </w:tcPr>
          <w:p>
            <w:r>
              <w:t>Long AI inference latency</w:t>
            </w:r>
          </w:p>
        </w:tc>
        <w:tc>
          <w:tcPr>
            <w:tcW w:type="dxa" w:w="4968"/>
          </w:tcPr>
          <w:p>
            <w:r>
              <w:t>Use stronger/dedicated inference infrastructure</w:t>
            </w:r>
          </w:p>
        </w:tc>
      </w:tr>
      <w:tr>
        <w:tc>
          <w:tcPr>
            <w:tcW w:type="dxa" w:w="4968"/>
          </w:tcPr>
          <w:p>
            <w:r>
              <w:t>API latency under AI load</w:t>
            </w:r>
          </w:p>
        </w:tc>
        <w:tc>
          <w:tcPr>
            <w:tcW w:type="dxa" w:w="4968"/>
          </w:tcPr>
          <w:p>
            <w:r>
              <w:t>Separate API and AI workloads</w:t>
            </w:r>
          </w:p>
        </w:tc>
      </w:tr>
      <w:tr>
        <w:tc>
          <w:tcPr>
            <w:tcW w:type="dxa" w:w="4968"/>
          </w:tcPr>
          <w:p>
            <w:r>
              <w:t>Database latency</w:t>
            </w:r>
          </w:p>
        </w:tc>
        <w:tc>
          <w:tcPr>
            <w:tcW w:type="dxa" w:w="4968"/>
          </w:tcPr>
          <w:p>
            <w:r>
              <w:t>Tune queries/indexes, then move to dedicated database capacity</w:t>
            </w:r>
          </w:p>
        </w:tc>
      </w:tr>
      <w:tr>
        <w:tc>
          <w:tcPr>
            <w:tcW w:type="dxa" w:w="4968"/>
          </w:tcPr>
          <w:p>
            <w:r>
              <w:t>Rapid receipt-image growth</w:t>
            </w:r>
          </w:p>
        </w:tc>
        <w:tc>
          <w:tcPr>
            <w:tcW w:type="dxa" w:w="4968"/>
          </w:tcPr>
          <w:p>
            <w:r>
              <w:t>Move files to scalable object storage</w:t>
            </w:r>
          </w:p>
        </w:tc>
      </w:tr>
      <w:tr>
        <w:tc>
          <w:tcPr>
            <w:tcW w:type="dxa" w:w="4968"/>
          </w:tcPr>
          <w:p>
            <w:r>
              <w:t>High API request volume</w:t>
            </w:r>
          </w:p>
        </w:tc>
        <w:tc>
          <w:tcPr>
            <w:tcW w:type="dxa" w:w="4968"/>
          </w:tcPr>
          <w:p>
            <w:r>
              <w:t>Add API instances behind load balancing</w:t>
            </w:r>
          </w:p>
        </w:tc>
      </w:tr>
    </w:tbl>
    <w:p>
      <w:pPr>
        <w:pStyle w:val="Heading1"/>
      </w:pPr>
      <w:r>
        <w:t>18. Observability</w:t>
      </w:r>
    </w:p>
    <w:p>
      <w:pPr>
        <w:pStyle w:val="ListBullet"/>
      </w:pPr>
      <w:r>
        <w:t>API response time and error rate</w:t>
      </w:r>
    </w:p>
    <w:p>
      <w:pPr>
        <w:pStyle w:val="ListBullet"/>
      </w:pPr>
      <w:r>
        <w:t>Queue depth and oldest job age</w:t>
      </w:r>
    </w:p>
    <w:p>
      <w:pPr>
        <w:pStyle w:val="ListBullet"/>
      </w:pPr>
      <w:r>
        <w:t>AI inference duration</w:t>
      </w:r>
    </w:p>
    <w:p>
      <w:pPr>
        <w:pStyle w:val="ListBullet"/>
      </w:pPr>
      <w:r>
        <w:t>CPU and RAM utilization</w:t>
      </w:r>
    </w:p>
    <w:p>
      <w:pPr>
        <w:pStyle w:val="ListBullet"/>
      </w:pPr>
      <w:r>
        <w:t>Swap usage</w:t>
      </w:r>
    </w:p>
    <w:p>
      <w:pPr>
        <w:pStyle w:val="ListBullet"/>
      </w:pPr>
      <w:r>
        <w:t>PostgreSQL query latency and connection count</w:t>
      </w:r>
    </w:p>
    <w:p>
      <w:pPr>
        <w:pStyle w:val="ListBullet"/>
      </w:pPr>
      <w:r>
        <w:t>OCR/extraction duration</w:t>
      </w:r>
    </w:p>
    <w:p>
      <w:pPr>
        <w:pStyle w:val="ListBullet"/>
      </w:pPr>
      <w:r>
        <w:t>Clarification rate</w:t>
      </w:r>
    </w:p>
    <w:p>
      <w:pPr>
        <w:pStyle w:val="ListBullet"/>
      </w:pPr>
      <w:r>
        <w:t>User correction rate</w:t>
      </w:r>
    </w:p>
    <w:p>
      <w:pPr>
        <w:pStyle w:val="ListBullet"/>
      </w:pPr>
      <w:r>
        <w:t>Classification accuracy</w:t>
      </w:r>
    </w:p>
    <w:p>
      <w:pPr>
        <w:pStyle w:val="ListBullet"/>
      </w:pPr>
      <w:r>
        <w:t>Disk/storage utilization</w:t>
      </w:r>
    </w:p>
    <w:p>
      <w:pPr>
        <w:pStyle w:val="ListBullet"/>
      </w:pPr>
      <w:r>
        <w:t>Backup success and restoration capability</w:t>
      </w:r>
    </w:p>
    <w:p>
      <w:pPr>
        <w:pStyle w:val="Heading1"/>
      </w:pPr>
      <w:r>
        <w:t>19. Security &amp; Privacy</w:t>
      </w:r>
    </w:p>
    <w:p>
      <w:r>
        <w:t>Receipt data can reveal detailed purchasing behavior and should be treated as sensitive application data.</w:t>
      </w:r>
    </w:p>
    <w:p>
      <w:pPr>
        <w:pStyle w:val="ListBullet"/>
      </w:pPr>
      <w:r>
        <w:t>HTTPS for all application traffic.</w:t>
      </w:r>
    </w:p>
    <w:p>
      <w:pPr>
        <w:pStyle w:val="ListBullet"/>
      </w:pPr>
      <w:r>
        <w:t>Strong authentication and authorization.</w:t>
      </w:r>
    </w:p>
    <w:p>
      <w:pPr>
        <w:pStyle w:val="ListBullet"/>
      </w:pPr>
      <w:r>
        <w:t>Strict user/tenant scoping on every private database operation.</w:t>
      </w:r>
    </w:p>
    <w:p>
      <w:pPr>
        <w:pStyle w:val="ListBullet"/>
      </w:pPr>
      <w:r>
        <w:t>PostgreSQL, Redis and Ollama should not be publicly exposed.</w:t>
      </w:r>
    </w:p>
    <w:p>
      <w:pPr>
        <w:pStyle w:val="ListBullet"/>
      </w:pPr>
      <w:r>
        <w:t>Least-privilege service accounts.</w:t>
      </w:r>
    </w:p>
    <w:p>
      <w:pPr>
        <w:pStyle w:val="ListBullet"/>
      </w:pPr>
      <w:r>
        <w:t>Encrypted backups stored separately from the application server.</w:t>
      </w:r>
    </w:p>
    <w:p>
      <w:pPr>
        <w:pStyle w:val="ListBullet"/>
      </w:pPr>
      <w:r>
        <w:t>Avoid unnecessary receipt contents in application logs.</w:t>
      </w:r>
    </w:p>
    <w:p>
      <w:pPr>
        <w:pStyle w:val="ListBullet"/>
      </w:pPr>
      <w:r>
        <w:t>Account deletion and data-management workflows.</w:t>
      </w:r>
    </w:p>
    <w:p>
      <w:pPr>
        <w:pStyle w:val="ListBullet"/>
      </w:pPr>
      <w:r>
        <w:t>Secrets stored outside source code.</w:t>
      </w:r>
    </w:p>
    <w:p>
      <w:pPr>
        <w:pStyle w:val="ListBullet"/>
      </w:pPr>
      <w:r>
        <w:t>Audit important agent and classification decisions.</w:t>
      </w:r>
    </w:p>
    <w:p>
      <w:pPr>
        <w:pStyle w:val="Heading1"/>
      </w:pPr>
      <w:r>
        <w:t>20. Pilot Objectives With Dev</w:t>
      </w:r>
    </w:p>
    <w:p>
      <w:r>
        <w:t>The pilot should validate both product behavior and infrastructure behavior.</w:t>
      </w:r>
    </w:p>
    <w:p>
      <w:pPr>
        <w:pStyle w:val="ListBullet"/>
      </w:pPr>
      <w:r>
        <w:t>Process receipts from multiple merchants.</w:t>
      </w:r>
    </w:p>
    <w:p>
      <w:pPr>
        <w:pStyle w:val="ListBullet"/>
      </w:pPr>
      <w:r>
        <w:t>Test mixed-category receipts.</w:t>
      </w:r>
    </w:p>
    <w:p>
      <w:pPr>
        <w:pStyle w:val="ListBullet"/>
      </w:pPr>
      <w:r>
        <w:t>Test abbreviated and difficult product descriptions.</w:t>
      </w:r>
    </w:p>
    <w:p>
      <w:pPr>
        <w:pStyle w:val="ListBullet"/>
      </w:pPr>
      <w:r>
        <w:t>Identify cases that should be auto-classified.</w:t>
      </w:r>
    </w:p>
    <w:p>
      <w:pPr>
        <w:pStyle w:val="ListBullet"/>
      </w:pPr>
      <w:r>
        <w:t>Identify cases that should trigger clarification.</w:t>
      </w:r>
    </w:p>
    <w:p>
      <w:pPr>
        <w:pStyle w:val="ListBullet"/>
      </w:pPr>
      <w:r>
        <w:t>Verify that corrections are remembered.</w:t>
      </w:r>
    </w:p>
    <w:p>
      <w:pPr>
        <w:pStyle w:val="ListBullet"/>
      </w:pPr>
      <w:r>
        <w:t>Verify that remembered classifications are reused.</w:t>
      </w:r>
    </w:p>
    <w:p>
      <w:pPr>
        <w:pStyle w:val="ListBullet"/>
      </w:pPr>
      <w:r>
        <w:t>Measure classification accuracy and correction rate.</w:t>
      </w:r>
    </w:p>
    <w:p>
      <w:pPr>
        <w:pStyle w:val="ListBullet"/>
      </w:pPr>
      <w:r>
        <w:t>Measure OCR, queue and AI processing times.</w:t>
      </w:r>
    </w:p>
    <w:p>
      <w:pPr>
        <w:pStyle w:val="ListBullet"/>
      </w:pPr>
      <w:r>
        <w:t>Identify the infrastructure bottleneck before public release.</w:t>
      </w:r>
    </w:p>
    <w:p>
      <w:pPr>
        <w:pStyle w:val="Heading1"/>
      </w:pPr>
      <w:r>
        <w:t>21. Development Roadmap</w:t>
      </w:r>
    </w:p>
    <w:p>
      <w:pPr>
        <w:pStyle w:val="Heading2"/>
      </w:pPr>
      <w:r>
        <w:t>Phase 1 — Core Budget</w:t>
      </w:r>
    </w:p>
    <w:p>
      <w:r>
        <w:t>Authentication, budgets, transactions, categories and receipt data model.</w:t>
      </w:r>
    </w:p>
    <w:p>
      <w:pPr>
        <w:pStyle w:val="Heading2"/>
      </w:pPr>
      <w:r>
        <w:t>Phase 2 — Receipt Processing</w:t>
      </w:r>
    </w:p>
    <w:p>
      <w:r>
        <w:t>OCR/extraction and reliable line-item creation.</w:t>
      </w:r>
    </w:p>
    <w:p>
      <w:pPr>
        <w:pStyle w:val="Heading2"/>
      </w:pPr>
      <w:r>
        <w:t>Phase 3 — Product Classification</w:t>
      </w:r>
    </w:p>
    <w:p>
      <w:r>
        <w:t>Normalization, taxonomy selection, structured AI output and confidence.</w:t>
      </w:r>
    </w:p>
    <w:p>
      <w:pPr>
        <w:pStyle w:val="Heading2"/>
      </w:pPr>
      <w:r>
        <w:t>Phase 4 — Agentic Learning</w:t>
      </w:r>
    </w:p>
    <w:p>
      <w:r>
        <w:t>Clarification workflow, user memory and persistent learning.</w:t>
      </w:r>
    </w:p>
    <w:p>
      <w:pPr>
        <w:pStyle w:val="Heading2"/>
      </w:pPr>
      <w:r>
        <w:t>Phase 5 — Semantic Memory</w:t>
      </w:r>
    </w:p>
    <w:p>
      <w:r>
        <w:t>Embeddings/vector retrieval for product variants and similar descriptions.</w:t>
      </w:r>
    </w:p>
    <w:p>
      <w:pPr>
        <w:pStyle w:val="Heading2"/>
      </w:pPr>
      <w:r>
        <w:t>Phase 6 — Pilot Validation</w:t>
      </w:r>
    </w:p>
    <w:p>
      <w:r>
        <w:t>Use Dev's receipts and controlled test data to measure accuracy and system behavior.</w:t>
      </w:r>
    </w:p>
    <w:p>
      <w:pPr>
        <w:pStyle w:val="Heading2"/>
      </w:pPr>
      <w:r>
        <w:t>Phase 7 — Production Hardening</w:t>
      </w:r>
    </w:p>
    <w:p>
      <w:r>
        <w:t>Security, backups, monitoring, reliability and performance.</w:t>
      </w:r>
    </w:p>
    <w:p>
      <w:pPr>
        <w:pStyle w:val="Heading2"/>
      </w:pPr>
      <w:r>
        <w:t>Phase 8 — App Store Release</w:t>
      </w:r>
    </w:p>
    <w:p>
      <w:r>
        <w:t>Production deployment, mobile release preparation and operational readiness.</w:t>
      </w:r>
    </w:p>
    <w:p>
      <w:pPr>
        <w:pStyle w:val="Heading2"/>
      </w:pPr>
      <w:r>
        <w:t>Phase 9 — Growth</w:t>
      </w:r>
    </w:p>
    <w:p>
      <w:r>
        <w:t>Scale API, workers, database, storage and inference independently as demand requires.</w:t>
      </w:r>
    </w:p>
    <w:p>
      <w:pPr>
        <w:pStyle w:val="Heading1"/>
      </w:pPr>
      <w:r>
        <w:t>22. Recommended Architectural Principles</w:t>
      </w:r>
    </w:p>
    <w:p>
      <w:pPr>
        <w:pStyle w:val="ListNumber"/>
      </w:pPr>
      <w:r>
        <w:t>One shared agent engine serves many users; persistent user state is stored separately.</w:t>
      </w:r>
    </w:p>
    <w:p>
      <w:pPr>
        <w:pStyle w:val="ListNumber"/>
      </w:pPr>
      <w:r>
        <w:t>User memory is data, not source code.</w:t>
      </w:r>
    </w:p>
    <w:p>
      <w:pPr>
        <w:pStyle w:val="ListNumber"/>
      </w:pPr>
      <w:r>
        <w:t>AI processing is asynchronous and queue-driven.</w:t>
      </w:r>
    </w:p>
    <w:p>
      <w:pPr>
        <w:pStyle w:val="ListNumber"/>
      </w:pPr>
      <w:r>
        <w:t>The API remains as stateless as practical.</w:t>
      </w:r>
    </w:p>
    <w:p>
      <w:pPr>
        <w:pStyle w:val="ListNumber"/>
      </w:pPr>
      <w:r>
        <w:t>The budget taxonomy is controlled by the application.</w:t>
      </w:r>
    </w:p>
    <w:p>
      <w:pPr>
        <w:pStyle w:val="ListNumber"/>
      </w:pPr>
      <w:r>
        <w:t>User-specific knowledge is isolated from global knowledge.</w:t>
      </w:r>
    </w:p>
    <w:p>
      <w:pPr>
        <w:pStyle w:val="ListNumber"/>
      </w:pPr>
      <w:r>
        <w:t>Every classification should be explainable through stored inputs, retrieved knowledge and the resulting decision.</w:t>
      </w:r>
    </w:p>
    <w:p>
      <w:pPr>
        <w:pStyle w:val="ListNumber"/>
      </w:pPr>
      <w:r>
        <w:t>Workers can be multiplied without changing the mobile application's core behavior.</w:t>
      </w:r>
    </w:p>
    <w:p>
      <w:pPr>
        <w:pStyle w:val="ListNumber"/>
      </w:pPr>
      <w:r>
        <w:t>AI inference can be moved to dedicated infrastructure without changing the API contract.</w:t>
      </w:r>
    </w:p>
    <w:p>
      <w:pPr>
        <w:pStyle w:val="ListNumber"/>
      </w:pPr>
      <w:r>
        <w:t>Infrastructure is scaled according to measured workload.</w:t>
      </w:r>
    </w:p>
    <w:p>
      <w:pPr>
        <w:pStyle w:val="Heading1"/>
      </w:pPr>
      <w:r>
        <w:t>23. Final Architecture</w:t>
      </w:r>
    </w:p>
    <w:p>
      <w:r>
        <w:t>MainzWare Budget should be built as a multi-tenant, adaptive budgeting platform with an agentic receipt-classification layer. The initial VPS provides a practical environment for development and pilot validation with Dev, while the application architecture is designed for public distribution through the App Store.</w:t>
      </w:r>
    </w:p>
    <w:p>
      <w:r>
        <w:t>The key differentiator is the learning loop: the system does not need a developer to manually program every product it encounters. It uses product understanding, controlled taxonomy, persistent user memory, semantic retrieval, AI reasoning and user clarification to become more useful over time.</w:t>
      </w:r>
    </w:p>
    <w:p>
      <w:pPr>
        <w:jc w:val="center"/>
      </w:pPr>
      <w:r>
        <w:rPr>
          <w:b/>
          <w:sz w:val="30"/>
        </w:rPr>
        <w:t>RECEIPT → UNDERSTAND → CLASSIFY → CLARIFY → REMEMBER → IMPROVE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