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MAINZWARE</w:t>
      </w:r>
    </w:p>
    <w:p>
      <w:pPr>
        <w:pStyle w:val="Title"/>
      </w:pPr>
      <w:r>
        <w:t>Budget App</w:t>
        <w:br/>
        <w:t>Dedicated Receipt Classification AI API</w:t>
      </w:r>
    </w:p>
    <w:p>
      <w:pPr>
        <w:jc w:val="center"/>
      </w:pPr>
      <w:r>
        <w:rPr>
          <w:b/>
        </w:rPr>
        <w:t>Independent AI model service • Proprietary classification engine • App Store-ready architecture</w:t>
      </w:r>
    </w:p>
    <w:p>
      <w:pPr>
        <w:jc w:val="center"/>
      </w:pPr>
      <w:r>
        <w:t>Alternative technical pathway — September 2026</w:t>
      </w:r>
    </w:p>
    <w:p>
      <w:r>
        <w:br w:type="page"/>
      </w:r>
    </w:p>
    <w:p>
      <w:pPr>
        <w:pStyle w:val="Heading1"/>
      </w:pPr>
      <w:r>
        <w:t>1. Purpose</w:t>
      </w:r>
    </w:p>
    <w:p>
      <w:r>
        <w:t>This document defines an alternative architecture in which MainzWare develops and operates its own receipt-product classification AI as an independent API service. The budget application remains responsible for users, budgets, receipts, transactions and application workflow, while the dedicated AI service becomes a separate product component that the app calls over a secure API.</w:t>
      </w:r>
    </w:p>
    <w:p>
      <w:r>
        <w:t>The objective is to determine whether owning the classification model as a separately hosted service can produce a smarter, more controllable and more scalable budgeting platform than running a general-purpose language model directly alongside the application.</w:t>
      </w:r>
    </w:p>
    <w:p>
      <w:pPr>
        <w:pStyle w:val="Heading1"/>
      </w:pPr>
      <w:r>
        <w:t>2. The Central Idea</w:t>
      </w:r>
    </w:p>
    <w:p>
      <w:pPr>
        <w:jc w:val="center"/>
      </w:pPr>
      <w:r>
        <w:rPr>
          <w:b/>
          <w:sz w:val="28"/>
        </w:rPr>
        <w:t>MAINZWARE BUDGET APP → RECEIPT AI API → CLASSIFICATION RESULT</w:t>
      </w:r>
    </w:p>
    <w:p>
      <w:r>
        <w:t>Instead of asking a general-purpose model running on the budget server to perform all product understanding, MainzWare would operate a specialized model whose primary job is receipt-item understanding and budget categorization.</w:t>
      </w:r>
    </w:p>
    <w:p>
      <w:r>
        <w:t>The model service could be trained, fine-tuned or otherwise specialized using real receipt examples and the application's controlled taxonomy. The service can evolve independently of the budget application's PHP code.</w:t>
      </w:r>
    </w:p>
    <w:p>
      <w:pPr>
        <w:pStyle w:val="Heading1"/>
      </w:pPr>
      <w:r>
        <w:t>3. Important Definition of 'Our Own Model'</w:t>
      </w:r>
    </w:p>
    <w:p>
      <w:r>
        <w:t>For this project, 'our own AI model' should not initially mean training a large language model from zero. That would introduce enormous data, compute and engineering requirements without providing a proportional benefit.</w:t>
      </w:r>
    </w:p>
    <w:p>
      <w:r>
        <w:t>A practical proprietary model strategy is to start from an existing open model architecture and specialize it for MainzWare's specific task. MainzWare would own the training data, classification taxonomy, fine-tuning process, evaluation set, model versions and inference API.</w:t>
      </w:r>
    </w:p>
    <w:p>
      <w:pPr>
        <w:pStyle w:val="ListBullet"/>
      </w:pPr>
      <w:r>
        <w:t>Product normalization model — converts receipt text into a normalized product concept.</w:t>
      </w:r>
    </w:p>
    <w:p>
      <w:pPr>
        <w:pStyle w:val="ListBullet"/>
      </w:pPr>
      <w:r>
        <w:t>Category classifier — predicts the appropriate budget category/subcategory.</w:t>
      </w:r>
    </w:p>
    <w:p>
      <w:pPr>
        <w:pStyle w:val="ListBullet"/>
      </w:pPr>
      <w:r>
        <w:t>Embedding model — represents product descriptions for semantic retrieval.</w:t>
      </w:r>
    </w:p>
    <w:p>
      <w:pPr>
        <w:pStyle w:val="ListBullet"/>
      </w:pPr>
      <w:r>
        <w:t>Optional reranker — compares candidate memories/categories and improves difficult decisions.</w:t>
      </w:r>
    </w:p>
    <w:p>
      <w:pPr>
        <w:pStyle w:val="ListBullet"/>
      </w:pPr>
      <w:r>
        <w:t>Rule/validation layer — enforces taxonomy and output constraints.</w:t>
      </w:r>
    </w:p>
    <w:p>
      <w:pPr>
        <w:pStyle w:val="ListBullet"/>
      </w:pPr>
      <w:r>
        <w:t>Agent/orchestration layer — handles clarification, memory and multi-step reasoning.</w:t>
      </w:r>
    </w:p>
    <w:p>
      <w:r>
        <w:t>This creates a specialized AI system rather than attempting to reproduce a general-purpose ChatGPT-like model.</w:t>
      </w:r>
    </w:p>
    <w:p>
      <w:pPr>
        <w:pStyle w:val="Heading1"/>
      </w:pPr>
      <w:r>
        <w:t>4. Why a Dedicated Model Could Be Better</w:t>
      </w:r>
    </w:p>
    <w:p>
      <w:pPr>
        <w:pStyle w:val="ListBullet"/>
      </w:pPr>
      <w:r>
        <w:t>The model can be optimized specifically for receipt language, abbreviations and retail product descriptions.</w:t>
      </w:r>
    </w:p>
    <w:p>
      <w:pPr>
        <w:pStyle w:val="ListBullet"/>
      </w:pPr>
      <w:r>
        <w:t>Inference can be separated from the budget application's CPU and RAM.</w:t>
      </w:r>
    </w:p>
    <w:p>
      <w:pPr>
        <w:pStyle w:val="ListBullet"/>
      </w:pPr>
      <w:r>
        <w:t>The model can be improved without changing the mobile app.</w:t>
      </w:r>
    </w:p>
    <w:p>
      <w:pPr>
        <w:pStyle w:val="ListBullet"/>
      </w:pPr>
      <w:r>
        <w:t>The AI service can serve multiple MainzWare applications in the future.</w:t>
      </w:r>
    </w:p>
    <w:p>
      <w:pPr>
        <w:pStyle w:val="ListBullet"/>
      </w:pPr>
      <w:r>
        <w:t>Model versions can be tested against a fixed evaluation dataset before deployment.</w:t>
      </w:r>
    </w:p>
    <w:p>
      <w:pPr>
        <w:pStyle w:val="ListBullet"/>
      </w:pPr>
      <w:r>
        <w:t>Training can use corrections collected from real users.</w:t>
      </w:r>
    </w:p>
    <w:p>
      <w:pPr>
        <w:pStyle w:val="ListBullet"/>
      </w:pPr>
      <w:r>
        <w:t>The service can expose a stable API regardless of which underlying model is currently deployed.</w:t>
      </w:r>
    </w:p>
    <w:p>
      <w:pPr>
        <w:pStyle w:val="ListBullet"/>
      </w:pPr>
      <w:r>
        <w:t>Inference hardware can be selected specifically for AI workloads.</w:t>
      </w:r>
    </w:p>
    <w:p>
      <w:pPr>
        <w:pStyle w:val="Heading1"/>
      </w:pPr>
      <w:r>
        <w:t>5. What Makes the System 'Super Smart'</w:t>
      </w:r>
    </w:p>
    <w:p>
      <w:r>
        <w:t>The intelligence should not depend on the model alone. The strongest design is a layered system in which the specialized model works together with retrieval, memory, taxonomy constraints and an agentic clarification loop.</w:t>
      </w:r>
    </w:p>
    <w:p>
      <w:pPr>
        <w:jc w:val="center"/>
      </w:pPr>
      <w:r>
        <w:rPr>
          <w:b/>
        </w:rPr>
        <w:t>MODEL + MEMORY + RETRIEVAL + TAXONOMY + USER FEEDBACK + AGENT</w:t>
      </w:r>
    </w:p>
    <w:p>
      <w:pPr>
        <w:pStyle w:val="ListBullet"/>
      </w:pPr>
      <w:r>
        <w:t>Model: understands product descriptions.</w:t>
      </w:r>
    </w:p>
    <w:p>
      <w:pPr>
        <w:pStyle w:val="ListBullet"/>
      </w:pPr>
      <w:r>
        <w:t>Memory: remembers what each user has previously decided.</w:t>
      </w:r>
    </w:p>
    <w:p>
      <w:pPr>
        <w:pStyle w:val="ListBullet"/>
      </w:pPr>
      <w:r>
        <w:t>Retrieval: finds similar products even when receipt text changes.</w:t>
      </w:r>
    </w:p>
    <w:p>
      <w:pPr>
        <w:pStyle w:val="ListBullet"/>
      </w:pPr>
      <w:r>
        <w:t>Taxonomy: keeps classifications consistent.</w:t>
      </w:r>
    </w:p>
    <w:p>
      <w:pPr>
        <w:pStyle w:val="ListBullet"/>
      </w:pPr>
      <w:r>
        <w:t>Feedback: converts user corrections into training/knowledge data.</w:t>
      </w:r>
    </w:p>
    <w:p>
      <w:pPr>
        <w:pStyle w:val="ListBullet"/>
      </w:pPr>
      <w:r>
        <w:t>Agent: determines when to classify, retrieve more information or ask the user.</w:t>
      </w:r>
    </w:p>
    <w:p>
      <w:pPr>
        <w:pStyle w:val="Heading1"/>
      </w:pPr>
      <w:r>
        <w:t>6. Proposed System Architecture</w:t>
      </w:r>
    </w:p>
    <w:p>
      <w:pPr>
        <w:jc w:val="center"/>
      </w:pPr>
      <w:r>
        <w:rPr>
          <w:b/>
        </w:rPr>
        <w:t>Mobile App → MainzWare Application API → AI Gateway → Receipt AI Service</w:t>
      </w:r>
    </w:p>
    <w:p>
      <w:pPr>
        <w:jc w:val="center"/>
      </w:pPr>
      <w:r>
        <w:rPr>
          <w:b/>
        </w:rPr>
        <w:t xml:space="preserve">                                                             ↘ Model + Retrieval + Knowledge</w:t>
      </w:r>
    </w:p>
    <w:p>
      <w:r>
        <w:t>Major components:</w:t>
      </w:r>
    </w:p>
    <w:p>
      <w:pPr>
        <w:pStyle w:val="ListBullet"/>
      </w:pPr>
      <w:r>
        <w:t>Mobile application — receipt capture, budget UI, review and clarification.</w:t>
      </w:r>
    </w:p>
    <w:p>
      <w:pPr>
        <w:pStyle w:val="ListBullet"/>
      </w:pPr>
      <w:r>
        <w:t>MainzWare application API — authentication, user data, receipts, budgets and orchestration.</w:t>
      </w:r>
    </w:p>
    <w:p>
      <w:pPr>
        <w:pStyle w:val="ListBullet"/>
      </w:pPr>
      <w:r>
        <w:t>AI Gateway — authentication, rate limiting, request validation, version routing and observability.</w:t>
      </w:r>
    </w:p>
    <w:p>
      <w:pPr>
        <w:pStyle w:val="ListBullet"/>
      </w:pPr>
      <w:r>
        <w:t>Receipt AI API — normalization, classification, confidence and candidate generation.</w:t>
      </w:r>
    </w:p>
    <w:p>
      <w:pPr>
        <w:pStyle w:val="ListBullet"/>
      </w:pPr>
      <w:r>
        <w:t>Model runtime — optimized inference engine.</w:t>
      </w:r>
    </w:p>
    <w:p>
      <w:pPr>
        <w:pStyle w:val="ListBullet"/>
      </w:pPr>
      <w:r>
        <w:t>Model registry — versioned model artifacts.</w:t>
      </w:r>
    </w:p>
    <w:p>
      <w:pPr>
        <w:pStyle w:val="ListBullet"/>
      </w:pPr>
      <w:r>
        <w:t>Training pipeline — dataset preparation, fine-tuning/training, evaluation and promotion.</w:t>
      </w:r>
    </w:p>
    <w:p>
      <w:pPr>
        <w:pStyle w:val="ListBullet"/>
      </w:pPr>
      <w:r>
        <w:t>AI knowledge store — product embeddings, validated product mappings and model-supporting metadata.</w:t>
      </w:r>
    </w:p>
    <w:p>
      <w:pPr>
        <w:pStyle w:val="ListBullet"/>
      </w:pPr>
      <w:r>
        <w:t>PostgreSQL/vector database — persistent application and semantic knowledge.</w:t>
      </w:r>
    </w:p>
    <w:p>
      <w:pPr>
        <w:pStyle w:val="ListBullet"/>
      </w:pPr>
      <w:r>
        <w:t>Training data store — de-identified/approved examples, labels and evaluation sets.</w:t>
      </w:r>
    </w:p>
    <w:p>
      <w:pPr>
        <w:pStyle w:val="Heading1"/>
      </w:pPr>
      <w:r>
        <w:t>7. API Contract</w:t>
      </w:r>
    </w:p>
    <w:p>
      <w:r>
        <w:t>The budget app should communicate with the AI through a stable versioned API rather than knowing how the model works internally.</w:t>
      </w:r>
    </w:p>
    <w:p>
      <w:r>
        <w:t>Illustrative request:</w:t>
      </w:r>
    </w:p>
    <w:p>
      <w:r>
        <w:t>{ "item": "HDMI CBL 6FT BLK", "user_context": "...", "taxonomy_version": "2026.09", "request_id": "..." }</w:t>
      </w:r>
    </w:p>
    <w:p>
      <w:r>
        <w:t>Illustrative response:</w:t>
      </w:r>
    </w:p>
    <w:p>
      <w:r>
        <w:t>{ "normalized_product": "6-foot HDMI cable", "category": "Electronics", "subcategory": "Cables &amp; Accessories", "confidence": 0.98, "action": "ASSIGN", "model_version": "receipt-ai-1.0" }</w:t>
      </w:r>
    </w:p>
    <w:p>
      <w:r>
        <w:t>For ambiguity, the API can return a structured clarification request rather than pretending to know the answer.</w:t>
      </w:r>
    </w:p>
    <w:p>
      <w:pPr>
        <w:pStyle w:val="Heading1"/>
      </w:pPr>
      <w:r>
        <w:t>8. User Memory Remains Separate</w:t>
      </w:r>
    </w:p>
    <w:p>
      <w:r>
        <w:t>The dedicated model does not eliminate the need for user-specific memory. A user may classify the same product differently from another user.</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Example</w:t>
            </w:r>
          </w:p>
        </w:tc>
        <w:tc>
          <w:tcPr>
            <w:tcW w:type="dxa" w:w="3312"/>
          </w:tcPr>
          <w:p>
            <w:r>
              <w:t>Owner</w:t>
            </w:r>
          </w:p>
        </w:tc>
      </w:tr>
      <w:tr>
        <w:tc>
          <w:tcPr>
            <w:tcW w:type="dxa" w:w="3312"/>
          </w:tcPr>
          <w:p>
            <w:r>
              <w:t>Model knowledge</w:t>
            </w:r>
          </w:p>
        </w:tc>
        <w:tc>
          <w:tcPr>
            <w:tcW w:type="dxa" w:w="3312"/>
          </w:tcPr>
          <w:p>
            <w:r>
              <w:t>HDMI cable is typically Electronics</w:t>
            </w:r>
          </w:p>
        </w:tc>
        <w:tc>
          <w:tcPr>
            <w:tcW w:type="dxa" w:w="3312"/>
          </w:tcPr>
          <w:p>
            <w:r>
              <w:t>Shared model</w:t>
            </w:r>
          </w:p>
        </w:tc>
      </w:tr>
      <w:tr>
        <w:tc>
          <w:tcPr>
            <w:tcW w:type="dxa" w:w="3312"/>
          </w:tcPr>
          <w:p>
            <w:r>
              <w:t>Global product knowledge</w:t>
            </w:r>
          </w:p>
        </w:tc>
        <w:tc>
          <w:tcPr>
            <w:tcW w:type="dxa" w:w="3312"/>
          </w:tcPr>
          <w:p>
            <w:r>
              <w:t>Product/SKU semantic mapping</w:t>
            </w:r>
          </w:p>
        </w:tc>
        <w:tc>
          <w:tcPr>
            <w:tcW w:type="dxa" w:w="3312"/>
          </w:tcPr>
          <w:p>
            <w:r>
              <w:t>MainzWare</w:t>
            </w:r>
          </w:p>
        </w:tc>
      </w:tr>
      <w:tr>
        <w:tc>
          <w:tcPr>
            <w:tcW w:type="dxa" w:w="3312"/>
          </w:tcPr>
          <w:p>
            <w:r>
              <w:t>User memory</w:t>
            </w:r>
          </w:p>
        </w:tc>
        <w:tc>
          <w:tcPr>
            <w:tcW w:type="dxa" w:w="3312"/>
          </w:tcPr>
          <w:p>
            <w:r>
              <w:t>User prefers a specific category for a recurring item</w:t>
            </w:r>
          </w:p>
        </w:tc>
        <w:tc>
          <w:tcPr>
            <w:tcW w:type="dxa" w:w="3312"/>
          </w:tcPr>
          <w:p>
            <w:r>
              <w:t>Private user</w:t>
            </w:r>
          </w:p>
        </w:tc>
      </w:tr>
      <w:tr>
        <w:tc>
          <w:tcPr>
            <w:tcW w:type="dxa" w:w="3312"/>
          </w:tcPr>
          <w:p>
            <w:r>
              <w:t>Current receipt</w:t>
            </w:r>
          </w:p>
        </w:tc>
        <w:tc>
          <w:tcPr>
            <w:tcW w:type="dxa" w:w="3312"/>
          </w:tcPr>
          <w:p>
            <w:r>
              <w:t>This exact line appears on today's receipt</w:t>
            </w:r>
          </w:p>
        </w:tc>
        <w:tc>
          <w:tcPr>
            <w:tcW w:type="dxa" w:w="3312"/>
          </w:tcPr>
          <w:p>
            <w:r>
              <w:t>Current transaction</w:t>
            </w:r>
          </w:p>
        </w:tc>
      </w:tr>
    </w:tbl>
    <w:p>
      <w:pPr>
        <w:pStyle w:val="Heading1"/>
      </w:pPr>
      <w:r>
        <w:t>9. Training Data Strategy</w:t>
      </w:r>
    </w:p>
    <w:p>
      <w:r>
        <w:t>The primary asset of this architecture is not merely the model weights. It is the growing, high-quality labeled dataset produced by the application.</w:t>
      </w:r>
    </w:p>
    <w:p>
      <w:pPr>
        <w:pStyle w:val="ListBullet"/>
      </w:pPr>
      <w:r>
        <w:t>OCR line-item text.</w:t>
      </w:r>
    </w:p>
    <w:p>
      <w:pPr>
        <w:pStyle w:val="ListBullet"/>
      </w:pPr>
      <w:r>
        <w:t>Normalized product interpretation.</w:t>
      </w:r>
    </w:p>
    <w:p>
      <w:pPr>
        <w:pStyle w:val="ListBullet"/>
      </w:pPr>
      <w:r>
        <w:t>Final budget category/subcategory.</w:t>
      </w:r>
    </w:p>
    <w:p>
      <w:pPr>
        <w:pStyle w:val="ListBullet"/>
      </w:pPr>
      <w:r>
        <w:t>Model confidence.</w:t>
      </w:r>
    </w:p>
    <w:p>
      <w:pPr>
        <w:pStyle w:val="ListBullet"/>
      </w:pPr>
      <w:r>
        <w:t>Whether the user accepted or corrected the classification.</w:t>
      </w:r>
    </w:p>
    <w:p>
      <w:pPr>
        <w:pStyle w:val="ListBullet"/>
      </w:pPr>
      <w:r>
        <w:t>User clarification responses.</w:t>
      </w:r>
    </w:p>
    <w:p>
      <w:pPr>
        <w:pStyle w:val="ListBullet"/>
      </w:pPr>
      <w:r>
        <w:t>Merchant/receipt-format context where useful.</w:t>
      </w:r>
    </w:p>
    <w:p>
      <w:pPr>
        <w:pStyle w:val="ListBullet"/>
      </w:pPr>
      <w:r>
        <w:t>Model version that produced the original prediction.</w:t>
      </w:r>
    </w:p>
    <w:p>
      <w:pPr>
        <w:pStyle w:val="ListBullet"/>
      </w:pPr>
      <w:r>
        <w:t>Final verified label.</w:t>
      </w:r>
    </w:p>
    <w:p>
      <w:r>
        <w:t>Every corrected classification can become a candidate training example, subject to privacy, quality and promotion rules.</w:t>
      </w:r>
    </w:p>
    <w:p>
      <w:pPr>
        <w:pStyle w:val="Heading1"/>
      </w:pPr>
      <w:r>
        <w:t>10. Training and Improvement Loop</w:t>
      </w:r>
    </w:p>
    <w:p>
      <w:pPr>
        <w:jc w:val="center"/>
      </w:pPr>
      <w:r>
        <w:rPr>
          <w:b/>
        </w:rPr>
        <w:t>RECEIPTS → PREDICTIONS → USER CORRECTIONS → LABELED DATA → TRAIN/EVALUATE → NEW MODEL → DEPLOY</w:t>
      </w:r>
    </w:p>
    <w:p>
      <w:pPr>
        <w:pStyle w:val="ListNumber"/>
      </w:pPr>
      <w:r>
        <w:t>Collect approved training examples.</w:t>
      </w:r>
    </w:p>
    <w:p>
      <w:pPr>
        <w:pStyle w:val="ListNumber"/>
      </w:pPr>
      <w:r>
        <w:t>Normalize and deduplicate product descriptions.</w:t>
      </w:r>
    </w:p>
    <w:p>
      <w:pPr>
        <w:pStyle w:val="ListNumber"/>
      </w:pPr>
      <w:r>
        <w:t>Separate training, validation and test datasets.</w:t>
      </w:r>
    </w:p>
    <w:p>
      <w:pPr>
        <w:pStyle w:val="ListNumber"/>
      </w:pPr>
      <w:r>
        <w:t>Train or fine-tune a candidate model.</w:t>
      </w:r>
    </w:p>
    <w:p>
      <w:pPr>
        <w:pStyle w:val="ListNumber"/>
      </w:pPr>
      <w:r>
        <w:t>Evaluate against a locked test set.</w:t>
      </w:r>
    </w:p>
    <w:p>
      <w:pPr>
        <w:pStyle w:val="ListNumber"/>
      </w:pPr>
      <w:r>
        <w:t>Compare candidate model against the production model.</w:t>
      </w:r>
    </w:p>
    <w:p>
      <w:pPr>
        <w:pStyle w:val="ListNumber"/>
      </w:pPr>
      <w:r>
        <w:t>Deploy only when objective metrics improve.</w:t>
      </w:r>
    </w:p>
    <w:p>
      <w:pPr>
        <w:pStyle w:val="ListNumber"/>
      </w:pPr>
      <w:r>
        <w:t>Monitor production performance.</w:t>
      </w:r>
    </w:p>
    <w:p>
      <w:pPr>
        <w:pStyle w:val="ListNumber"/>
      </w:pPr>
      <w:r>
        <w:t>Repeat the cycle as the dataset grows.</w:t>
      </w:r>
    </w:p>
    <w:p>
      <w:pPr>
        <w:pStyle w:val="Heading1"/>
      </w:pPr>
      <w:r>
        <w:t>11. Model Types to Evaluate</w:t>
      </w:r>
    </w:p>
    <w:p>
      <w:r>
        <w:t>The best model may not be a large generative LLM. This task is primarily classification, semantic understanding and retrieval.</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 approach</w:t>
            </w:r>
          </w:p>
        </w:tc>
        <w:tc>
          <w:tcPr>
            <w:tcW w:type="dxa" w:w="2484"/>
          </w:tcPr>
          <w:p>
            <w:r>
              <w:t>Strength</w:t>
            </w:r>
          </w:p>
        </w:tc>
        <w:tc>
          <w:tcPr>
            <w:tcW w:type="dxa" w:w="2484"/>
          </w:tcPr>
          <w:p>
            <w:r>
              <w:t>Weakness</w:t>
            </w:r>
          </w:p>
        </w:tc>
        <w:tc>
          <w:tcPr>
            <w:tcW w:type="dxa" w:w="2484"/>
          </w:tcPr>
          <w:p>
            <w:r>
              <w:t>Potential role</w:t>
            </w:r>
          </w:p>
        </w:tc>
      </w:tr>
      <w:tr>
        <w:tc>
          <w:tcPr>
            <w:tcW w:type="dxa" w:w="2484"/>
          </w:tcPr>
          <w:p>
            <w:r>
              <w:t>Transformer text classifier</w:t>
            </w:r>
          </w:p>
        </w:tc>
        <w:tc>
          <w:tcPr>
            <w:tcW w:type="dxa" w:w="2484"/>
          </w:tcPr>
          <w:p>
            <w:r>
              <w:t>Fast, focused, predictable</w:t>
            </w:r>
          </w:p>
        </w:tc>
        <w:tc>
          <w:tcPr>
            <w:tcW w:type="dxa" w:w="2484"/>
          </w:tcPr>
          <w:p>
            <w:r>
              <w:t>Needs labeled data</w:t>
            </w:r>
          </w:p>
        </w:tc>
        <w:tc>
          <w:tcPr>
            <w:tcW w:type="dxa" w:w="2484"/>
          </w:tcPr>
          <w:p>
            <w:r>
              <w:t>Primary category classifier</w:t>
            </w:r>
          </w:p>
        </w:tc>
      </w:tr>
      <w:tr>
        <w:tc>
          <w:tcPr>
            <w:tcW w:type="dxa" w:w="2484"/>
          </w:tcPr>
          <w:p>
            <w:r>
              <w:t>Sentence embedding model</w:t>
            </w:r>
          </w:p>
        </w:tc>
        <w:tc>
          <w:tcPr>
            <w:tcW w:type="dxa" w:w="2484"/>
          </w:tcPr>
          <w:p>
            <w:r>
              <w:t>Excellent semantic matching</w:t>
            </w:r>
          </w:p>
        </w:tc>
        <w:tc>
          <w:tcPr>
            <w:tcW w:type="dxa" w:w="2484"/>
          </w:tcPr>
          <w:p>
            <w:r>
              <w:t>Does not directly decide every category</w:t>
            </w:r>
          </w:p>
        </w:tc>
        <w:tc>
          <w:tcPr>
            <w:tcW w:type="dxa" w:w="2484"/>
          </w:tcPr>
          <w:p>
            <w:r>
              <w:t>Memory/retrieval</w:t>
            </w:r>
          </w:p>
        </w:tc>
      </w:tr>
      <w:tr>
        <w:tc>
          <w:tcPr>
            <w:tcW w:type="dxa" w:w="2484"/>
          </w:tcPr>
          <w:p>
            <w:r>
              <w:t>Small instruction LLM</w:t>
            </w:r>
          </w:p>
        </w:tc>
        <w:tc>
          <w:tcPr>
            <w:tcW w:type="dxa" w:w="2484"/>
          </w:tcPr>
          <w:p>
            <w:r>
              <w:t>Handles ambiguity and explanations</w:t>
            </w:r>
          </w:p>
        </w:tc>
        <w:tc>
          <w:tcPr>
            <w:tcW w:type="dxa" w:w="2484"/>
          </w:tcPr>
          <w:p>
            <w:r>
              <w:t>Higher compute cost</w:t>
            </w:r>
          </w:p>
        </w:tc>
        <w:tc>
          <w:tcPr>
            <w:tcW w:type="dxa" w:w="2484"/>
          </w:tcPr>
          <w:p>
            <w:r>
              <w:t>Difficult cases/clarification</w:t>
            </w:r>
          </w:p>
        </w:tc>
      </w:tr>
      <w:tr>
        <w:tc>
          <w:tcPr>
            <w:tcW w:type="dxa" w:w="2484"/>
          </w:tcPr>
          <w:p>
            <w:r>
              <w:t>Hybrid model</w:t>
            </w:r>
          </w:p>
        </w:tc>
        <w:tc>
          <w:tcPr>
            <w:tcW w:type="dxa" w:w="2484"/>
          </w:tcPr>
          <w:p>
            <w:r>
              <w:t>Combines strengths</w:t>
            </w:r>
          </w:p>
        </w:tc>
        <w:tc>
          <w:tcPr>
            <w:tcW w:type="dxa" w:w="2484"/>
          </w:tcPr>
          <w:p>
            <w:r>
              <w:t>More engineering</w:t>
            </w:r>
          </w:p>
        </w:tc>
        <w:tc>
          <w:tcPr>
            <w:tcW w:type="dxa" w:w="2484"/>
          </w:tcPr>
          <w:p>
            <w:r>
              <w:t>Likely best long-term architecture</w:t>
            </w:r>
          </w:p>
        </w:tc>
      </w:tr>
      <w:tr>
        <w:tc>
          <w:tcPr>
            <w:tcW w:type="dxa" w:w="2484"/>
          </w:tcPr>
          <w:p>
            <w:r>
              <w:t>Large general LLM</w:t>
            </w:r>
          </w:p>
        </w:tc>
        <w:tc>
          <w:tcPr>
            <w:tcW w:type="dxa" w:w="2484"/>
          </w:tcPr>
          <w:p>
            <w:r>
              <w:t>Broad reasoning</w:t>
            </w:r>
          </w:p>
        </w:tc>
        <w:tc>
          <w:tcPr>
            <w:tcW w:type="dxa" w:w="2484"/>
          </w:tcPr>
          <w:p>
            <w:r>
              <w:t>Cost/latency/complexity</w:t>
            </w:r>
          </w:p>
        </w:tc>
        <w:tc>
          <w:tcPr>
            <w:tcW w:type="dxa" w:w="2484"/>
          </w:tcPr>
          <w:p>
            <w:r>
              <w:t>Fallback or teacher model</w:t>
            </w:r>
          </w:p>
        </w:tc>
      </w:tr>
    </w:tbl>
    <w:p>
      <w:pPr>
        <w:pStyle w:val="Heading1"/>
      </w:pPr>
      <w:r>
        <w:t>12. Recommended Model Strategy</w:t>
      </w:r>
    </w:p>
    <w:p>
      <w:r>
        <w:t>A hybrid architecture is the strongest candidate for investigation. Use a small, specialized classifier/embedding system for the majority of receipt items and reserve a more capable reasoning model for ambiguous cases.</w:t>
      </w:r>
    </w:p>
    <w:p>
      <w:pPr>
        <w:jc w:val="center"/>
      </w:pPr>
      <w:r>
        <w:rPr>
          <w:b/>
        </w:rPr>
        <w:t>FAST PATH: Specialized Model → High Confidence → Assign</w:t>
      </w:r>
    </w:p>
    <w:p>
      <w:pPr>
        <w:jc w:val="center"/>
      </w:pPr>
      <w:r>
        <w:rPr>
          <w:b/>
        </w:rPr>
        <w:t>SMART PATH: Retrieval → Specialized Model → Low Confidence → Reasoning/Clarification</w:t>
      </w:r>
    </w:p>
    <w:p>
      <w:r>
        <w:t>This can dramatically reduce inference cost while preserving the ability to handle difficult products.</w:t>
      </w:r>
    </w:p>
    <w:p>
      <w:pPr>
        <w:pStyle w:val="Heading1"/>
      </w:pPr>
      <w:r>
        <w:t>13. Hosting the AI as an API</w:t>
      </w:r>
    </w:p>
    <w:p>
      <w:r>
        <w:t>The AI service can be hosted independently from the Bluehost application server. Options include a managed inference platform, a dedicated GPU VPS/server, or a containerized service on a cloud GPU platform.</w:t>
      </w:r>
    </w:p>
    <w:p>
      <w:r>
        <w:t>Managed services such as Hugging Face Inference Endpoints currently provide dedicated model endpoints, autoscaling and multiple inference engines. Their published pricing includes CPU endpoints and GPU options such as NVIDIA T4 and L4 instances; for example, their current listed L4 endpoint rate is $0.80/hour for one L4, while pricing varies by hardware and replicas. citeturn0search0turn0search2</w:t>
      </w:r>
    </w:p>
    <w:p>
      <w:r>
        <w:t>A managed endpoint can reduce infrastructure engineering, while a self-hosted GPU service provides greater control and may become more economical at sustained utilization. This tradeoff should be measured rather than assumed.</w:t>
      </w:r>
    </w:p>
    <w:p>
      <w:pPr>
        <w:pStyle w:val="Heading1"/>
      </w:pPr>
      <w:r>
        <w:t>14. Cost Structure</w:t>
      </w:r>
    </w:p>
    <w:p>
      <w:r>
        <w:t>This architecture introduces several cost categories:</w:t>
      </w:r>
    </w:p>
    <w:p>
      <w:pPr>
        <w:pStyle w:val="ListBullet"/>
      </w:pPr>
      <w:r>
        <w:t>AI inference compute.</w:t>
      </w:r>
    </w:p>
    <w:p>
      <w:pPr>
        <w:pStyle w:val="ListBullet"/>
      </w:pPr>
      <w:r>
        <w:t>Model training/fine-tuning compute.</w:t>
      </w:r>
    </w:p>
    <w:p>
      <w:pPr>
        <w:pStyle w:val="ListBullet"/>
      </w:pPr>
      <w:r>
        <w:t>Model storage and artifact storage.</w:t>
      </w:r>
    </w:p>
    <w:p>
      <w:pPr>
        <w:pStyle w:val="ListBullet"/>
      </w:pPr>
      <w:r>
        <w:t>Training/evaluation data storage.</w:t>
      </w:r>
    </w:p>
    <w:p>
      <w:pPr>
        <w:pStyle w:val="ListBullet"/>
      </w:pPr>
      <w:r>
        <w:t>API/network traffic.</w:t>
      </w:r>
    </w:p>
    <w:p>
      <w:pPr>
        <w:pStyle w:val="ListBullet"/>
      </w:pPr>
      <w:r>
        <w:t>Monitoring and logging.</w:t>
      </w:r>
    </w:p>
    <w:p>
      <w:pPr>
        <w:pStyle w:val="ListBullet"/>
      </w:pPr>
      <w:r>
        <w:t>Database/vector storage.</w:t>
      </w:r>
    </w:p>
    <w:p>
      <w:pPr>
        <w:pStyle w:val="ListBullet"/>
      </w:pPr>
      <w:r>
        <w:t>Engineering time for ML/data infrastructure.</w:t>
      </w:r>
    </w:p>
    <w:p>
      <w:pPr>
        <w:pStyle w:val="ListBullet"/>
      </w:pPr>
      <w:r>
        <w:t>Ongoing model evaluation and retraining.</w:t>
      </w:r>
    </w:p>
    <w:p>
      <w:r>
        <w:t>A dedicated model can lower application-server requirements because AI inference no longer competes with PHP, PostgreSQL and Redis for the same RAM/CPU. However, the AI service becomes a distinct recurring infrastructure cost.</w:t>
      </w:r>
    </w:p>
    <w:p>
      <w:pPr>
        <w:pStyle w:val="Heading1"/>
      </w:pPr>
      <w:r>
        <w:t>15. Illustrative AI Hosting Economics</w:t>
      </w:r>
    </w:p>
    <w:p>
      <w:r>
        <w:t>As a current reference point, Hugging Face lists an AWS NVIDIA L4 dedicated inference endpoint at $0.80/hour. At continuous 730-hour/month utilization, that is approximately $584/month before other costs. A T4 is listed at $0.50/hour, or approximately $365/month at continuous utilization. Actual cost can be lower with scale-to-zero or autoscaling when the workload permits, and higher with multiple replicas. citeturn0search0</w:t>
      </w:r>
    </w:p>
    <w:p>
      <w:r>
        <w:t>These figures are planning references, not a final vendor selection. Other cloud providers and self-hosted GPU servers should be evaluated.</w:t>
      </w:r>
    </w:p>
    <w:p>
      <w:pPr>
        <w:pStyle w:val="Heading1"/>
      </w:pPr>
      <w:r>
        <w:t>16. Security Model</w:t>
      </w:r>
    </w:p>
    <w:p>
      <w:pPr>
        <w:pStyle w:val="ListBullet"/>
      </w:pPr>
      <w:r>
        <w:t>The mobile application never receives direct access to the model server.</w:t>
      </w:r>
    </w:p>
    <w:p>
      <w:pPr>
        <w:pStyle w:val="ListBullet"/>
      </w:pPr>
      <w:r>
        <w:t>The application API authenticates the user.</w:t>
      </w:r>
    </w:p>
    <w:p>
      <w:pPr>
        <w:pStyle w:val="ListBullet"/>
      </w:pPr>
      <w:r>
        <w:t>The AI Gateway authenticates the application service.</w:t>
      </w:r>
    </w:p>
    <w:p>
      <w:pPr>
        <w:pStyle w:val="ListBullet"/>
      </w:pPr>
      <w:r>
        <w:t>User identifiers should be opaque or minimized in AI requests.</w:t>
      </w:r>
    </w:p>
    <w:p>
      <w:pPr>
        <w:pStyle w:val="ListBullet"/>
      </w:pPr>
      <w:r>
        <w:t>Private receipt content should not be retained by the model service unless required.</w:t>
      </w:r>
    </w:p>
    <w:p>
      <w:pPr>
        <w:pStyle w:val="ListBullet"/>
      </w:pPr>
      <w:r>
        <w:t>Training data should be separated from production data and subject to explicit privacy controls.</w:t>
      </w:r>
    </w:p>
    <w:p>
      <w:pPr>
        <w:pStyle w:val="ListBullet"/>
      </w:pPr>
      <w:r>
        <w:t>AI infrastructure should not expose PostgreSQL or internal services publicly.</w:t>
      </w:r>
    </w:p>
    <w:p>
      <w:pPr>
        <w:pStyle w:val="ListBullet"/>
      </w:pPr>
      <w:r>
        <w:t>Requests and responses should be logged with minimal sensitive content.</w:t>
      </w:r>
    </w:p>
    <w:p>
      <w:pPr>
        <w:pStyle w:val="ListBullet"/>
      </w:pPr>
      <w:r>
        <w:t>Model artifacts and training datasets require access control.</w:t>
      </w:r>
    </w:p>
    <w:p>
      <w:pPr>
        <w:pStyle w:val="Heading1"/>
      </w:pPr>
      <w:r>
        <w:t>17. Privacy and Training Data</w:t>
      </w:r>
    </w:p>
    <w:p>
      <w:r>
        <w:t>The model-training pathway creates an important distinction between application data and training data. User corrections should not automatically become training data simply because they exist.</w:t>
      </w:r>
    </w:p>
    <w:p>
      <w:pPr>
        <w:pStyle w:val="ListBullet"/>
      </w:pPr>
      <w:r>
        <w:t>Define whether users opt in to model improvement.</w:t>
      </w:r>
    </w:p>
    <w:p>
      <w:pPr>
        <w:pStyle w:val="ListBullet"/>
      </w:pPr>
      <w:r>
        <w:t>Separate personally identifiable information from training examples.</w:t>
      </w:r>
    </w:p>
    <w:p>
      <w:pPr>
        <w:pStyle w:val="ListBullet"/>
      </w:pPr>
      <w:r>
        <w:t>Remove unnecessary merchant/account identifiers from training data.</w:t>
      </w:r>
    </w:p>
    <w:p>
      <w:pPr>
        <w:pStyle w:val="ListBullet"/>
      </w:pPr>
      <w:r>
        <w:t>Maintain provenance for every training example.</w:t>
      </w:r>
    </w:p>
    <w:p>
      <w:pPr>
        <w:pStyle w:val="ListBullet"/>
      </w:pPr>
      <w:r>
        <w:t>Allow training data to be excluded or removed when required.</w:t>
      </w:r>
    </w:p>
    <w:p>
      <w:pPr>
        <w:pStyle w:val="ListBullet"/>
      </w:pPr>
      <w:r>
        <w:t>Maintain a locked evaluation set that is not contaminated by training data.</w:t>
      </w:r>
    </w:p>
    <w:p>
      <w:pPr>
        <w:pStyle w:val="Heading1"/>
      </w:pPr>
      <w:r>
        <w:t>18. Model Evaluation</w:t>
      </w:r>
    </w:p>
    <w:p>
      <w:r>
        <w:t>The model should be judged using measurable metrics, not subjective impressions alone.</w:t>
      </w:r>
    </w:p>
    <w:p>
      <w:pPr>
        <w:pStyle w:val="ListBullet"/>
      </w:pPr>
      <w:r>
        <w:t>Top-1 category accuracy.</w:t>
      </w:r>
    </w:p>
    <w:p>
      <w:pPr>
        <w:pStyle w:val="ListBullet"/>
      </w:pPr>
      <w:r>
        <w:t>Top-3 category accuracy.</w:t>
      </w:r>
    </w:p>
    <w:p>
      <w:pPr>
        <w:pStyle w:val="ListBullet"/>
      </w:pPr>
      <w:r>
        <w:t>Normalization accuracy.</w:t>
      </w:r>
    </w:p>
    <w:p>
      <w:pPr>
        <w:pStyle w:val="ListBullet"/>
      </w:pPr>
      <w:r>
        <w:t>Clarification precision — how often a clarification was actually warranted.</w:t>
      </w:r>
    </w:p>
    <w:p>
      <w:pPr>
        <w:pStyle w:val="ListBullet"/>
      </w:pPr>
      <w:r>
        <w:t>Auto-classification precision at each confidence threshold.</w:t>
      </w:r>
    </w:p>
    <w:p>
      <w:pPr>
        <w:pStyle w:val="ListBullet"/>
      </w:pPr>
      <w:r>
        <w:t>User correction rate.</w:t>
      </w:r>
    </w:p>
    <w:p>
      <w:pPr>
        <w:pStyle w:val="ListBullet"/>
      </w:pPr>
      <w:r>
        <w:t>Coverage — percentage of items the model can confidently classify.</w:t>
      </w:r>
    </w:p>
    <w:p>
      <w:pPr>
        <w:pStyle w:val="ListBullet"/>
      </w:pPr>
      <w:r>
        <w:t>Inference latency.</w:t>
      </w:r>
    </w:p>
    <w:p>
      <w:pPr>
        <w:pStyle w:val="ListBullet"/>
      </w:pPr>
      <w:r>
        <w:t>Cost per 1,000 receipt line items.</w:t>
      </w:r>
    </w:p>
    <w:p>
      <w:pPr>
        <w:pStyle w:val="ListBullet"/>
      </w:pPr>
      <w:r>
        <w:t>Accuracy by merchant and receipt format.</w:t>
      </w:r>
    </w:p>
    <w:p>
      <w:pPr>
        <w:pStyle w:val="ListBullet"/>
      </w:pPr>
      <w:r>
        <w:t>Accuracy on previously unseen products.</w:t>
      </w:r>
    </w:p>
    <w:p>
      <w:r>
        <w:t>The most important production metric is likely high-confidence precision: when the system says it knows the answer, it should be right.</w:t>
      </w:r>
    </w:p>
    <w:p>
      <w:pPr>
        <w:pStyle w:val="Heading1"/>
      </w:pPr>
      <w:r>
        <w:t>19. Handling New Products</w:t>
      </w:r>
    </w:p>
    <w:p>
      <w:r>
        <w:t>The system should not require a model retrain every time it encounters a new product. New-product handling should occur in layers:</w:t>
      </w:r>
    </w:p>
    <w:p>
      <w:pPr>
        <w:pStyle w:val="ListNumber"/>
      </w:pPr>
      <w:r>
        <w:t>Normalize the receipt description.</w:t>
      </w:r>
    </w:p>
    <w:p>
      <w:pPr>
        <w:pStyle w:val="ListNumber"/>
      </w:pPr>
      <w:r>
        <w:t>Search semantic product knowledge.</w:t>
      </w:r>
    </w:p>
    <w:p>
      <w:pPr>
        <w:pStyle w:val="ListNumber"/>
      </w:pPr>
      <w:r>
        <w:t>Search private user memory.</w:t>
      </w:r>
    </w:p>
    <w:p>
      <w:pPr>
        <w:pStyle w:val="ListNumber"/>
      </w:pPr>
      <w:r>
        <w:t>Predict the category with the specialized model.</w:t>
      </w:r>
    </w:p>
    <w:p>
      <w:pPr>
        <w:pStyle w:val="ListNumber"/>
      </w:pPr>
      <w:r>
        <w:t>Use a reasoning model or clarification workflow if confidence is low.</w:t>
      </w:r>
    </w:p>
    <w:p>
      <w:pPr>
        <w:pStyle w:val="ListNumber"/>
      </w:pPr>
      <w:r>
        <w:t>Store the verified result.</w:t>
      </w:r>
    </w:p>
    <w:p>
      <w:pPr>
        <w:pStyle w:val="ListNumber"/>
      </w:pPr>
      <w:r>
        <w:t>Accumulate repeated examples.</w:t>
      </w:r>
    </w:p>
    <w:p>
      <w:pPr>
        <w:pStyle w:val="ListNumber"/>
      </w:pPr>
      <w:r>
        <w:t>Retrain periodically when the accumulated data justifies a new model version.</w:t>
      </w:r>
    </w:p>
    <w:p>
      <w:r>
        <w:t>This means the model can learn continuously through knowledge and memory while formal model retraining happens on a controlled cadence.</w:t>
      </w:r>
    </w:p>
    <w:p>
      <w:pPr>
        <w:pStyle w:val="Heading1"/>
      </w:pPr>
      <w:r>
        <w:t>20. Model Versioning</w:t>
      </w:r>
    </w:p>
    <w:p>
      <w:pPr>
        <w:pStyle w:val="ListBullet"/>
      </w:pPr>
      <w:r>
        <w:t>Every prediction records model version.</w:t>
      </w:r>
    </w:p>
    <w:p>
      <w:pPr>
        <w:pStyle w:val="ListBullet"/>
      </w:pPr>
      <w:r>
        <w:t>Every model has a reproducible training configuration.</w:t>
      </w:r>
    </w:p>
    <w:p>
      <w:pPr>
        <w:pStyle w:val="ListBullet"/>
      </w:pPr>
      <w:r>
        <w:t>Models are promoted through development → validation → production.</w:t>
      </w:r>
    </w:p>
    <w:p>
      <w:pPr>
        <w:pStyle w:val="ListBullet"/>
      </w:pPr>
      <w:r>
        <w:t>Rollback to a previous model must be possible.</w:t>
      </w:r>
    </w:p>
    <w:p>
      <w:pPr>
        <w:pStyle w:val="ListBullet"/>
      </w:pPr>
      <w:r>
        <w:t>A/B or shadow testing can compare new models before full release.</w:t>
      </w:r>
    </w:p>
    <w:p>
      <w:pPr>
        <w:pStyle w:val="ListBullet"/>
      </w:pPr>
      <w:r>
        <w:t>The API contract remains stable while the model version changes.</w:t>
      </w:r>
    </w:p>
    <w:p>
      <w:pPr>
        <w:pStyle w:val="Heading1"/>
      </w:pPr>
      <w:r>
        <w:t>21. Failure Handling</w:t>
      </w:r>
    </w:p>
    <w:p>
      <w:pPr>
        <w:pStyle w:val="ListBullet"/>
      </w:pPr>
      <w:r>
        <w:t>AI service unavailable → queue the receipt for retry.</w:t>
      </w:r>
    </w:p>
    <w:p>
      <w:pPr>
        <w:pStyle w:val="ListBullet"/>
      </w:pPr>
      <w:r>
        <w:t>Model timeout → retry with controlled limits.</w:t>
      </w:r>
    </w:p>
    <w:p>
      <w:pPr>
        <w:pStyle w:val="ListBullet"/>
      </w:pPr>
      <w:r>
        <w:t>Low confidence → request clarification.</w:t>
      </w:r>
    </w:p>
    <w:p>
      <w:pPr>
        <w:pStyle w:val="ListBullet"/>
      </w:pPr>
      <w:r>
        <w:t>Invalid model response → reject and retry/fallback.</w:t>
      </w:r>
    </w:p>
    <w:p>
      <w:pPr>
        <w:pStyle w:val="ListBullet"/>
      </w:pPr>
      <w:r>
        <w:t>Database unavailable → do not lose the job; preserve durable task state.</w:t>
      </w:r>
    </w:p>
    <w:p>
      <w:pPr>
        <w:pStyle w:val="ListBullet"/>
      </w:pPr>
      <w:r>
        <w:t>AI service degraded → application remains available for manual categorization.</w:t>
      </w:r>
    </w:p>
    <w:p>
      <w:pPr>
        <w:pStyle w:val="Heading1"/>
      </w:pPr>
      <w:r>
        <w:t>22. Development Effort</w:t>
      </w:r>
    </w:p>
    <w:p>
      <w:r>
        <w:t>This pathway adds a machine-learning platform to the application. The additional engineering areas include:</w:t>
      </w:r>
    </w:p>
    <w:p>
      <w:pPr>
        <w:pStyle w:val="ListBullet"/>
      </w:pPr>
      <w:r>
        <w:t>Training-data pipeline.</w:t>
      </w:r>
    </w:p>
    <w:p>
      <w:pPr>
        <w:pStyle w:val="ListBullet"/>
      </w:pPr>
      <w:r>
        <w:t>Model selection and experimentation.</w:t>
      </w:r>
    </w:p>
    <w:p>
      <w:pPr>
        <w:pStyle w:val="ListBullet"/>
      </w:pPr>
      <w:r>
        <w:t>Fine-tuning/training workflow.</w:t>
      </w:r>
    </w:p>
    <w:p>
      <w:pPr>
        <w:pStyle w:val="ListBullet"/>
      </w:pPr>
      <w:r>
        <w:t>Evaluation framework.</w:t>
      </w:r>
    </w:p>
    <w:p>
      <w:pPr>
        <w:pStyle w:val="ListBullet"/>
      </w:pPr>
      <w:r>
        <w:t>Model registry/versioning.</w:t>
      </w:r>
    </w:p>
    <w:p>
      <w:pPr>
        <w:pStyle w:val="ListBullet"/>
      </w:pPr>
      <w:r>
        <w:t>Inference API.</w:t>
      </w:r>
    </w:p>
    <w:p>
      <w:pPr>
        <w:pStyle w:val="ListBullet"/>
      </w:pPr>
      <w:r>
        <w:t>GPU/container deployment.</w:t>
      </w:r>
    </w:p>
    <w:p>
      <w:pPr>
        <w:pStyle w:val="ListBullet"/>
      </w:pPr>
      <w:r>
        <w:t>Model monitoring.</w:t>
      </w:r>
    </w:p>
    <w:p>
      <w:pPr>
        <w:pStyle w:val="ListBullet"/>
      </w:pPr>
      <w:r>
        <w:t>Retraining workflow.</w:t>
      </w:r>
    </w:p>
    <w:p>
      <w:pPr>
        <w:pStyle w:val="ListBullet"/>
      </w:pPr>
      <w:r>
        <w:t>Dataset privacy/governance.</w:t>
      </w:r>
    </w:p>
    <w:p>
      <w:r>
        <w:t>The additional effort is significant, but it creates a proprietary AI capability that can become a long-term MainzWare asset.</w:t>
      </w:r>
    </w:p>
    <w:p>
      <w:pPr>
        <w:pStyle w:val="Heading1"/>
      </w:pPr>
      <w:r>
        <w:t>23. Cost and Effort Compared With the Application-Hosted Model</w:t>
      </w:r>
    </w:p>
    <w:p>
      <w:r>
        <w:t>This pathway should be evaluated against the architecture in which Ollama/model inference is hosted with the budget application. The comparison should focus on total cost of ownership and product quality rather than infrastructure cost alone.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Dimension</w:t>
            </w:r>
          </w:p>
        </w:tc>
        <w:tc>
          <w:tcPr>
            <w:tcW w:type="dxa" w:w="2484"/>
          </w:tcPr>
          <w:p>
            <w:r>
              <w:t>Dedicated MainzWare AI API</w:t>
            </w:r>
          </w:p>
        </w:tc>
        <w:tc>
          <w:tcPr>
            <w:tcW w:type="dxa" w:w="2484"/>
          </w:tcPr>
          <w:p>
            <w:r>
              <w:t>Model hosted with app</w:t>
            </w:r>
          </w:p>
        </w:tc>
        <w:tc>
          <w:tcPr>
            <w:tcW w:type="dxa" w:w="2484"/>
          </w:tcPr>
          <w:p>
            <w:r>
              <w:t>Planning implication</w:t>
            </w:r>
          </w:p>
        </w:tc>
      </w:tr>
      <w:tr>
        <w:tc>
          <w:tcPr>
            <w:tcW w:type="dxa" w:w="2484"/>
          </w:tcPr>
          <w:p>
            <w:r>
              <w:t>Initial engineering</w:t>
            </w:r>
          </w:p>
        </w:tc>
        <w:tc>
          <w:tcPr>
            <w:tcW w:type="dxa" w:w="2484"/>
          </w:tcPr>
          <w:p>
            <w:r>
              <w:t>Higher</w:t>
            </w:r>
          </w:p>
        </w:tc>
        <w:tc>
          <w:tcPr>
            <w:tcW w:type="dxa" w:w="2484"/>
          </w:tcPr>
          <w:p>
            <w:r>
              <w:t>Lower</w:t>
            </w:r>
          </w:p>
        </w:tc>
        <w:tc>
          <w:tcPr>
            <w:tcW w:type="dxa" w:w="2484"/>
          </w:tcPr>
          <w:p>
            <w:r>
              <w:t>Dedicated AI requires ML platform work</w:t>
            </w:r>
          </w:p>
        </w:tc>
      </w:tr>
      <w:tr>
        <w:tc>
          <w:tcPr>
            <w:tcW w:type="dxa" w:w="2484"/>
          </w:tcPr>
          <w:p>
            <w:r>
              <w:t>Initial infrastructure</w:t>
            </w:r>
          </w:p>
        </w:tc>
        <w:tc>
          <w:tcPr>
            <w:tcW w:type="dxa" w:w="2484"/>
          </w:tcPr>
          <w:p>
            <w:r>
              <w:t>Higher or separate</w:t>
            </w:r>
          </w:p>
        </w:tc>
        <w:tc>
          <w:tcPr>
            <w:tcW w:type="dxa" w:w="2484"/>
          </w:tcPr>
          <w:p>
            <w:r>
              <w:t>Lower</w:t>
            </w:r>
          </w:p>
        </w:tc>
        <w:tc>
          <w:tcPr>
            <w:tcW w:type="dxa" w:w="2484"/>
          </w:tcPr>
          <w:p>
            <w:r>
              <w:t>App server can remain small in integrated model</w:t>
            </w:r>
          </w:p>
        </w:tc>
      </w:tr>
      <w:tr>
        <w:tc>
          <w:tcPr>
            <w:tcW w:type="dxa" w:w="2484"/>
          </w:tcPr>
          <w:p>
            <w:r>
              <w:t>AI isolation</w:t>
            </w:r>
          </w:p>
        </w:tc>
        <w:tc>
          <w:tcPr>
            <w:tcW w:type="dxa" w:w="2484"/>
          </w:tcPr>
          <w:p>
            <w:r>
              <w:t>Excellent</w:t>
            </w:r>
          </w:p>
        </w:tc>
        <w:tc>
          <w:tcPr>
            <w:tcW w:type="dxa" w:w="2484"/>
          </w:tcPr>
          <w:p>
            <w:r>
              <w:t>Limited</w:t>
            </w:r>
          </w:p>
        </w:tc>
        <w:tc>
          <w:tcPr>
            <w:tcW w:type="dxa" w:w="2484"/>
          </w:tcPr>
          <w:p>
            <w:r>
              <w:t>Dedicated API protects application resources</w:t>
            </w:r>
          </w:p>
        </w:tc>
      </w:tr>
      <w:tr>
        <w:tc>
          <w:tcPr>
            <w:tcW w:type="dxa" w:w="2484"/>
          </w:tcPr>
          <w:p>
            <w:r>
              <w:t>Model specialization</w:t>
            </w:r>
          </w:p>
        </w:tc>
        <w:tc>
          <w:tcPr>
            <w:tcW w:type="dxa" w:w="2484"/>
          </w:tcPr>
          <w:p>
            <w:r>
              <w:t>Excellent</w:t>
            </w:r>
          </w:p>
        </w:tc>
        <w:tc>
          <w:tcPr>
            <w:tcW w:type="dxa" w:w="2484"/>
          </w:tcPr>
          <w:p>
            <w:r>
              <w:t>Good</w:t>
            </w:r>
          </w:p>
        </w:tc>
        <w:tc>
          <w:tcPr>
            <w:tcW w:type="dxa" w:w="2484"/>
          </w:tcPr>
          <w:p>
            <w:r>
              <w:t>Both can use specialized models</w:t>
            </w:r>
          </w:p>
        </w:tc>
      </w:tr>
      <w:tr>
        <w:tc>
          <w:tcPr>
            <w:tcW w:type="dxa" w:w="2484"/>
          </w:tcPr>
          <w:p>
            <w:r>
              <w:t>Independent scaling</w:t>
            </w:r>
          </w:p>
        </w:tc>
        <w:tc>
          <w:tcPr>
            <w:tcW w:type="dxa" w:w="2484"/>
          </w:tcPr>
          <w:p>
            <w:r>
              <w:t>Excellent</w:t>
            </w:r>
          </w:p>
        </w:tc>
        <w:tc>
          <w:tcPr>
            <w:tcW w:type="dxa" w:w="2484"/>
          </w:tcPr>
          <w:p>
            <w:r>
              <w:t>Limited</w:t>
            </w:r>
          </w:p>
        </w:tc>
        <w:tc>
          <w:tcPr>
            <w:tcW w:type="dxa" w:w="2484"/>
          </w:tcPr>
          <w:p>
            <w:r>
              <w:t>AI scales separately</w:t>
            </w:r>
          </w:p>
        </w:tc>
      </w:tr>
      <w:tr>
        <w:tc>
          <w:tcPr>
            <w:tcW w:type="dxa" w:w="2484"/>
          </w:tcPr>
          <w:p>
            <w:r>
              <w:t>Training pipeline</w:t>
            </w:r>
          </w:p>
        </w:tc>
        <w:tc>
          <w:tcPr>
            <w:tcW w:type="dxa" w:w="2484"/>
          </w:tcPr>
          <w:p>
            <w:r>
              <w:t>Required</w:t>
            </w:r>
          </w:p>
        </w:tc>
        <w:tc>
          <w:tcPr>
            <w:tcW w:type="dxa" w:w="2484"/>
          </w:tcPr>
          <w:p>
            <w:r>
              <w:t>Still useful</w:t>
            </w:r>
          </w:p>
        </w:tc>
        <w:tc>
          <w:tcPr>
            <w:tcW w:type="dxa" w:w="2484"/>
          </w:tcPr>
          <w:p>
            <w:r>
              <w:t>Training is valuable in either architecture</w:t>
            </w:r>
          </w:p>
        </w:tc>
      </w:tr>
      <w:tr>
        <w:tc>
          <w:tcPr>
            <w:tcW w:type="dxa" w:w="2484"/>
          </w:tcPr>
          <w:p>
            <w:r>
              <w:t>Operational complexity</w:t>
            </w:r>
          </w:p>
        </w:tc>
        <w:tc>
          <w:tcPr>
            <w:tcW w:type="dxa" w:w="2484"/>
          </w:tcPr>
          <w:p>
            <w:r>
              <w:t>Higher</w:t>
            </w:r>
          </w:p>
        </w:tc>
        <w:tc>
          <w:tcPr>
            <w:tcW w:type="dxa" w:w="2484"/>
          </w:tcPr>
          <w:p>
            <w:r>
              <w:t>Lower</w:t>
            </w:r>
          </w:p>
        </w:tc>
        <w:tc>
          <w:tcPr>
            <w:tcW w:type="dxa" w:w="2484"/>
          </w:tcPr>
          <w:p>
            <w:r>
              <w:t>More services to operate</w:t>
            </w:r>
          </w:p>
        </w:tc>
      </w:tr>
      <w:tr>
        <w:tc>
          <w:tcPr>
            <w:tcW w:type="dxa" w:w="2484"/>
          </w:tcPr>
          <w:p>
            <w:r>
              <w:t>Long-term AI reuse</w:t>
            </w:r>
          </w:p>
        </w:tc>
        <w:tc>
          <w:tcPr>
            <w:tcW w:type="dxa" w:w="2484"/>
          </w:tcPr>
          <w:p>
            <w:r>
              <w:t>Excellent</w:t>
            </w:r>
          </w:p>
        </w:tc>
        <w:tc>
          <w:tcPr>
            <w:tcW w:type="dxa" w:w="2484"/>
          </w:tcPr>
          <w:p>
            <w:r>
              <w:t>Moderate</w:t>
            </w:r>
          </w:p>
        </w:tc>
        <w:tc>
          <w:tcPr>
            <w:tcW w:type="dxa" w:w="2484"/>
          </w:tcPr>
          <w:p>
            <w:r>
              <w:t>API can serve future MainzWare products</w:t>
            </w:r>
          </w:p>
        </w:tc>
      </w:tr>
      <w:tr>
        <w:tc>
          <w:tcPr>
            <w:tcW w:type="dxa" w:w="2484"/>
          </w:tcPr>
          <w:p>
            <w:r>
              <w:t>Potential AI cost at scale</w:t>
            </w:r>
          </w:p>
        </w:tc>
        <w:tc>
          <w:tcPr>
            <w:tcW w:type="dxa" w:w="2484"/>
          </w:tcPr>
          <w:p>
            <w:r>
              <w:t>Can be optimized independently</w:t>
            </w:r>
          </w:p>
        </w:tc>
        <w:tc>
          <w:tcPr>
            <w:tcW w:type="dxa" w:w="2484"/>
          </w:tcPr>
          <w:p>
            <w:r>
              <w:t>Competes with app infrastructure</w:t>
            </w:r>
          </w:p>
        </w:tc>
        <w:tc>
          <w:tcPr>
            <w:tcW w:type="dxa" w:w="2484"/>
          </w:tcPr>
          <w:p>
            <w:r>
              <w:t>Depends heavily on workload</w:t>
            </w:r>
          </w:p>
        </w:tc>
      </w:tr>
      <w:tr>
        <w:tc>
          <w:tcPr>
            <w:tcW w:type="dxa" w:w="2484"/>
          </w:tcPr>
          <w:p>
            <w:r>
              <w:t>Vendor dependence</w:t>
            </w:r>
          </w:p>
        </w:tc>
        <w:tc>
          <w:tcPr>
            <w:tcW w:type="dxa" w:w="2484"/>
          </w:tcPr>
          <w:p>
            <w:r>
              <w:t>Depends on hosting choice</w:t>
            </w:r>
          </w:p>
        </w:tc>
        <w:tc>
          <w:tcPr>
            <w:tcW w:type="dxa" w:w="2484"/>
          </w:tcPr>
          <w:p>
            <w:r>
              <w:t>Lower if self-hosted</w:t>
            </w:r>
          </w:p>
        </w:tc>
        <w:tc>
          <w:tcPr>
            <w:tcW w:type="dxa" w:w="2484"/>
          </w:tcPr>
          <w:p>
            <w:r>
              <w:t>Dedicated API can still be self-hosted</w:t>
            </w:r>
          </w:p>
        </w:tc>
      </w:tr>
      <w:tr>
        <w:tc>
          <w:tcPr>
            <w:tcW w:type="dxa" w:w="2484"/>
          </w:tcPr>
          <w:p>
            <w:r>
              <w:t>Proprietary AI asset</w:t>
            </w:r>
          </w:p>
        </w:tc>
        <w:tc>
          <w:tcPr>
            <w:tcW w:type="dxa" w:w="2484"/>
          </w:tcPr>
          <w:p>
            <w:r>
              <w:t>Strong</w:t>
            </w:r>
          </w:p>
        </w:tc>
        <w:tc>
          <w:tcPr>
            <w:tcW w:type="dxa" w:w="2484"/>
          </w:tcPr>
          <w:p>
            <w:r>
              <w:t>Possible</w:t>
            </w:r>
          </w:p>
        </w:tc>
        <w:tc>
          <w:tcPr>
            <w:tcW w:type="dxa" w:w="2484"/>
          </w:tcPr>
          <w:p>
            <w:r>
              <w:t>Dedicated architecture encourages formal model ownership</w:t>
            </w:r>
          </w:p>
        </w:tc>
      </w:tr>
    </w:tbl>
    <w:p>
      <w:pPr>
        <w:pStyle w:val="Heading1"/>
      </w:pPr>
      <w:r>
        <w:t>24. Recommended Decision Framework</w:t>
      </w:r>
    </w:p>
    <w:p>
      <w:r>
        <w:t>Do not choose the architecture solely on the basis of today's infrastructure bill. Evaluate both pathways against the goal of producing the best possible budgeting application.</w:t>
      </w:r>
    </w:p>
    <w:p>
      <w:pPr>
        <w:pStyle w:val="ListBullet"/>
      </w:pPr>
      <w:r>
        <w:t>Classification accuracy.</w:t>
      </w:r>
    </w:p>
    <w:p>
      <w:pPr>
        <w:pStyle w:val="ListBullet"/>
      </w:pPr>
      <w:r>
        <w:t>Accuracy on unseen products.</w:t>
      </w:r>
    </w:p>
    <w:p>
      <w:pPr>
        <w:pStyle w:val="ListBullet"/>
      </w:pPr>
      <w:r>
        <w:t>User correction rate.</w:t>
      </w:r>
    </w:p>
    <w:p>
      <w:pPr>
        <w:pStyle w:val="ListBullet"/>
      </w:pPr>
      <w:r>
        <w:t>Clarification quality.</w:t>
      </w:r>
    </w:p>
    <w:p>
      <w:pPr>
        <w:pStyle w:val="ListBullet"/>
      </w:pPr>
      <w:r>
        <w:t>Inference latency.</w:t>
      </w:r>
    </w:p>
    <w:p>
      <w:pPr>
        <w:pStyle w:val="ListBullet"/>
      </w:pPr>
      <w:r>
        <w:t>Cost per receipt.</w:t>
      </w:r>
    </w:p>
    <w:p>
      <w:pPr>
        <w:pStyle w:val="ListBullet"/>
      </w:pPr>
      <w:r>
        <w:t>Cost per 1,000 line items.</w:t>
      </w:r>
    </w:p>
    <w:p>
      <w:pPr>
        <w:pStyle w:val="ListBullet"/>
      </w:pPr>
      <w:r>
        <w:t>Engineering effort.</w:t>
      </w:r>
    </w:p>
    <w:p>
      <w:pPr>
        <w:pStyle w:val="ListBullet"/>
      </w:pPr>
      <w:r>
        <w:t>Operational complexity.</w:t>
      </w:r>
    </w:p>
    <w:p>
      <w:pPr>
        <w:pStyle w:val="ListBullet"/>
      </w:pPr>
      <w:r>
        <w:t>Privacy/control.</w:t>
      </w:r>
    </w:p>
    <w:p>
      <w:pPr>
        <w:pStyle w:val="ListBullet"/>
      </w:pPr>
      <w:r>
        <w:t>Ability to scale independently.</w:t>
      </w:r>
    </w:p>
    <w:p>
      <w:pPr>
        <w:pStyle w:val="ListBullet"/>
      </w:pPr>
      <w:r>
        <w:t>Ability to reuse the AI in future MainzWare products.</w:t>
      </w:r>
    </w:p>
    <w:p>
      <w:pPr>
        <w:pStyle w:val="Heading1"/>
      </w:pPr>
      <w:r>
        <w:t>25. Proposed Build Sequence for This Pathway</w:t>
      </w:r>
    </w:p>
    <w:p>
      <w:pPr>
        <w:pStyle w:val="Heading2"/>
      </w:pPr>
      <w:r>
        <w:t>Stage 1 — Define the taxonomy</w:t>
      </w:r>
    </w:p>
    <w:p>
      <w:r>
        <w:t>Finalize the hierarchical budget categories and output contract.</w:t>
      </w:r>
    </w:p>
    <w:p>
      <w:pPr>
        <w:pStyle w:val="Heading2"/>
      </w:pPr>
      <w:r>
        <w:t>Stage 2 — Build the data pipeline</w:t>
      </w:r>
    </w:p>
    <w:p>
      <w:r>
        <w:t>Capture, normalize, label and version receipt-item examples.</w:t>
      </w:r>
    </w:p>
    <w:p>
      <w:pPr>
        <w:pStyle w:val="Heading2"/>
      </w:pPr>
      <w:r>
        <w:t>Stage 3 — Establish a baseline</w:t>
      </w:r>
    </w:p>
    <w:p>
      <w:r>
        <w:t>Train/evaluate a simple classifier and embedding model to establish measurable performance.</w:t>
      </w:r>
    </w:p>
    <w:p>
      <w:pPr>
        <w:pStyle w:val="Heading2"/>
      </w:pPr>
      <w:r>
        <w:t>Stage 4 — Build the AI API</w:t>
      </w:r>
    </w:p>
    <w:p>
      <w:r>
        <w:t>Create a versioned, authenticated classification endpoint.</w:t>
      </w:r>
    </w:p>
    <w:p>
      <w:pPr>
        <w:pStyle w:val="Heading2"/>
      </w:pPr>
      <w:r>
        <w:t>Stage 5 — Integrate the budget app</w:t>
      </w:r>
    </w:p>
    <w:p>
      <w:r>
        <w:t>Replace direct model calls with the AI API contract.</w:t>
      </w:r>
    </w:p>
    <w:p>
      <w:pPr>
        <w:pStyle w:val="Heading2"/>
      </w:pPr>
      <w:r>
        <w:t>Stage 6 — Add memory and retrieval</w:t>
      </w:r>
    </w:p>
    <w:p>
      <w:r>
        <w:t>Combine model predictions with private user memory and global product knowledge.</w:t>
      </w:r>
    </w:p>
    <w:p>
      <w:pPr>
        <w:pStyle w:val="Heading2"/>
      </w:pPr>
      <w:r>
        <w:t>Stage 7 — Add difficult-item reasoning</w:t>
      </w:r>
    </w:p>
    <w:p>
      <w:r>
        <w:t>Introduce a stronger model/fallback only when the specialized classifier is uncertain.</w:t>
      </w:r>
    </w:p>
    <w:p>
      <w:pPr>
        <w:pStyle w:val="Heading2"/>
      </w:pPr>
      <w:r>
        <w:t>Stage 8 — Production hosting</w:t>
      </w:r>
    </w:p>
    <w:p>
      <w:r>
        <w:t>Deploy the model service independently with monitoring and rollback.</w:t>
      </w:r>
    </w:p>
    <w:p>
      <w:pPr>
        <w:pStyle w:val="Heading2"/>
      </w:pPr>
      <w:r>
        <w:t>Stage 9 — Continuous improvement</w:t>
      </w:r>
    </w:p>
    <w:p>
      <w:r>
        <w:t>Use approved user corrections to expand the dataset and periodically train improved model versions.</w:t>
      </w:r>
    </w:p>
    <w:p>
      <w:pPr>
        <w:pStyle w:val="Heading1"/>
      </w:pPr>
      <w:r>
        <w:t>26. Long-Term Opportunity</w:t>
      </w:r>
    </w:p>
    <w:p>
      <w:r>
        <w:t>If successful, the receipt AI service becomes more than an internal component of the budget app. It becomes a proprietary MainzWare AI capability that understands retail receipt language, product normalization and budget classification.</w:t>
      </w:r>
    </w:p>
    <w:p>
      <w:pPr>
        <w:pStyle w:val="ListBullet"/>
      </w:pPr>
      <w:r>
        <w:t>The budget application can consume the service.</w:t>
      </w:r>
    </w:p>
    <w:p>
      <w:pPr>
        <w:pStyle w:val="ListBullet"/>
      </w:pPr>
      <w:r>
        <w:t>Future MainzWare applications can consume the same service.</w:t>
      </w:r>
    </w:p>
    <w:p>
      <w:pPr>
        <w:pStyle w:val="ListBullet"/>
      </w:pPr>
      <w:r>
        <w:t>The model can improve as the labeled dataset grows.</w:t>
      </w:r>
    </w:p>
    <w:p>
      <w:pPr>
        <w:pStyle w:val="ListBullet"/>
      </w:pPr>
      <w:r>
        <w:t>The classification API can remain stable while models evolve underneath it.</w:t>
      </w:r>
    </w:p>
    <w:p>
      <w:pPr>
        <w:pStyle w:val="ListBullet"/>
      </w:pPr>
      <w:r>
        <w:t>The accumulated dataset and evaluation system become strategic intellectual property.</w:t>
      </w:r>
    </w:p>
    <w:p>
      <w:pPr>
        <w:pStyle w:val="Heading1"/>
      </w:pPr>
      <w:r>
        <w:t>27. Final Architectural Position</w:t>
      </w:r>
    </w:p>
    <w:p>
      <w:r>
        <w:t>The dedicated AI API pathway is a serious alternative to application-hosted inference. Its principal advantage is architectural separation: the budget application and the intelligence layer can evolve, scale and be optimized independently.</w:t>
      </w:r>
    </w:p>
    <w:p>
      <w:r>
        <w:t>The strongest version of this approach is not simply 'train a model and expose an endpoint.' It is a complete AI platform:</w:t>
      </w:r>
    </w:p>
    <w:p>
      <w:pPr>
        <w:jc w:val="center"/>
      </w:pPr>
      <w:r>
        <w:rPr>
          <w:b/>
          <w:sz w:val="28"/>
        </w:rPr>
        <w:t>SPECIALIZED MODEL + RETRIEVAL + USER MEMORY + AGENT + TRAINING DATA + EVALUATION + API</w:t>
      </w:r>
    </w:p>
    <w:p>
      <w:r>
        <w:t>The central question for the eventual architecture decision is therefore not which server is cheaper. It is which pathway gives MainzWare the best combination of intelligence, accuracy, scalability, privacy, cost and engineering effort to create an exceptional budgeting product.</w:t>
      </w:r>
    </w:p>
    <w:p>
      <w:pPr>
        <w:pStyle w:val="Heading1"/>
      </w:pPr>
      <w:r>
        <w:t>Appendix A — Example End-to-End Request</w:t>
      </w:r>
    </w:p>
    <w:p>
      <w:pPr>
        <w:pStyle w:val="ListNumber"/>
      </w:pPr>
      <w:r>
        <w:t>User photographs a receipt.</w:t>
      </w:r>
    </w:p>
    <w:p>
      <w:pPr>
        <w:pStyle w:val="ListNumber"/>
      </w:pPr>
      <w:r>
        <w:t>MainzWare API performs OCR and extracts 'HDMI CBL 6FT BLK'.</w:t>
      </w:r>
    </w:p>
    <w:p>
      <w:pPr>
        <w:pStyle w:val="ListNumber"/>
      </w:pPr>
      <w:r>
        <w:t>MainzWare API sends the line item and relevant context to the Receipt AI API.</w:t>
      </w:r>
    </w:p>
    <w:p>
      <w:pPr>
        <w:pStyle w:val="ListNumber"/>
      </w:pPr>
      <w:r>
        <w:t>AI service retrieves similar product knowledge.</w:t>
      </w:r>
    </w:p>
    <w:p>
      <w:pPr>
        <w:pStyle w:val="ListNumber"/>
      </w:pPr>
      <w:r>
        <w:t>Specialized model predicts '6-foot HDMI cable'.</w:t>
      </w:r>
    </w:p>
    <w:p>
      <w:pPr>
        <w:pStyle w:val="ListNumber"/>
      </w:pPr>
      <w:r>
        <w:t>Classifier predicts Electronics → Cables &amp; Accessories with high confidence.</w:t>
      </w:r>
    </w:p>
    <w:p>
      <w:pPr>
        <w:pStyle w:val="ListNumber"/>
      </w:pPr>
      <w:r>
        <w:t>AI API returns structured JSON with classification, confidence and model version.</w:t>
      </w:r>
    </w:p>
    <w:p>
      <w:pPr>
        <w:pStyle w:val="ListNumber"/>
      </w:pPr>
      <w:r>
        <w:t>MainzWare saves the classification and displays it to the user.</w:t>
      </w:r>
    </w:p>
    <w:p>
      <w:pPr>
        <w:pStyle w:val="ListNumber"/>
      </w:pPr>
      <w:r>
        <w:t>If the user corrects it, the correction becomes an approved learning example subject to privacy/training rules.</w:t>
      </w:r>
    </w:p>
    <w:p>
      <w:pPr>
        <w:pStyle w:val="Heading1"/>
      </w:pPr>
      <w:r>
        <w:t>Appendix B — Example Difficult Item</w:t>
      </w:r>
    </w:p>
    <w:p>
      <w:pPr>
        <w:pStyle w:val="ListNumber"/>
      </w:pPr>
      <w:r>
        <w:t>Receipt contains 'EQ DISHWASH'.</w:t>
      </w:r>
    </w:p>
    <w:p>
      <w:pPr>
        <w:pStyle w:val="ListNumber"/>
      </w:pPr>
      <w:r>
        <w:t>Specialized model produces low confidence.</w:t>
      </w:r>
    </w:p>
    <w:p>
      <w:pPr>
        <w:pStyle w:val="ListNumber"/>
      </w:pPr>
      <w:r>
        <w:t>AI service checks semantic product knowledge and user memory.</w:t>
      </w:r>
    </w:p>
    <w:p>
      <w:pPr>
        <w:pStyle w:val="ListNumber"/>
      </w:pPr>
      <w:r>
        <w:t>No sufficiently reliable answer is found.</w:t>
      </w:r>
    </w:p>
    <w:p>
      <w:pPr>
        <w:pStyle w:val="ListNumber"/>
      </w:pPr>
      <w:r>
        <w:t>AI service returns REQUEST_CLARIFICATION.</w:t>
      </w:r>
    </w:p>
    <w:p>
      <w:pPr>
        <w:pStyle w:val="ListNumber"/>
      </w:pPr>
      <w:r>
        <w:t>MainzWare asks the user what the item was.</w:t>
      </w:r>
    </w:p>
    <w:p>
      <w:pPr>
        <w:pStyle w:val="ListNumber"/>
      </w:pPr>
      <w:r>
        <w:t>User answers 'dish soap'.</w:t>
      </w:r>
    </w:p>
    <w:p>
      <w:pPr>
        <w:pStyle w:val="ListNumber"/>
      </w:pPr>
      <w:r>
        <w:t>MainzWare stores the user-specific mapping.</w:t>
      </w:r>
    </w:p>
    <w:p>
      <w:pPr>
        <w:pStyle w:val="ListNumber"/>
      </w:pPr>
      <w:r>
        <w:t>The example becomes a candidate training example for future model improvement.</w:t>
      </w:r>
    </w:p>
    <w:p>
      <w:pPr>
        <w:pStyle w:val="ListNumber"/>
      </w:pPr>
      <w:r>
        <w:t>The current transaction is classified as Household → Cleaning.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