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5524500</wp:posOffset>
            </wp:positionH>
            <wp:positionV relativeFrom="paragraph">
              <wp:posOffset>0</wp:posOffset>
            </wp:positionV>
            <wp:extent cx="661560" cy="8423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60" cy="842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21"/>
        <w:gridCol w:w="7199"/>
        <w:gridCol w:w="1260"/>
        <w:tblGridChange w:id="0">
          <w:tblGrid>
            <w:gridCol w:w="1621"/>
            <w:gridCol w:w="7199"/>
            <w:gridCol w:w="126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-40004</wp:posOffset>
                  </wp:positionH>
                  <wp:positionV relativeFrom="paragraph">
                    <wp:posOffset>72390</wp:posOffset>
                  </wp:positionV>
                  <wp:extent cx="961543" cy="523875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543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University of Dhaka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Institute of Information Technology (IIT)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62499999999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Bachelor of Science in Software Engineering (BSSE)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28"/>
        <w:gridCol w:w="7920"/>
        <w:tblGridChange w:id="0">
          <w:tblGrid>
            <w:gridCol w:w="1728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506 Design Patterns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07: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2bw09vubqq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implement a library management system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Proxy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patterns. In this system, Users can borrow different types of library items (e.g., Books, Magazines, etc.). The access to restricted items is controlled through a proxy. A singleton configuration manager handles library-wide settings like late fees and opening hours. You can start with the following steps: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LibraryItem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 with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getDetails()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borrowItem()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concrete 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Magazine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other types.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LibraryItemFactory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generate the appropriate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LibraryItem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object based on user input.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LibraryAccess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interface with a method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accessItem(String itemID, User user)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concrete class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RealLibraryAccess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provide direct access to library items.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LibraryAccessProxy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that checks user permissions before allowing access to restricted items.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LibraryConfigManager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to store system-wide settings like late fees, borrowing limits, and library hours.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only one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LibraryConfigManager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exists and provide methods to retrieve and update settings.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3hbwxmj8hzp" w:id="1"/>
      <w:bookmarkEnd w:id="1"/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080" w:top="1080" w:left="1080" w:right="108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