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5"/>
      </w:pPr>
      <w:r>
        <w:rPr>
          <w:rFonts w:ascii="Calibri" w:cs="Calibri" w:eastAsia="Calibri" w:hAnsi="Calibri"/>
          <w:b/>
          <w:bCs/>
          <w:color w:val="11243A"/>
          <w:sz w:val="30"/>
          <w:szCs w:val="30"/>
        </w:rPr>
        <w:t xml:space="preserve">Razorpay Trusted Collections Agent</w:t>
      </w:r>
    </w:p>
    <w:p>
      <w:pPr>
        <w:spacing w:after="30"/>
      </w:pPr>
      <w:r>
        <w:rPr>
          <w:rFonts w:ascii="Calibri" w:cs="Calibri" w:eastAsia="Calibri" w:hAnsi="Calibri"/>
          <w:color w:val="5B6B85"/>
          <w:sz w:val="18"/>
          <w:szCs w:val="18"/>
        </w:rPr>
        <w:t xml:space="preserve">A Hindi voice agent for bounced personal-loan EMIs: it holds the call, then decides whether the AI, a person or the field team takes the borrower next.</w:t>
      </w:r>
    </w:p>
    <w:p>
      <w:pPr>
        <w:pBdr>
          <w:bottom w:val="single" w:color="C9D2E0" w:sz="6" w:space="5"/>
        </w:pBdr>
        <w:spacing w:after="45"/>
      </w:pPr>
      <w:r>
        <w:rPr>
          <w:rFonts w:ascii="Calibri" w:cs="Calibri" w:eastAsia="Calibri" w:hAnsi="Calibri"/>
          <w:color w:val="5B6B85"/>
          <w:sz w:val="15"/>
          <w:szCs w:val="15"/>
        </w:rPr>
        <w:t xml:space="preserve">Ujjwal Goel  ·  Build Challenge Track 2: Recover and Grow with AI  ·  13 October 2026</w:t>
      </w:r>
    </w:p>
    <w:p>
      <w:pPr>
        <w:spacing w:after="45" w:before="105"/>
      </w:pPr>
      <w:r>
        <w:rPr>
          <w:rFonts w:ascii="Calibri" w:cs="Calibri" w:eastAsia="Calibri" w:hAnsi="Calibri"/>
          <w:b/>
          <w:bCs/>
          <w:caps/>
          <w:color w:val="1A4FD6"/>
          <w:spacing w:val="20"/>
          <w:sz w:val="18"/>
          <w:szCs w:val="18"/>
        </w:rPr>
        <w:t xml:space="preserve">The problem</w:t>
      </w:r>
    </w:p>
    <w:p>
      <w:pPr>
        <w:spacing w:after="55" w:line="225"/>
      </w:pPr>
      <w:r>
        <w:rPr>
          <w:rFonts w:ascii="Calibri" w:cs="Calibri" w:eastAsia="Calibri" w:hAnsi="Calibri"/>
          <w:b/>
          <w:bCs/>
          <w:color w:val="11243A"/>
          <w:sz w:val="17"/>
          <w:szCs w:val="17"/>
        </w:rPr>
        <w:t xml:space="preserve">India's personal-loan book is 12.7 crore live loans, most of them small-ticket, and roughly one EMI auto-debit in three fails. </w:t>
      </w:r>
      <w:r>
        <w:rPr>
          <w:rFonts w:ascii="Calibri" w:cs="Calibri" w:eastAsia="Calibri" w:hAnsi="Calibri"/>
          <w:b/>
          <w:bCs/>
          <w:color w:val="11243A"/>
          <w:sz w:val="17"/>
          <w:szCs w:val="17"/>
        </w:rPr>
        <w:t xml:space="preserve">Recovery is then bought in headcount — one caller covers about 400 borrowers — so chasing more bounces means hiring more people, each calling without the borrower's history and logging a one-word reason. </w:t>
      </w:r>
      <w:r>
        <w:rPr>
          <w:rFonts w:ascii="Calibri" w:cs="Calibri" w:eastAsia="Calibri" w:hAnsi="Calibri"/>
          <w:b/>
          <w:bCs/>
          <w:color w:val="11243A"/>
          <w:sz w:val="17"/>
          <w:szCs w:val="17"/>
        </w:rPr>
        <w:t xml:space="preserve">The decision that actually moves money, which borrower deserves which kind of effort, is never made at all.</w:t>
      </w:r>
    </w:p>
    <w:tbl>
      <w:tblPr>
        <w:tblW w:type="dxa" w:w="9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0"/>
        <w:gridCol w:w="4100"/>
        <w:gridCol w:w="2390"/>
      </w:tblGrid>
      <w:tr>
        <w:trPr>
          <w:tblHeader/>
        </w:trPr>
        <w:tc>
          <w:tcPr>
            <w:tcW w:type="dxa" w:w="27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shd w:fill="EEF3FB" w:color="auto" w:val="clear"/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/>
                <w:bCs/>
                <w:color w:val="11243A"/>
                <w:sz w:val="15"/>
                <w:szCs w:val="15"/>
              </w:rPr>
              <w:t xml:space="preserve">India's personal loan market</w:t>
            </w:r>
          </w:p>
        </w:tc>
        <w:tc>
          <w:tcPr>
            <w:tcW w:type="dxa" w:w="410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shd w:fill="EEF3FB" w:color="auto" w:val="clear"/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/>
                <w:bCs/>
                <w:color w:val="11243A"/>
                <w:sz w:val="15"/>
                <w:szCs w:val="15"/>
              </w:rPr>
              <w:t xml:space="preserve">Figure</w:t>
            </w:r>
          </w:p>
        </w:tc>
        <w:tc>
          <w:tcPr>
            <w:tcW w:type="dxa" w:w="239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shd w:fill="EEF3FB" w:color="auto" w:val="clear"/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/>
                <w:bCs/>
                <w:color w:val="11243A"/>
                <w:sz w:val="15"/>
                <w:szCs w:val="15"/>
              </w:rPr>
              <w:t xml:space="preserve">Source</w:t>
            </w:r>
          </w:p>
        </w:tc>
      </w:tr>
      <w:tr>
        <w:trPr>
          <w:tblHeader w:val="false"/>
        </w:trPr>
        <w:tc>
          <w:tcPr>
            <w:tcW w:type="dxa" w:w="27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5"/>
                <w:szCs w:val="15"/>
              </w:rPr>
              <w:t xml:space="preserve">Loans outstanding</w:t>
            </w:r>
          </w:p>
        </w:tc>
        <w:tc>
          <w:tcPr>
            <w:tcW w:type="dxa" w:w="410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5"/>
                <w:szCs w:val="15"/>
              </w:rPr>
              <w:t xml:space="preserve">₹17.0 lakh crore across 12.7 crore live loans (Jun 2026)</w:t>
            </w:r>
          </w:p>
        </w:tc>
        <w:tc>
          <w:tcPr>
            <w:tcW w:type="dxa" w:w="239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5"/>
                <w:szCs w:val="15"/>
              </w:rPr>
              <w:t xml:space="preserve">CRIF High Mark</w:t>
            </w:r>
          </w:p>
        </w:tc>
      </w:tr>
      <w:tr>
        <w:trPr>
          <w:tblHeader w:val="false"/>
        </w:trPr>
        <w:tc>
          <w:tcPr>
            <w:tcW w:type="dxa" w:w="27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5"/>
                <w:szCs w:val="15"/>
              </w:rPr>
              <w:t xml:space="preserve">Typical ticket</w:t>
            </w:r>
          </w:p>
        </w:tc>
        <w:tc>
          <w:tcPr>
            <w:tcW w:type="dxa" w:w="410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5"/>
                <w:szCs w:val="15"/>
              </w:rPr>
              <w:t xml:space="preserve">₹61,112 on average, but ₹18,802 at digital NBFCs, who write 70% of sanctions by volume</w:t>
            </w:r>
          </w:p>
        </w:tc>
        <w:tc>
          <w:tcPr>
            <w:tcW w:type="dxa" w:w="239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5"/>
                <w:szCs w:val="15"/>
              </w:rPr>
              <w:t xml:space="preserve">CRIF High Mark; FACE</w:t>
            </w:r>
          </w:p>
        </w:tc>
      </w:tr>
      <w:tr>
        <w:trPr>
          <w:tblHeader w:val="false"/>
        </w:trPr>
        <w:tc>
          <w:tcPr>
            <w:tcW w:type="dxa" w:w="27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5"/>
                <w:szCs w:val="15"/>
              </w:rPr>
              <w:t xml:space="preserve">EMI auto-debits that fail</w:t>
            </w:r>
          </w:p>
        </w:tc>
        <w:tc>
          <w:tcPr>
            <w:tcW w:type="dxa" w:w="410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5"/>
                <w:szCs w:val="15"/>
              </w:rPr>
              <w:t xml:space="preserve">~29% of NACH debits by volume, 22% by value</w:t>
            </w:r>
          </w:p>
        </w:tc>
        <w:tc>
          <w:tcPr>
            <w:tcW w:type="dxa" w:w="239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5"/>
                <w:szCs w:val="15"/>
              </w:rPr>
              <w:t xml:space="preserve">NPCI data (public series ends 2022)</w:t>
            </w:r>
          </w:p>
        </w:tc>
      </w:tr>
      <w:tr>
        <w:trPr>
          <w:tblHeader w:val="false"/>
        </w:trPr>
        <w:tc>
          <w:tcPr>
            <w:tcW w:type="dxa" w:w="27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5"/>
                <w:szCs w:val="15"/>
              </w:rPr>
              <w:t xml:space="preserve">Still unpaid 31–180 days later</w:t>
            </w:r>
          </w:p>
        </w:tc>
        <w:tc>
          <w:tcPr>
            <w:tcW w:type="dxa" w:w="410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5"/>
                <w:szCs w:val="15"/>
              </w:rPr>
              <w:t xml:space="preserve">2.3% of the book ≈ ₹39,000 crore; 5.7% for small-ticket NBFC loans</w:t>
            </w:r>
          </w:p>
        </w:tc>
        <w:tc>
          <w:tcPr>
            <w:tcW w:type="dxa" w:w="239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5"/>
                <w:szCs w:val="15"/>
              </w:rPr>
              <w:t xml:space="preserve">CRIF Jun-26; rupee figure is my arithmetic</w:t>
            </w:r>
          </w:p>
        </w:tc>
      </w:tr>
      <w:tr>
        <w:trPr>
          <w:tblHeader w:val="false"/>
        </w:trPr>
        <w:tc>
          <w:tcPr>
            <w:tcW w:type="dxa" w:w="27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5"/>
                <w:szCs w:val="15"/>
              </w:rPr>
              <w:t xml:space="preserve">What chasing it costs</w:t>
            </w:r>
          </w:p>
        </w:tc>
        <w:tc>
          <w:tcPr>
            <w:tcW w:type="dxa" w:w="410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5"/>
                <w:szCs w:val="15"/>
              </w:rPr>
              <w:t xml:space="preserve">₹11 a minute of human calling, and one caller covers ~400 borrowers</w:t>
            </w:r>
          </w:p>
        </w:tc>
        <w:tc>
          <w:tcPr>
            <w:tcW w:type="dxa" w:w="239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5"/>
                <w:szCs w:val="15"/>
              </w:rPr>
              <w:t xml:space="preserve">Lender interview</w:t>
            </w:r>
          </w:p>
        </w:tc>
      </w:tr>
    </w:tbl>
    <w:p>
      <w:pPr>
        <w:spacing w:after="38" w:before="65"/>
      </w:pPr>
      <w:r>
        <w:rPr>
          <w:rFonts w:ascii="Calibri" w:cs="Calibri" w:eastAsia="Calibri" w:hAnsi="Calibri"/>
          <w:color w:val="5B6B85"/>
          <w:sz w:val="16"/>
          <w:szCs w:val="16"/>
        </w:rPr>
        <w:t xml:space="preserve">Four reasons it stays uncollected:</w:t>
      </w:r>
    </w:p>
    <w:p>
      <w:pPr>
        <w:pStyle w:val="ListParagraph"/>
        <w:numPr>
          <w:ilvl w:val="0"/>
          <w:numId w:val="1"/>
        </w:numPr>
        <w:spacing w:after="32" w:line="225"/>
        <w:ind w:left="190" w:hanging="150"/>
      </w:pPr>
      <w:r>
        <w:rPr>
          <w:rFonts w:ascii="Calibri" w:cs="Calibri" w:eastAsia="Calibri" w:hAnsi="Calibri"/>
          <w:b/>
          <w:bCs/>
          <w:color w:val="11243A"/>
          <w:sz w:val="17"/>
          <w:szCs w:val="17"/>
        </w:rPr>
        <w:t xml:space="preserve">Calling capacity cannot scale. </w:t>
      </w:r>
      <w:r>
        <w:rPr>
          <w:rFonts w:ascii="Calibri" w:cs="Calibri" w:eastAsia="Calibri" w:hAnsi="Calibri"/>
          <w:color w:val="11243A"/>
          <w:sz w:val="16"/>
          <w:szCs w:val="16"/>
        </w:rPr>
        <w:t xml:space="preserve">More book means more agents, each needing training and a ramp, against NBFC attrition reported near 77% a year. Cost per rupee recovered rises exactly when the book grows.</w:t>
      </w:r>
    </w:p>
    <w:p>
      <w:pPr>
        <w:pStyle w:val="ListParagraph"/>
        <w:numPr>
          <w:ilvl w:val="0"/>
          <w:numId w:val="1"/>
        </w:numPr>
        <w:spacing w:after="32" w:line="225"/>
        <w:ind w:left="190" w:hanging="150"/>
      </w:pPr>
      <w:r>
        <w:rPr>
          <w:rFonts w:ascii="Calibri" w:cs="Calibri" w:eastAsia="Calibri" w:hAnsi="Calibri"/>
          <w:b/>
          <w:bCs/>
          <w:color w:val="11243A"/>
          <w:sz w:val="17"/>
          <w:szCs w:val="17"/>
        </w:rPr>
        <w:t xml:space="preserve">Agent quality varies, and incentives make it worse. </w:t>
      </w:r>
      <w:r>
        <w:rPr>
          <w:rFonts w:ascii="Calibri" w:cs="Calibri" w:eastAsia="Calibri" w:hAnsi="Calibri"/>
          <w:color w:val="11243A"/>
          <w:sz w:val="16"/>
          <w:szCs w:val="16"/>
        </w:rPr>
        <w:t xml:space="preserve">It varies between agents and within one agent across a shift. Only 10–20% of calls are reviewed, and agents are paid on promises logged rather than promises kept, so a soft promise counts the same as a real one.</w:t>
      </w:r>
    </w:p>
    <w:p>
      <w:pPr>
        <w:pStyle w:val="ListParagraph"/>
        <w:numPr>
          <w:ilvl w:val="0"/>
          <w:numId w:val="1"/>
        </w:numPr>
        <w:spacing w:after="32" w:line="225"/>
        <w:ind w:left="190" w:hanging="150"/>
      </w:pPr>
      <w:r>
        <w:rPr>
          <w:rFonts w:ascii="Calibri" w:cs="Calibri" w:eastAsia="Calibri" w:hAnsi="Calibri"/>
          <w:b/>
          <w:bCs/>
          <w:color w:val="11243A"/>
          <w:sz w:val="17"/>
          <w:szCs w:val="17"/>
        </w:rPr>
        <w:t xml:space="preserve">The record captures fields, not signals. </w:t>
      </w:r>
      <w:r>
        <w:rPr>
          <w:rFonts w:ascii="Calibri" w:cs="Calibri" w:eastAsia="Calibri" w:hAnsi="Calibri"/>
          <w:color w:val="11243A"/>
          <w:sz w:val="16"/>
          <w:szCs w:val="16"/>
        </w:rPr>
        <w:t xml:space="preserve">An agent marks a disposition and a date. Tone, how firmly the borrower committed and the words they chose — the things that predict whether a promise holds — are never written down, so nothing can learn from them.</w:t>
      </w:r>
    </w:p>
    <w:p>
      <w:pPr>
        <w:pStyle w:val="ListParagraph"/>
        <w:numPr>
          <w:ilvl w:val="0"/>
          <w:numId w:val="1"/>
        </w:numPr>
        <w:spacing w:after="32" w:line="225"/>
        <w:ind w:left="190" w:hanging="150"/>
      </w:pPr>
      <w:r>
        <w:rPr>
          <w:rFonts w:ascii="Calibri" w:cs="Calibri" w:eastAsia="Calibri" w:hAnsi="Calibri"/>
          <w:b/>
          <w:bCs/>
          <w:color w:val="11243A"/>
          <w:sz w:val="17"/>
          <w:szCs w:val="17"/>
        </w:rPr>
        <w:t xml:space="preserve">The signals that do exist sit in separate systems. </w:t>
      </w:r>
      <w:r>
        <w:rPr>
          <w:rFonts w:ascii="Calibri" w:cs="Calibri" w:eastAsia="Calibri" w:hAnsi="Calibri"/>
          <w:color w:val="11243A"/>
          <w:sz w:val="16"/>
          <w:szCs w:val="16"/>
        </w:rPr>
        <w:t xml:space="preserve">Communication behaviour, call history and the credit profile live in different tools. Few lenders triangulate them into one view of intent and one next step.</w:t>
      </w:r>
    </w:p>
    <w:p>
      <w:pPr>
        <w:spacing w:after="45" w:before="105"/>
      </w:pPr>
      <w:r>
        <w:rPr>
          <w:rFonts w:ascii="Calibri" w:cs="Calibri" w:eastAsia="Calibri" w:hAnsi="Calibri"/>
          <w:b/>
          <w:bCs/>
          <w:caps/>
          <w:color w:val="1A4FD6"/>
          <w:spacing w:val="20"/>
          <w:sz w:val="18"/>
          <w:szCs w:val="18"/>
        </w:rPr>
        <w:t xml:space="preserve">The solution</w:t>
      </w:r>
    </w:p>
    <w:p>
      <w:pPr>
        <w:pStyle w:val="ListParagraph"/>
        <w:numPr>
          <w:ilvl w:val="0"/>
          <w:numId w:val="1"/>
        </w:numPr>
        <w:spacing w:after="32" w:line="225"/>
        <w:ind w:left="190" w:hanging="150"/>
      </w:pPr>
      <w:r>
        <w:rPr>
          <w:rFonts w:ascii="Calibri" w:cs="Calibri" w:eastAsia="Calibri" w:hAnsi="Calibri"/>
          <w:b/>
          <w:bCs/>
          <w:color w:val="11243A"/>
          <w:sz w:val="17"/>
          <w:szCs w:val="17"/>
        </w:rPr>
        <w:t xml:space="preserve">Calls within minutes, in Hindi and Hinglish. </w:t>
      </w:r>
      <w:r>
        <w:rPr>
          <w:rFonts w:ascii="Calibri" w:cs="Calibri" w:eastAsia="Calibri" w:hAnsi="Calibri"/>
          <w:color w:val="11243A"/>
          <w:sz w:val="17"/>
          <w:szCs w:val="17"/>
        </w:rPr>
        <w:t xml:space="preserve">The Razorpay Trusted Collections Agent reaches the borrower while the bounce is hours old, not days.</w:t>
      </w:r>
    </w:p>
    <w:p>
      <w:pPr>
        <w:pStyle w:val="ListParagraph"/>
        <w:numPr>
          <w:ilvl w:val="0"/>
          <w:numId w:val="1"/>
        </w:numPr>
        <w:spacing w:after="32" w:line="225"/>
        <w:ind w:left="190" w:hanging="150"/>
      </w:pPr>
      <w:r>
        <w:rPr>
          <w:rFonts w:ascii="Calibri" w:cs="Calibri" w:eastAsia="Calibri" w:hAnsi="Calibri"/>
          <w:b/>
          <w:bCs/>
          <w:color w:val="11243A"/>
          <w:sz w:val="17"/>
          <w:szCs w:val="17"/>
        </w:rPr>
        <w:t xml:space="preserve">Negotiates like a good agent. </w:t>
      </w:r>
      <w:r>
        <w:rPr>
          <w:rFonts w:ascii="Calibri" w:cs="Calibri" w:eastAsia="Calibri" w:hAnsi="Calibri"/>
          <w:color w:val="11243A"/>
          <w:sz w:val="17"/>
          <w:szCs w:val="17"/>
        </w:rPr>
        <w:t xml:space="preserve">Asks why the EMI missed and listens, then proposes a date that fits when the borrower is actually paid, and asks for a promise with a date and an amount.</w:t>
      </w:r>
    </w:p>
    <w:p>
      <w:pPr>
        <w:pStyle w:val="ListParagraph"/>
        <w:numPr>
          <w:ilvl w:val="0"/>
          <w:numId w:val="1"/>
        </w:numPr>
        <w:spacing w:after="32" w:line="225"/>
        <w:ind w:left="190" w:hanging="150"/>
      </w:pPr>
      <w:r>
        <w:rPr>
          <w:rFonts w:ascii="Calibri" w:cs="Calibri" w:eastAsia="Calibri" w:hAnsi="Calibri"/>
          <w:b/>
          <w:bCs/>
          <w:color w:val="11243A"/>
          <w:sz w:val="17"/>
          <w:szCs w:val="17"/>
        </w:rPr>
        <w:t xml:space="preserve">Stays inside the lender's rules. </w:t>
      </w:r>
      <w:r>
        <w:rPr>
          <w:rFonts w:ascii="Calibri" w:cs="Calibri" w:eastAsia="Calibri" w:hAnsi="Calibri"/>
          <w:color w:val="11243A"/>
          <w:sz w:val="17"/>
          <w:szCs w:val="17"/>
        </w:rPr>
        <w:t xml:space="preserve">Identity first, the lender's facts only, exactly one payment link, and a ticket instead of a promise it has no authority to make, such as waiving a charge.</w:t>
      </w:r>
    </w:p>
    <w:p>
      <w:pPr>
        <w:pStyle w:val="ListParagraph"/>
        <w:numPr>
          <w:ilvl w:val="0"/>
          <w:numId w:val="1"/>
        </w:numPr>
        <w:spacing w:after="32" w:line="225"/>
        <w:ind w:left="190" w:hanging="150"/>
      </w:pPr>
      <w:r>
        <w:rPr>
          <w:rFonts w:ascii="Calibri" w:cs="Calibri" w:eastAsia="Calibri" w:hAnsi="Calibri"/>
          <w:b/>
          <w:bCs/>
          <w:color w:val="11243A"/>
          <w:sz w:val="17"/>
          <w:szCs w:val="17"/>
        </w:rPr>
        <w:t xml:space="preserve">Turns the call into signals. </w:t>
      </w:r>
      <w:r>
        <w:rPr>
          <w:rFonts w:ascii="Calibri" w:cs="Calibri" w:eastAsia="Calibri" w:hAnsi="Calibri"/>
          <w:color w:val="11243A"/>
          <w:sz w:val="17"/>
          <w:szCs w:val="17"/>
        </w:rPr>
        <w:t xml:space="preserve">Reason, root cause, tone, cooperation and promise specificity — on every call, with the transcript scored against every rule.</w:t>
      </w:r>
    </w:p>
    <w:p>
      <w:pPr>
        <w:pStyle w:val="ListParagraph"/>
        <w:numPr>
          <w:ilvl w:val="0"/>
          <w:numId w:val="1"/>
        </w:numPr>
        <w:spacing w:after="32" w:line="225"/>
        <w:ind w:left="190" w:hanging="150"/>
      </w:pPr>
      <w:r>
        <w:rPr>
          <w:rFonts w:ascii="Calibri" w:cs="Calibri" w:eastAsia="Calibri" w:hAnsi="Calibri"/>
          <w:b/>
          <w:bCs/>
          <w:color w:val="11243A"/>
          <w:sz w:val="17"/>
          <w:szCs w:val="17"/>
        </w:rPr>
        <w:t xml:space="preserve">Recommends the next step. </w:t>
      </w:r>
      <w:r>
        <w:rPr>
          <w:rFonts w:ascii="Calibri" w:cs="Calibri" w:eastAsia="Calibri" w:hAnsi="Calibri"/>
          <w:color w:val="11243A"/>
          <w:sz w:val="17"/>
          <w:szCs w:val="17"/>
        </w:rPr>
        <w:t xml:space="preserve">Call signals plus the borrower's history produce one route: keep dialling with the AI, hand to a human agent, or move to field collection. Rules decide and can be read aloud; the model only extracts facts. The demo borrower proves it — a firm promise, yet four bounces in six months hand him to a person before he breaks another.</w:t>
      </w:r>
    </w:p>
    <w:p>
      <w:pPr>
        <w:spacing w:after="45" w:before="105"/>
      </w:pPr>
      <w:r>
        <w:rPr>
          <w:rFonts w:ascii="Calibri" w:cs="Calibri" w:eastAsia="Calibri" w:hAnsi="Calibri"/>
          <w:b/>
          <w:bCs/>
          <w:caps/>
          <w:color w:val="1A4FD6"/>
          <w:spacing w:val="20"/>
          <w:sz w:val="18"/>
          <w:szCs w:val="18"/>
        </w:rPr>
        <w:t xml:space="preserve">Why this fits Razorpay</w:t>
      </w:r>
    </w:p>
    <w:p>
      <w:pPr>
        <w:pStyle w:val="ListParagraph"/>
        <w:numPr>
          <w:ilvl w:val="0"/>
          <w:numId w:val="1"/>
        </w:numPr>
        <w:spacing w:after="32" w:line="225"/>
        <w:ind w:left="190" w:hanging="150"/>
      </w:pPr>
      <w:r>
        <w:rPr>
          <w:rFonts w:ascii="Calibri" w:cs="Calibri" w:eastAsia="Calibri" w:hAnsi="Calibri"/>
          <w:b/>
          <w:bCs/>
          <w:color w:val="11243A"/>
          <w:sz w:val="17"/>
          <w:szCs w:val="17"/>
        </w:rPr>
        <w:t xml:space="preserve">Razorpay already runs the mandate that bounced. </w:t>
      </w:r>
      <w:r>
        <w:rPr>
          <w:rFonts w:ascii="Calibri" w:cs="Calibri" w:eastAsia="Calibri" w:hAnsi="Calibri"/>
          <w:color w:val="11243A"/>
          <w:sz w:val="17"/>
          <w:szCs w:val="17"/>
        </w:rPr>
        <w:t xml:space="preserve">e-NACH and UPI Autopay for NBFCs sit behind one Razorpay API, and a failed debit already fires a webhook — the exact trigger this agent needs. No new integration to know who to call, or when.</w:t>
      </w:r>
    </w:p>
    <w:p>
      <w:pPr>
        <w:pStyle w:val="ListParagraph"/>
        <w:numPr>
          <w:ilvl w:val="0"/>
          <w:numId w:val="1"/>
        </w:numPr>
        <w:spacing w:after="32" w:line="225"/>
        <w:ind w:left="190" w:hanging="150"/>
      </w:pPr>
      <w:r>
        <w:rPr>
          <w:rFonts w:ascii="Calibri" w:cs="Calibri" w:eastAsia="Calibri" w:hAnsi="Calibri"/>
          <w:b/>
          <w:bCs/>
          <w:color w:val="11243A"/>
          <w:sz w:val="17"/>
          <w:szCs w:val="17"/>
        </w:rPr>
        <w:t xml:space="preserve">The bounce and the cure live on the same rails. </w:t>
      </w:r>
      <w:r>
        <w:rPr>
          <w:rFonts w:ascii="Calibri" w:cs="Calibri" w:eastAsia="Calibri" w:hAnsi="Calibri"/>
          <w:color w:val="11243A"/>
          <w:sz w:val="17"/>
          <w:szCs w:val="17"/>
        </w:rPr>
        <w:t xml:space="preserve">The link the agent sends is a Razorpay link, so the money and the measurement land in one place.</w:t>
      </w:r>
    </w:p>
    <w:p>
      <w:pPr>
        <w:pStyle w:val="ListParagraph"/>
        <w:numPr>
          <w:ilvl w:val="0"/>
          <w:numId w:val="1"/>
        </w:numPr>
        <w:spacing w:after="32" w:line="225"/>
        <w:ind w:left="190" w:hanging="150"/>
      </w:pPr>
      <w:r>
        <w:rPr>
          <w:rFonts w:ascii="Calibri" w:cs="Calibri" w:eastAsia="Calibri" w:hAnsi="Calibri"/>
          <w:b/>
          <w:bCs/>
          <w:color w:val="11243A"/>
          <w:sz w:val="17"/>
          <w:szCs w:val="17"/>
        </w:rPr>
        <w:t xml:space="preserve">It turns a payments product into an outcome. </w:t>
      </w:r>
      <w:r>
        <w:rPr>
          <w:rFonts w:ascii="Calibri" w:cs="Calibri" w:eastAsia="Calibri" w:hAnsi="Calibri"/>
          <w:color w:val="11243A"/>
          <w:sz w:val="17"/>
          <w:szCs w:val="17"/>
        </w:rPr>
        <w:t xml:space="preserve">Lenders buy mandate infrastructure today; this sells rupees recovered on the same plumbing, priced against ₹11-a-minute human calling.</w:t>
      </w:r>
    </w:p>
    <w:p>
      <w:pPr>
        <w:pStyle w:val="ListParagraph"/>
        <w:numPr>
          <w:ilvl w:val="0"/>
          <w:numId w:val="1"/>
        </w:numPr>
        <w:spacing w:after="32" w:line="225"/>
        <w:ind w:left="190" w:hanging="150"/>
      </w:pPr>
      <w:r>
        <w:rPr>
          <w:rFonts w:ascii="Calibri" w:cs="Calibri" w:eastAsia="Calibri" w:hAnsi="Calibri"/>
          <w:b/>
          <w:bCs/>
          <w:color w:val="11243A"/>
          <w:sz w:val="17"/>
          <w:szCs w:val="17"/>
        </w:rPr>
        <w:t xml:space="preserve">Compliance and scale both favour the aggregator. </w:t>
      </w:r>
      <w:r>
        <w:rPr>
          <w:rFonts w:ascii="Calibri" w:cs="Calibri" w:eastAsia="Calibri" w:hAnsi="Calibri"/>
          <w:color w:val="11243A"/>
          <w:sz w:val="17"/>
          <w:szCs w:val="17"/>
        </w:rPr>
        <w:t xml:space="preserve">An RBI-authorised payment aggregator is better placed than a point vendor to run recorded, rule-scored calls under the RBI recovery directions of August 2026 — and bounce outcomes seen across many lenders calibrate the routing better than any single book can.</w:t>
      </w:r>
    </w:p>
    <w:p>
      <w:pPr>
        <w:spacing w:after="45" w:before="105"/>
      </w:pPr>
      <w:r>
        <w:rPr>
          <w:rFonts w:ascii="Calibri" w:cs="Calibri" w:eastAsia="Calibri" w:hAnsi="Calibri"/>
          <w:b/>
          <w:bCs/>
          <w:caps/>
          <w:color w:val="1A4FD6"/>
          <w:spacing w:val="20"/>
          <w:sz w:val="18"/>
          <w:szCs w:val="18"/>
        </w:rPr>
        <w:t xml:space="preserve">Success metrics</w:t>
      </w:r>
    </w:p>
    <w:tbl>
      <w:tblPr>
        <w:tblW w:type="dxa" w:w="9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50"/>
        <w:gridCol w:w="3550"/>
        <w:gridCol w:w="3240"/>
      </w:tblGrid>
      <w:tr>
        <w:trPr>
          <w:tblHeader/>
        </w:trPr>
        <w:tc>
          <w:tcPr>
            <w:tcW w:type="dxa" w:w="24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shd w:fill="EEF3FB" w:color="auto" w:val="clear"/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/>
                <w:bCs/>
                <w:color w:val="11243A"/>
                <w:sz w:val="15"/>
                <w:szCs w:val="15"/>
              </w:rPr>
              <w:t xml:space="preserve">Metric</w:t>
            </w:r>
          </w:p>
        </w:tc>
        <w:tc>
          <w:tcPr>
            <w:tcW w:type="dxa" w:w="35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shd w:fill="EEF3FB" w:color="auto" w:val="clear"/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/>
                <w:bCs/>
                <w:color w:val="11243A"/>
                <w:sz w:val="15"/>
                <w:szCs w:val="15"/>
              </w:rPr>
              <w:t xml:space="preserve">What it tells the lender</w:t>
            </w:r>
          </w:p>
        </w:tc>
        <w:tc>
          <w:tcPr>
            <w:tcW w:type="dxa" w:w="324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shd w:fill="EEF3FB" w:color="auto" w:val="clear"/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/>
                <w:bCs/>
                <w:color w:val="11243A"/>
                <w:sz w:val="15"/>
                <w:szCs w:val="15"/>
              </w:rPr>
              <w:t xml:space="preserve">Demo build (sample of 100 EMIs)</w:t>
            </w:r>
          </w:p>
        </w:tc>
      </w:tr>
      <w:tr>
        <w:trPr>
          <w:tblHeader w:val="false"/>
        </w:trPr>
        <w:tc>
          <w:tcPr>
            <w:tcW w:type="dxa" w:w="24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5"/>
                <w:szCs w:val="15"/>
              </w:rPr>
              <w:t xml:space="preserve">Payment collected</w:t>
            </w:r>
          </w:p>
        </w:tc>
        <w:tc>
          <w:tcPr>
            <w:tcW w:type="dxa" w:w="35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5"/>
                <w:szCs w:val="15"/>
              </w:rPr>
              <w:t xml:space="preserve">Rupees recovered of rupees targeted</w:t>
            </w:r>
          </w:p>
        </w:tc>
        <w:tc>
          <w:tcPr>
            <w:tcW w:type="dxa" w:w="324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5"/>
                <w:szCs w:val="15"/>
              </w:rPr>
              <w:t xml:space="preserve">46% · ₹2,30,000 of ₹5,00,000</w:t>
            </w:r>
          </w:p>
        </w:tc>
      </w:tr>
      <w:tr>
        <w:trPr>
          <w:tblHeader w:val="false"/>
        </w:trPr>
        <w:tc>
          <w:tcPr>
            <w:tcW w:type="dxa" w:w="24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5"/>
                <w:szCs w:val="15"/>
              </w:rPr>
              <w:t xml:space="preserve">Resolution rate and time</w:t>
            </w:r>
          </w:p>
        </w:tc>
        <w:tc>
          <w:tcPr>
            <w:tcW w:type="dxa" w:w="35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5"/>
                <w:szCs w:val="15"/>
              </w:rPr>
              <w:t xml:space="preserve">Bounced EMIs cleared in full, and how fast</w:t>
            </w:r>
          </w:p>
        </w:tc>
        <w:tc>
          <w:tcPr>
            <w:tcW w:type="dxa" w:w="324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5"/>
                <w:szCs w:val="15"/>
              </w:rPr>
              <w:t xml:space="preserve">40 of 100 EMIs · 5 days median</w:t>
            </w:r>
          </w:p>
        </w:tc>
      </w:tr>
      <w:tr>
        <w:trPr>
          <w:tblHeader w:val="false"/>
        </w:trPr>
        <w:tc>
          <w:tcPr>
            <w:tcW w:type="dxa" w:w="24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5"/>
                <w:szCs w:val="15"/>
              </w:rPr>
              <w:t xml:space="preserve">Promise and reason capture</w:t>
            </w:r>
          </w:p>
        </w:tc>
        <w:tc>
          <w:tcPr>
            <w:tcW w:type="dxa" w:w="35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5"/>
                <w:szCs w:val="15"/>
              </w:rPr>
              <w:t xml:space="preserve">Calls ending in a dated promise, and in a clear reason</w:t>
            </w:r>
          </w:p>
        </w:tc>
        <w:tc>
          <w:tcPr>
            <w:tcW w:type="dxa" w:w="324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5"/>
                <w:szCs w:val="15"/>
              </w:rPr>
              <w:t xml:space="preserve">63.9% and 92.8% of conversations</w:t>
            </w:r>
          </w:p>
        </w:tc>
      </w:tr>
      <w:tr>
        <w:trPr>
          <w:tblHeader w:val="false"/>
        </w:trPr>
        <w:tc>
          <w:tcPr>
            <w:tcW w:type="dxa" w:w="24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5"/>
                <w:szCs w:val="15"/>
              </w:rPr>
              <w:t xml:space="preserve">Routing accuracy</w:t>
            </w:r>
          </w:p>
        </w:tc>
        <w:tc>
          <w:tcPr>
            <w:tcW w:type="dxa" w:w="35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5"/>
                <w:szCs w:val="15"/>
              </w:rPr>
              <w:t xml:space="preserve">Handovers a reviewer agrees with</w:t>
            </w:r>
          </w:p>
        </w:tc>
        <w:tc>
          <w:tcPr>
            <w:tcW w:type="dxa" w:w="324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5"/>
                <w:szCs w:val="15"/>
              </w:rPr>
              <w:t xml:space="preserve">Not yet measured — needs live calls</w:t>
            </w:r>
          </w:p>
        </w:tc>
      </w:tr>
      <w:tr>
        <w:trPr>
          <w:tblHeader w:val="false"/>
        </w:trPr>
        <w:tc>
          <w:tcPr>
            <w:tcW w:type="dxa" w:w="24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5"/>
                <w:szCs w:val="15"/>
              </w:rPr>
              <w:t xml:space="preserve">Hard-rule breach rate</w:t>
            </w:r>
          </w:p>
        </w:tc>
        <w:tc>
          <w:tcPr>
            <w:tcW w:type="dxa" w:w="35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5"/>
                <w:szCs w:val="15"/>
              </w:rPr>
              <w:t xml:space="preserve">Compliance; the target is zero</w:t>
            </w:r>
          </w:p>
        </w:tc>
        <w:tc>
          <w:tcPr>
            <w:tcW w:type="dxa" w:w="324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5"/>
                <w:szCs w:val="15"/>
              </w:rPr>
              <w:t xml:space="preserve">29.7% — the gap to close first</w:t>
            </w:r>
          </w:p>
        </w:tc>
      </w:tr>
      <w:tr>
        <w:trPr>
          <w:tblHeader w:val="false"/>
        </w:trPr>
        <w:tc>
          <w:tcPr>
            <w:tcW w:type="dxa" w:w="24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5"/>
                <w:szCs w:val="15"/>
              </w:rPr>
              <w:t xml:space="preserve">Cost per contact</w:t>
            </w:r>
          </w:p>
        </w:tc>
        <w:tc>
          <w:tcPr>
            <w:tcW w:type="dxa" w:w="35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5"/>
                <w:szCs w:val="15"/>
              </w:rPr>
              <w:t xml:space="preserve">Cost of reaching one borrower</w:t>
            </w:r>
          </w:p>
        </w:tc>
        <w:tc>
          <w:tcPr>
            <w:tcW w:type="dxa" w:w="324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5"/>
                <w:szCs w:val="15"/>
              </w:rPr>
              <w:t xml:space="preserve">₹10.50 by AI vs ₹55 by a person</w:t>
            </w:r>
          </w:p>
        </w:tc>
      </w:tr>
    </w:tbl>
    <w:p>
      <w:pPr>
        <w:spacing w:before="55"/>
      </w:pPr>
      <w:r>
        <w:rPr>
          <w:rFonts w:ascii="Calibri" w:cs="Calibri" w:eastAsia="Calibri" w:hAnsi="Calibri"/>
          <w:color w:val="5B6B85"/>
          <w:sz w:val="15"/>
          <w:szCs w:val="15"/>
        </w:rPr>
        <w:t xml:space="preserve">Not yet built: the recommendation is shown but not executed, weights are uncalibrated because nothing records whether a promise was kept, and the demo routes between AI and a person only.</w:t>
      </w:r>
    </w:p>
    <w:sectPr>
      <w:pgSz w:w="11906" w:h="16838" w:orient="portrait"/>
      <w:pgMar w:top="648" w:right="863" w:bottom="576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243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2026-10-13T12:38:58.682Z</dcterms:created>
  <dcterms:modified xsi:type="dcterms:W3CDTF">2026-10-13T12:38:58.682Z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