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Calibri" w:cs="Calibri" w:eastAsia="Calibri" w:hAnsi="Calibri"/>
          <w:b/>
          <w:bCs/>
          <w:color w:val="11243A"/>
          <w:sz w:val="30"/>
          <w:szCs w:val="30"/>
        </w:rPr>
        <w:t xml:space="preserve">Razorpay Trusted Collections Agent</w:t>
      </w:r>
    </w:p>
    <w:p>
      <w:pPr>
        <w:spacing w:after="30"/>
      </w:pPr>
      <w:r>
        <w:rPr>
          <w:rFonts w:ascii="Calibri" w:cs="Calibri" w:eastAsia="Calibri" w:hAnsi="Calibri"/>
          <w:color w:val="5B6B85"/>
          <w:sz w:val="18"/>
          <w:szCs w:val="18"/>
        </w:rPr>
        <w:t xml:space="preserve">A Hindi voice agent for bounced EMIs that recommends who takes the borrower next: the AI or a person.</w:t>
      </w:r>
    </w:p>
    <w:p>
      <w:pPr>
        <w:pBdr>
          <w:bottom w:val="single" w:color="C9D2E0" w:sz="6" w:space="5"/>
        </w:pBdr>
        <w:spacing w:after="45"/>
      </w:pPr>
      <w:r>
        <w:rPr>
          <w:rFonts w:ascii="Calibri" w:cs="Calibri" w:eastAsia="Calibri" w:hAnsi="Calibri"/>
          <w:color w:val="5B6B85"/>
          <w:sz w:val="15"/>
          <w:szCs w:val="15"/>
        </w:rPr>
        <w:t xml:space="preserve">Ujjwal Goel  ·  Build Challenge Track 2: Recover and Grow with AI  ·  13 October 2026</w:t>
      </w:r>
    </w:p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The problem</w:t>
      </w:r>
    </w:p>
    <w:p>
      <w:pPr>
        <w:spacing w:after="55" w:line="225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For the head of collections at an NBFC: roughly one EMI auto-debit in three fails, and recovery is bought in headcount. </w:t>
      </w: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One caller covers about 400 borrowers, so chasing more bounces means hiring more people. The decision that moves money, which borrower deserves which kind of effort, is made by feel.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4100"/>
        <w:gridCol w:w="2390"/>
      </w:tblGrid>
      <w:tr>
        <w:trPr>
          <w:tblHeader/>
        </w:trPr>
        <w:tc>
          <w:tcPr>
            <w:tcW w:type="dxa" w:w="27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shd w:fill="EEF3FB" w:color="auto" w:val="clear"/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/>
                <w:bCs/>
                <w:color w:val="11243A"/>
                <w:sz w:val="15"/>
                <w:szCs w:val="15"/>
              </w:rPr>
              <w:t xml:space="preserve">India's personal loan market</w:t>
            </w:r>
          </w:p>
        </w:tc>
        <w:tc>
          <w:tcPr>
            <w:tcW w:type="dxa" w:w="410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shd w:fill="EEF3FB" w:color="auto" w:val="clear"/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/>
                <w:bCs/>
                <w:color w:val="11243A"/>
                <w:sz w:val="15"/>
                <w:szCs w:val="15"/>
              </w:rPr>
              <w:t xml:space="preserve">Figure</w:t>
            </w:r>
          </w:p>
        </w:tc>
        <w:tc>
          <w:tcPr>
            <w:tcW w:type="dxa" w:w="239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shd w:fill="EEF3FB" w:color="auto" w:val="clear"/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/>
                <w:bCs/>
                <w:color w:val="11243A"/>
                <w:sz w:val="15"/>
                <w:szCs w:val="15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Loans outstanding</w:t>
            </w:r>
          </w:p>
        </w:tc>
        <w:tc>
          <w:tcPr>
            <w:tcW w:type="dxa" w:w="410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₹17.0 lakh crore across 12.7 crore live loans (Jun 2026)</w:t>
            </w:r>
          </w:p>
        </w:tc>
        <w:tc>
          <w:tcPr>
            <w:tcW w:type="dxa" w:w="239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CRIF High Mark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EMI auto-debits that fail</w:t>
            </w:r>
          </w:p>
        </w:tc>
        <w:tc>
          <w:tcPr>
            <w:tcW w:type="dxa" w:w="410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~29% of NACH debits by volume, 22% by value</w:t>
            </w:r>
          </w:p>
        </w:tc>
        <w:tc>
          <w:tcPr>
            <w:tcW w:type="dxa" w:w="239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NPCI data (public series ends 2022)</w:t>
            </w:r>
          </w:p>
        </w:tc>
      </w:tr>
      <w:tr>
        <w:trPr>
          <w:tblHeader w:val="false"/>
        </w:trPr>
        <w:tc>
          <w:tcPr>
            <w:tcW w:type="dxa" w:w="27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Still unpaid 31–180 days later</w:t>
            </w:r>
          </w:p>
        </w:tc>
        <w:tc>
          <w:tcPr>
            <w:tcW w:type="dxa" w:w="410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2.3% of the book ≈ ₹39,000 crore; 5.7% for small-ticket NBFC loans</w:t>
            </w:r>
          </w:p>
        </w:tc>
        <w:tc>
          <w:tcPr>
            <w:tcW w:type="dxa" w:w="239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CRIF Jun-26; rupee figure is my arithmetic</w:t>
            </w:r>
          </w:p>
        </w:tc>
      </w:tr>
    </w:tbl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What we heard, and how it is handled today</w:t>
      </w:r>
    </w:p>
    <w:p>
      <w:pPr>
        <w:spacing w:after="55" w:line="225"/>
      </w:pPr>
      <w:r>
        <w:rPr>
          <w:rFonts w:ascii="Calibri" w:cs="Calibri" w:eastAsia="Calibri" w:hAnsi="Calibri"/>
          <w:color w:val="5B6B85"/>
          <w:sz w:val="16"/>
          <w:szCs w:val="16"/>
        </w:rPr>
        <w:t xml:space="preserve">Three interviews at an Indian lender that runs collections in-house: a product lead, a collections analyst and a data-science lead.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A fixed pattern. </w:t>
      </w:r>
      <w:r>
        <w:rPr>
          <w:rFonts w:ascii="Calibri" w:cs="Calibri" w:eastAsia="Calibri" w:hAnsi="Calibri"/>
          <w:color w:val="11243A"/>
          <w:sz w:val="16"/>
          <w:szCs w:val="16"/>
        </w:rPr>
        <w:t xml:space="preserve">Bounces drop into the CRM and each agent places 900–1,000 calls a day, repeating until a positive disposition. A promise just schedules a callback. Good agents prioritise in Excel and follow up on WhatsApp, which is encouraged but not tracked.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Intent is judged by gut. </w:t>
      </w:r>
      <w:r>
        <w:rPr>
          <w:rFonts w:ascii="Calibri" w:cs="Calibri" w:eastAsia="Calibri" w:hAnsi="Calibri"/>
          <w:color w:val="11243A"/>
          <w:sz w:val="16"/>
          <w:szCs w:val="16"/>
        </w:rPr>
        <w:t xml:space="preserve">About 30% of non-payers have an intent problem and 70% a genuine one (medical, salary delay, family), but there is no fixed rule and it varies by agent and region. The record is a one-word disposition.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Quality is sampled. </w:t>
      </w:r>
      <w:r>
        <w:rPr>
          <w:rFonts w:ascii="Calibri" w:cs="Calibri" w:eastAsia="Calibri" w:hAnsi="Calibri"/>
          <w:color w:val="11243A"/>
          <w:sz w:val="16"/>
          <w:szCs w:val="16"/>
        </w:rPr>
        <w:t xml:space="preserve">A quality team hears 10–20% of calls. An LLM now scores all of them, and its dispositions match the agents' about 80% of the time.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The bot already works; the decision does not. </w:t>
      </w:r>
      <w:r>
        <w:rPr>
          <w:rFonts w:ascii="Calibri" w:cs="Calibri" w:eastAsia="Calibri" w:hAnsi="Calibri"/>
          <w:color w:val="11243A"/>
          <w:sz w:val="16"/>
          <w:szCs w:val="16"/>
        </w:rPr>
        <w:t xml:space="preserve">AI calling cut cost from ₹11 to ₹3–4 a minute and matched humans in an A/B test. What is still unbuilt: choosing which borrower goes to a person, and using the last call to shape the next.</w:t>
      </w:r>
    </w:p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The solution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Calls within minutes, in Hindi and Hinglish.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The Razorpay Trusted Collections Agent reaches the borrower while the bounce is hours old.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Negotiates like a good agent, inside the lender's rules.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Identity first, asks why and listens, proposes a date that fits payday, one payment link, a ticket instead of a promise it cannot make.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Turns the call into signals, then recommends and plans the next step.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Reason, tone and promise specificity plus the borrower's history give one route: keep the AI, or hand to a person. The demo borrower makes the point: a firm promise, yet four bounces in six months send him to a person.</w:t>
      </w:r>
    </w:p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Key product and AI decisions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The product ends in a plan, not a recommendation.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A route for one borrower does not change collections. The Plan tab turns the routes into resource allocation for the cycle: how many AI calls, person calls and reminders, how much lands by day 1, 3 and 7, and where the gap to target sits (the agent, our callers, or where effort goes).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Two questions decide the route, and rules decide, not the model.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Has intent shifted (four or more bounces in the window)? Did the AI let the borrower down on this call? Either yes sends the borrower to a person. The model only extracts facts (reason, promise, tone).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Hard rules and judgement rules, so every verdict can be explained.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Hard rules (one link, no threat, nothing unapproved) are checked in code; judgement rules (listened first) are scored by a model against a quote from the call. AI suggested leaving all judgement to the model; I kept the split because a lender cannot audit a verdict it cannot explain.</w:t>
      </w:r>
    </w:p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Deliberately left out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Pre-bounce awareness calling. </w:t>
      </w:r>
      <w:r>
        <w:rPr>
          <w:rFonts w:ascii="Calibri" w:cs="Calibri" w:eastAsia="Calibri" w:hAnsi="Calibri"/>
          <w:color w:val="11243A"/>
          <w:sz w:val="16"/>
          <w:szCs w:val="16"/>
        </w:rPr>
        <w:t xml:space="preserve">That is about making the borrower aware in time, which an IVR call or a reminder already does. The talking happens after the bounce, and that is where capturing intent matters, so that is where we started.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One collections playbook for every lender. </w:t>
      </w:r>
      <w:r>
        <w:rPr>
          <w:rFonts w:ascii="Calibri" w:cs="Calibri" w:eastAsia="Calibri" w:hAnsi="Calibri"/>
          <w:color w:val="11243A"/>
          <w:sz w:val="16"/>
          <w:szCs w:val="16"/>
        </w:rPr>
        <w:t xml:space="preserve">Each bank or NBFC sets up its own agent, so the demo journey is a sample, not a standard. We provide the layer beneath any agent, better signals and the next step rather than another collections bot, so teams can build their own agent on it.</w:t>
      </w:r>
    </w:p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Why Razorpay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It already runs the mandate that bounced.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A failed debit already fires a webhook, which is the trigger this agent needs, and the payment link and the measurement land on the same rails.</w:t>
      </w:r>
    </w:p>
    <w:p>
      <w:pPr>
        <w:pStyle w:val="ListParagraph"/>
        <w:numPr>
          <w:ilvl w:val="0"/>
          <w:numId w:val="1"/>
        </w:numPr>
        <w:spacing w:after="32" w:line="225"/>
        <w:ind w:left="190" w:hanging="150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It sells an outcome, not plumbing. </w:t>
      </w:r>
      <w:r>
        <w:rPr>
          <w:rFonts w:ascii="Calibri" w:cs="Calibri" w:eastAsia="Calibri" w:hAnsi="Calibri"/>
          <w:color w:val="11243A"/>
          <w:sz w:val="17"/>
          <w:szCs w:val="17"/>
        </w:rPr>
        <w:t xml:space="preserve">Rupees recovered, priced against ₹11-a-minute human calling, under a regulated aggregator's recorded, rule-scored calls.</w:t>
      </w:r>
    </w:p>
    <w:p>
      <w:pPr>
        <w:spacing w:after="45" w:before="105"/>
      </w:pPr>
      <w:r>
        <w:rPr>
          <w:rFonts w:ascii="Calibri" w:cs="Calibri" w:eastAsia="Calibri" w:hAnsi="Calibri"/>
          <w:b/>
          <w:bCs/>
          <w:caps/>
          <w:color w:val="1A4FD6"/>
          <w:spacing w:val="20"/>
          <w:sz w:val="18"/>
          <w:szCs w:val="18"/>
        </w:rPr>
        <w:t xml:space="preserve">Success metric and what to test next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550"/>
        <w:gridCol w:w="3240"/>
      </w:tblGrid>
      <w:tr>
        <w:trPr>
          <w:tblHeader/>
        </w:trPr>
        <w:tc>
          <w:tcPr>
            <w:tcW w:type="dxa" w:w="24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shd w:fill="EEF3FB" w:color="auto" w:val="clear"/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/>
                <w:bCs/>
                <w:color w:val="11243A"/>
                <w:sz w:val="15"/>
                <w:szCs w:val="15"/>
              </w:rPr>
              <w:t xml:space="preserve">Metric</w:t>
            </w:r>
          </w:p>
        </w:tc>
        <w:tc>
          <w:tcPr>
            <w:tcW w:type="dxa" w:w="35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shd w:fill="EEF3FB" w:color="auto" w:val="clear"/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/>
                <w:bCs/>
                <w:color w:val="11243A"/>
                <w:sz w:val="15"/>
                <w:szCs w:val="15"/>
              </w:rPr>
              <w:t xml:space="preserve">What it tells the lender</w:t>
            </w:r>
          </w:p>
        </w:tc>
        <w:tc>
          <w:tcPr>
            <w:tcW w:type="dxa" w:w="324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shd w:fill="EEF3FB" w:color="auto" w:val="clear"/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/>
                <w:bCs/>
                <w:color w:val="11243A"/>
                <w:sz w:val="15"/>
                <w:szCs w:val="15"/>
              </w:rPr>
              <w:t xml:space="preserve">Demo build (sample of 100 EMIs)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PRIMARY: payment collected</w:t>
            </w:r>
          </w:p>
        </w:tc>
        <w:tc>
          <w:tcPr>
            <w:tcW w:type="dxa" w:w="35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Rupees recovered of rupees due</w:t>
            </w:r>
          </w:p>
        </w:tc>
        <w:tc>
          <w:tcPr>
            <w:tcW w:type="dxa" w:w="324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46% · ₹2,30,000 of ₹5,00,000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Resolution rate and time</w:t>
            </w:r>
          </w:p>
        </w:tc>
        <w:tc>
          <w:tcPr>
            <w:tcW w:type="dxa" w:w="35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Bounced EMIs cleared in full, and how fast</w:t>
            </w:r>
          </w:p>
        </w:tc>
        <w:tc>
          <w:tcPr>
            <w:tcW w:type="dxa" w:w="324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40 of 100 · 5 days median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Hard-rule breach rate</w:t>
            </w:r>
          </w:p>
        </w:tc>
        <w:tc>
          <w:tcPr>
            <w:tcW w:type="dxa" w:w="35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Compliance; the target is zero</w:t>
            </w:r>
          </w:p>
        </w:tc>
        <w:tc>
          <w:tcPr>
            <w:tcW w:type="dxa" w:w="324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29.7% — the gap to close first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11243A"/>
                <w:sz w:val="15"/>
                <w:szCs w:val="15"/>
              </w:rPr>
              <w:t xml:space="preserve">Routing accuracy</w:t>
            </w:r>
          </w:p>
        </w:tc>
        <w:tc>
          <w:tcPr>
            <w:tcW w:type="dxa" w:w="355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Handovers a reviewer agrees with</w:t>
            </w:r>
          </w:p>
        </w:tc>
        <w:tc>
          <w:tcPr>
            <w:tcW w:type="dxa" w:w="3240"/>
            <w:tcBorders>
              <w:top w:val="single" w:color="C9D2E0" w:sz="2"/>
              <w:left w:val="none" w:color="FFFFFF" w:sz="0"/>
              <w:bottom w:val="single" w:color="C9D2E0" w:sz="2"/>
              <w:right w:val="none" w:color="FFFFFF" w:sz="0"/>
            </w:tcBorders>
            <w:tcMar>
              <w:top w:type="dxa" w:w="40"/>
              <w:left w:type="dxa" w:w="85"/>
              <w:bottom w:type="dxa" w:w="40"/>
              <w:right w:type="dxa" w:w="85"/>
            </w:tcMar>
          </w:tcPr>
          <w:p>
            <w:pPr>
              <w:spacing w:after="0" w:line="205"/>
            </w:pPr>
            <w:r>
              <w:rPr>
                <w:rFonts w:ascii="Calibri" w:cs="Calibri" w:eastAsia="Calibri" w:hAnsi="Calibri"/>
                <w:b w:val="false"/>
                <w:bCs w:val="false"/>
                <w:color w:val="5B6B85"/>
                <w:sz w:val="15"/>
                <w:szCs w:val="15"/>
              </w:rPr>
              <w:t xml:space="preserve">Not yet measured; needs live calls</w:t>
            </w:r>
          </w:p>
        </w:tc>
      </w:tr>
    </w:tbl>
    <w:p>
      <w:pPr>
        <w:spacing w:before="55"/>
      </w:pPr>
      <w:r>
        <w:rPr>
          <w:rFonts w:ascii="Calibri" w:cs="Calibri" w:eastAsia="Calibri" w:hAnsi="Calibri"/>
          <w:b/>
          <w:bCs/>
          <w:color w:val="11243A"/>
          <w:sz w:val="17"/>
          <w:szCs w:val="17"/>
        </w:rPr>
        <w:t xml:space="preserve">Next test: </w:t>
      </w:r>
      <w:r>
        <w:rPr>
          <w:rFonts w:ascii="Calibri" w:cs="Calibri" w:eastAsia="Calibri" w:hAnsi="Calibri"/>
          <w:color w:val="5B6B85"/>
          <w:sz w:val="15"/>
          <w:szCs w:val="15"/>
        </w:rPr>
        <w:t xml:space="preserve">split one month's bounced EMIs, half through the agent and its routing and half through today's process, and compare rupees collected in nine days and whether routed-to-person cases recover more than if left with the AI. Sample figures are synthetic; weights are uncalibrated and the recommendation is shown, not executed.</w:t>
      </w:r>
    </w:p>
    <w:sectPr>
      <w:pgSz w:w="11906" w:h="16838" w:orient="portrait"/>
      <w:pgMar w:top="648" w:right="863" w:bottom="576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243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2026-10-13T17:12:26.900Z</dcterms:created>
  <dcterms:modified xsi:type="dcterms:W3CDTF">2026-10-13T17:12:26.901Z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