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/>
      </w:pPr>
      <w:r>
        <w:rPr>
          <w:rFonts w:ascii="Calibri" w:cs="Calibri" w:eastAsia="Calibri" w:hAnsi="Calibri"/>
          <w:b/>
          <w:bCs/>
          <w:color w:val="11243A"/>
          <w:sz w:val="30"/>
          <w:szCs w:val="30"/>
        </w:rPr>
        <w:t xml:space="preserve">Razorpay Trusted Collections Agent</w:t>
      </w:r>
    </w:p>
    <w:p>
      <w:pPr>
        <w:spacing w:after="35"/>
      </w:pPr>
      <w:r>
        <w:rPr>
          <w:rFonts w:ascii="Calibri" w:cs="Calibri" w:eastAsia="Calibri" w:hAnsi="Calibri"/>
          <w:color w:val="5B6B85"/>
          <w:sz w:val="19"/>
          <w:szCs w:val="19"/>
        </w:rPr>
        <w:t xml:space="preserve">A Hindi voice agent that calls the moment an EMI bounces, and decides whether the AI, a person or the field team should take the borrower next.</w:t>
      </w:r>
    </w:p>
    <w:p>
      <w:pPr>
        <w:pBdr>
          <w:bottom w:val="single" w:color="C9D2E0" w:sz="6" w:space="5"/>
        </w:pBdr>
        <w:spacing w:after="50"/>
      </w:pPr>
      <w:r>
        <w:rPr>
          <w:rFonts w:ascii="Calibri" w:cs="Calibri" w:eastAsia="Calibri" w:hAnsi="Calibri"/>
          <w:color w:val="5B6B85"/>
          <w:sz w:val="16"/>
          <w:szCs w:val="16"/>
        </w:rPr>
        <w:t xml:space="preserve">Ujjwal Goel  ·  Build Challenge Track 2: Recover and Grow with AI  ·  13 October 2026</w:t>
      </w:r>
    </w:p>
    <w:p>
      <w:pPr>
        <w:spacing w:after="60" w:before="150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9"/>
          <w:szCs w:val="19"/>
        </w:rPr>
        <w:t xml:space="preserve">The problem: a large bounce book chased by a headcount that cannot grow with it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0"/>
        <w:gridCol w:w="3450"/>
        <w:gridCol w:w="2340"/>
      </w:tblGrid>
      <w:tr>
        <w:trPr>
          <w:tblHeader/>
        </w:trPr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6"/>
                <w:szCs w:val="16"/>
              </w:rPr>
              <w:t xml:space="preserve">Where the money is</w:t>
            </w:r>
          </w:p>
        </w:tc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6"/>
                <w:szCs w:val="16"/>
              </w:rPr>
              <w:t xml:space="preserve">Figure</w:t>
            </w:r>
          </w:p>
        </w:tc>
        <w:tc>
          <w:tcPr>
            <w:tcW w:type="dxa" w:w="23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6"/>
                <w:szCs w:val="16"/>
              </w:rPr>
              <w:t xml:space="preserve">Source</w:t>
            </w:r>
          </w:p>
        </w:tc>
      </w:tr>
      <w:tr>
        <w:trPr>
          <w:tblHeader w:val="false"/>
        </w:trPr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Retail loans outstanding in India</w:t>
            </w:r>
          </w:p>
        </w:tc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₹170.2 lakh crore, up 16.6% YoY</w:t>
            </w:r>
          </w:p>
        </w:tc>
        <w:tc>
          <w:tcPr>
            <w:tcW w:type="dxa" w:w="23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CRIF High Mark, Mar 2026</w:t>
            </w:r>
          </w:p>
        </w:tc>
      </w:tr>
      <w:tr>
        <w:trPr>
          <w:tblHeader w:val="false"/>
        </w:trPr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The unsecured book this agent serves</w:t>
            </w:r>
          </w:p>
        </w:tc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₹16.5 lakh crore of personal loans, 12.2 crore live loans</w:t>
            </w:r>
          </w:p>
        </w:tc>
        <w:tc>
          <w:tcPr>
            <w:tcW w:type="dxa" w:w="23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CRIF High Mark</w:t>
            </w:r>
          </w:p>
        </w:tc>
      </w:tr>
      <w:tr>
        <w:trPr>
          <w:tblHeader w:val="false"/>
        </w:trPr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EMIs that bounce on auto-debit</w:t>
            </w:r>
          </w:p>
        </w:tc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29.6% of NACH debits by volume; ~20% of e-mandate EMIs at one lender</w:t>
            </w:r>
          </w:p>
        </w:tc>
        <w:tc>
          <w:tcPr>
            <w:tcW w:type="dxa" w:w="23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NPCI data; lender interview</w:t>
            </w:r>
          </w:p>
        </w:tc>
      </w:tr>
      <w:tr>
        <w:trPr>
          <w:tblHeader w:val="false"/>
        </w:trPr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Still unpaid 31–180 days later</w:t>
            </w:r>
          </w:p>
        </w:tc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2.4% of the personal-loan book ≈ ₹40,000 crore</w:t>
            </w:r>
          </w:p>
        </w:tc>
        <w:tc>
          <w:tcPr>
            <w:tcW w:type="dxa" w:w="23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CRIF %; rupee figure is my arithmetic</w:t>
            </w:r>
          </w:p>
        </w:tc>
      </w:tr>
      <w:tr>
        <w:trPr>
          <w:tblHeader w:val="false"/>
        </w:trPr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What chasing it costs</w:t>
            </w:r>
          </w:p>
        </w:tc>
        <w:tc>
          <w:tcPr>
            <w:tcW w:type="dxa" w:w="3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₹11 a minute of human calling; ~400 borrowers per caller, so a 1 lakh bounce book needs ~250 callers</w:t>
            </w:r>
          </w:p>
        </w:tc>
        <w:tc>
          <w:tcPr>
            <w:tcW w:type="dxa" w:w="23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Lender interview; headcount is my arithmetic</w:t>
            </w:r>
          </w:p>
        </w:tc>
      </w:tr>
    </w:tbl>
    <w:p>
      <w:pPr>
        <w:spacing w:after="50" w:before="90"/>
      </w:pPr>
      <w:r>
        <w:rPr>
          <w:rFonts w:ascii="Calibri" w:cs="Calibri" w:eastAsia="Calibri" w:hAnsi="Calibri"/>
          <w:color w:val="5B6B85"/>
          <w:sz w:val="17"/>
          <w:szCs w:val="17"/>
        </w:rPr>
        <w:t xml:space="preserve">Four reasons the money stays uncollected:</w:t>
      </w:r>
    </w:p>
    <w:p>
      <w:pPr>
        <w:pStyle w:val="ListParagraph"/>
        <w:numPr>
          <w:ilvl w:val="0"/>
          <w:numId w:val="1"/>
        </w:numPr>
        <w:spacing w:after="45" w:line="24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8"/>
          <w:szCs w:val="18"/>
        </w:rPr>
        <w:t xml:space="preserve">Calling capacity cannot scale. </w:t>
      </w:r>
      <w:r>
        <w:rPr>
          <w:rFonts w:ascii="Calibri" w:cs="Calibri" w:eastAsia="Calibri" w:hAnsi="Calibri"/>
          <w:color w:val="11243A"/>
          <w:sz w:val="18"/>
          <w:szCs w:val="18"/>
        </w:rPr>
        <w:t xml:space="preserve">Recovery is bought in headcount: more book means more agents, each needing training and a ramp, against NBFC attrition reported near 77% a year. Cost per rupee recovered rises exactly when the book grows.</w:t>
      </w:r>
    </w:p>
    <w:p>
      <w:pPr>
        <w:pStyle w:val="ListParagraph"/>
        <w:numPr>
          <w:ilvl w:val="0"/>
          <w:numId w:val="1"/>
        </w:numPr>
        <w:spacing w:after="45" w:line="24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8"/>
          <w:szCs w:val="18"/>
        </w:rPr>
        <w:t xml:space="preserve">Agent quality varies, and incentives make it worse. </w:t>
      </w:r>
      <w:r>
        <w:rPr>
          <w:rFonts w:ascii="Calibri" w:cs="Calibri" w:eastAsia="Calibri" w:hAnsi="Calibri"/>
          <w:color w:val="11243A"/>
          <w:sz w:val="18"/>
          <w:szCs w:val="18"/>
        </w:rPr>
        <w:t xml:space="preserve">It varies between agents and within the same agent across a shift or a month. Only 10–20% of calls are ever reviewed, and agents are paid on promises logged rather than promises kept, so a soft promise counts the same as a real one.</w:t>
      </w:r>
    </w:p>
    <w:p>
      <w:pPr>
        <w:pStyle w:val="ListParagraph"/>
        <w:numPr>
          <w:ilvl w:val="0"/>
          <w:numId w:val="1"/>
        </w:numPr>
        <w:spacing w:after="45" w:line="24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8"/>
          <w:szCs w:val="18"/>
        </w:rPr>
        <w:t xml:space="preserve">The record captures fields, not signals. </w:t>
      </w:r>
      <w:r>
        <w:rPr>
          <w:rFonts w:ascii="Calibri" w:cs="Calibri" w:eastAsia="Calibri" w:hAnsi="Calibri"/>
          <w:color w:val="11243A"/>
          <w:sz w:val="18"/>
          <w:szCs w:val="18"/>
        </w:rPr>
        <w:t xml:space="preserve">An agent marks a disposition and a date. Tone, how firmly the borrower committed, and the words they chose — the things that actually predict whether a promise holds — are never written down, so they cannot be learned from.</w:t>
      </w:r>
    </w:p>
    <w:p>
      <w:pPr>
        <w:pStyle w:val="ListParagraph"/>
        <w:numPr>
          <w:ilvl w:val="0"/>
          <w:numId w:val="1"/>
        </w:numPr>
        <w:spacing w:after="45" w:line="24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8"/>
          <w:szCs w:val="18"/>
        </w:rPr>
        <w:t xml:space="preserve">The signals that exist sit in separate systems. </w:t>
      </w:r>
      <w:r>
        <w:rPr>
          <w:rFonts w:ascii="Calibri" w:cs="Calibri" w:eastAsia="Calibri" w:hAnsi="Calibri"/>
          <w:color w:val="11243A"/>
          <w:sz w:val="18"/>
          <w:szCs w:val="18"/>
        </w:rPr>
        <w:t xml:space="preserve">Communication behaviour, call history and the credit profile live in different tools. Few lenders triangulate them into one view of a borrower's intent and a single next step.</w:t>
      </w:r>
    </w:p>
    <w:p>
      <w:pPr>
        <w:spacing w:after="60" w:before="150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9"/>
          <w:szCs w:val="19"/>
        </w:rPr>
        <w:t xml:space="preserve">The solution</w:t>
      </w:r>
    </w:p>
    <w:p>
      <w:pPr>
        <w:spacing w:after="70" w:line="240"/>
      </w:pPr>
      <w:r>
        <w:rPr>
          <w:rFonts w:ascii="Calibri" w:cs="Calibri" w:eastAsia="Calibri" w:hAnsi="Calibri"/>
          <w:color w:val="11243A"/>
          <w:sz w:val="18"/>
          <w:szCs w:val="18"/>
        </w:rPr>
        <w:t xml:space="preserve">Meera calls within minutes of the bounce, in Hindi and Hinglish, and holds a real conversation: she confirms identity before mentioning the loan, asks why the EMI missed and listens to the answer, negotiates a date that fits when the borrower is actually paid, and asks for a promise with a date </w:t>
      </w:r>
      <w:r>
        <w:rPr>
          <w:rFonts w:ascii="Calibri" w:cs="Calibri" w:eastAsia="Calibri" w:hAnsi="Calibri"/>
          <w:i/>
          <w:iCs/>
          <w:color w:val="11243A"/>
          <w:sz w:val="18"/>
          <w:szCs w:val="18"/>
        </w:rPr>
        <w:t xml:space="preserve">and</w:t>
      </w:r>
      <w:r>
        <w:rPr>
          <w:rFonts w:ascii="Calibri" w:cs="Calibri" w:eastAsia="Calibri" w:hAnsi="Calibri"/>
          <w:color w:val="11243A"/>
          <w:sz w:val="18"/>
          <w:szCs w:val="18"/>
        </w:rPr>
        <w:t xml:space="preserve"> an amount. She states only the lender's facts, sends exactly one payment link, and raises a ticket rather than promising anything she has no authority over, such as waiving a charge.</w:t>
      </w:r>
    </w:p>
    <w:p>
      <w:pPr>
        <w:spacing w:after="70" w:line="240"/>
      </w:pPr>
      <w:r>
        <w:rPr>
          <w:rFonts w:ascii="Calibri" w:cs="Calibri" w:eastAsia="Calibri" w:hAnsi="Calibri"/>
          <w:color w:val="11243A"/>
          <w:sz w:val="18"/>
          <w:szCs w:val="18"/>
        </w:rPr>
        <w:t xml:space="preserve">Every call then becomes structured data — reason, root cause, promise, cooperation, tone, tickets, and a transcript scored against every rule — and is combined with the borrower's own history to produce one recommendation: </w:t>
      </w:r>
      <w:r>
        <w:rPr>
          <w:rFonts w:ascii="Calibri" w:cs="Calibri" w:eastAsia="Calibri" w:hAnsi="Calibri"/>
          <w:b/>
          <w:bCs/>
          <w:color w:val="11243A"/>
          <w:sz w:val="18"/>
          <w:szCs w:val="18"/>
        </w:rPr>
        <w:t xml:space="preserve">keep dialling with the AI</w:t>
      </w:r>
      <w:r>
        <w:rPr>
          <w:rFonts w:ascii="Calibri" w:cs="Calibri" w:eastAsia="Calibri" w:hAnsi="Calibri"/>
          <w:color w:val="11243A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color w:val="11243A"/>
          <w:sz w:val="18"/>
          <w:szCs w:val="18"/>
        </w:rPr>
        <w:t xml:space="preserve">hand to a human agent</w:t>
      </w:r>
      <w:r>
        <w:rPr>
          <w:rFonts w:ascii="Calibri" w:cs="Calibri" w:eastAsia="Calibri" w:hAnsi="Calibri"/>
          <w:color w:val="11243A"/>
          <w:sz w:val="18"/>
          <w:szCs w:val="18"/>
        </w:rPr>
        <w:t xml:space="preserve">, or </w:t>
      </w:r>
      <w:r>
        <w:rPr>
          <w:rFonts w:ascii="Calibri" w:cs="Calibri" w:eastAsia="Calibri" w:hAnsi="Calibri"/>
          <w:b/>
          <w:bCs/>
          <w:color w:val="11243A"/>
          <w:sz w:val="18"/>
          <w:szCs w:val="18"/>
        </w:rPr>
        <w:t xml:space="preserve">move to field collection</w:t>
      </w:r>
      <w:r>
        <w:rPr>
          <w:rFonts w:ascii="Calibri" w:cs="Calibri" w:eastAsia="Calibri" w:hAnsi="Calibri"/>
          <w:color w:val="11243A"/>
          <w:sz w:val="18"/>
          <w:szCs w:val="18"/>
        </w:rPr>
        <w:t xml:space="preserve">. The rules decide and are readable: intent has shifted when four or more of the last six EMIs bounced or past promises were mostly broken; the AI was let down when there is no firm date and amount or the borrower was evasive; the field team takes over when the borrower has stopped answering calls altogether. The model extracts the facts; it never picks the route.</w:t>
      </w:r>
    </w:p>
    <w:p>
      <w:pPr>
        <w:spacing w:after="70" w:line="240"/>
      </w:pPr>
      <w:r>
        <w:rPr>
          <w:rFonts w:ascii="Calibri" w:cs="Calibri" w:eastAsia="Calibri" w:hAnsi="Calibri"/>
          <w:color w:val="11243A"/>
          <w:sz w:val="17"/>
          <w:szCs w:val="17"/>
        </w:rPr>
        <w:t xml:space="preserve">The demo borrower makes the point. He gives a firm promise that fits his payday, so the call alone says book a callback — but four bounces in six months hand him to a person </w:t>
      </w:r>
      <w:r>
        <w:rPr>
          <w:rFonts w:ascii="Calibri" w:cs="Calibri" w:eastAsia="Calibri" w:hAnsi="Calibri"/>
          <w:i/>
          <w:iCs/>
          <w:color w:val="11243A"/>
          <w:sz w:val="17"/>
          <w:szCs w:val="17"/>
        </w:rPr>
        <w:t xml:space="preserve">before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 he breaks another promise. That is the decision a CRM cannot make.</w:t>
      </w:r>
    </w:p>
    <w:p>
      <w:pPr>
        <w:spacing w:after="60" w:before="150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9"/>
          <w:szCs w:val="19"/>
        </w:rPr>
        <w:t xml:space="preserve">Success metrics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3550"/>
        <w:gridCol w:w="3240"/>
      </w:tblGrid>
      <w:tr>
        <w:trPr>
          <w:tblHeader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6"/>
                <w:szCs w:val="16"/>
              </w:rPr>
              <w:t xml:space="preserve">Metric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6"/>
                <w:szCs w:val="16"/>
              </w:rPr>
              <w:t xml:space="preserve">What it tells the lender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6"/>
                <w:szCs w:val="16"/>
              </w:rPr>
              <w:t xml:space="preserve">Demo build (sample of 100 EMIs)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Payment collected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Rupees recovered of rupees targeted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46% · ₹2,30,000 of ₹5,00,000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Resolution rate and time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Bounced EMIs cleared in full, and how fast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40 of 100 EMIs · 5 days median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Promise-to-pay rate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Calls ending in a dated, costed promise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63.9% of conversations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Clear reason captured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Calls that explain why the EMI missed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92.8% of conversations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Routing accuracy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Share of handovers a reviewer agrees with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Not yet measured — needs live calls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Hard-rule breach rate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Compliance; the target is zero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29.7% — the gap to close first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6"/>
                <w:szCs w:val="16"/>
              </w:rPr>
              <w:t xml:space="preserve">Cost per contact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Cost of reaching one borrower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2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6"/>
                <w:szCs w:val="16"/>
              </w:rPr>
              <w:t xml:space="preserve">₹10.50 by AI vs ₹55 by a person</w:t>
            </w:r>
          </w:p>
        </w:tc>
      </w:tr>
    </w:tbl>
    <w:p>
      <w:pPr>
        <w:spacing w:after="60" w:before="150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9"/>
          <w:szCs w:val="19"/>
        </w:rPr>
        <w:t xml:space="preserve">Known gaps</w:t>
      </w:r>
    </w:p>
    <w:p>
      <w:pPr>
        <w:spacing w:after="70" w:line="240"/>
      </w:pPr>
      <w:r>
        <w:rPr>
          <w:rFonts w:ascii="Calibri" w:cs="Calibri" w:eastAsia="Calibri" w:hAnsi="Calibri"/>
          <w:color w:val="11243A"/>
          <w:sz w:val="17"/>
          <w:szCs w:val="17"/>
        </w:rPr>
        <w:t xml:space="preserve">The recommendation is shown but not yet executed: no handoff packet, override or pause control is built, and the demo routes between AI and a person because the field rule needs unreachable-borrower history the sample does not have. Weights are uncalibrated — nothing records yet whether a promise was kept, so there is no learning loop. The 29.7% hard-rule breach rate on sample calls is the first thing to fix before any pilot.</w:t>
      </w:r>
    </w:p>
    <w:sectPr>
      <w:pgSz w:w="11906" w:h="16838" w:orient="portrait"/>
      <w:pgMar w:top="720" w:right="863" w:bottom="648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243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2026-10-13T12:32:40.599Z</dcterms:created>
  <dcterms:modified xsi:type="dcterms:W3CDTF">2026-10-13T12:32:40.614Z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