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Calibri" w:cs="Calibri" w:eastAsia="Calibri" w:hAnsi="Calibri"/>
          <w:b/>
          <w:bCs/>
          <w:color w:val="11243A"/>
          <w:sz w:val="32"/>
          <w:szCs w:val="32"/>
        </w:rPr>
        <w:t xml:space="preserve">Razorpay Trusted Collections Agent</w:t>
      </w:r>
    </w:p>
    <w:p>
      <w:pPr>
        <w:spacing w:after="40"/>
      </w:pPr>
      <w:r>
        <w:rPr>
          <w:rFonts w:ascii="Calibri" w:cs="Calibri" w:eastAsia="Calibri" w:hAnsi="Calibri"/>
          <w:color w:val="5B6B85"/>
          <w:sz w:val="20"/>
          <w:szCs w:val="20"/>
        </w:rPr>
        <w:t xml:space="preserve">A Hindi voice agent that calls the moment an EMI bounces, and decides who should handle the borrower next.</w:t>
      </w:r>
    </w:p>
    <w:p>
      <w:pPr>
        <w:pBdr>
          <w:bottom w:val="single" w:color="C9D2E0" w:sz="6" w:space="6"/>
        </w:pBdr>
        <w:spacing w:after="60"/>
      </w:pPr>
      <w:r>
        <w:rPr>
          <w:rFonts w:ascii="Calibri" w:cs="Calibri" w:eastAsia="Calibri" w:hAnsi="Calibri"/>
          <w:color w:val="5B6B85"/>
          <w:sz w:val="17"/>
          <w:szCs w:val="17"/>
        </w:rPr>
        <w:t xml:space="preserve">Ujjwal Goel  ·  Build Challenge Track 2: Recover and Grow with AI  ·  13 October 2026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20"/>
          <w:szCs w:val="20"/>
        </w:rPr>
        <w:t xml:space="preserve">The problem</w:t>
      </w:r>
    </w:p>
    <w:p>
      <w:pPr>
        <w:spacing w:after="80" w:line="250"/>
      </w:pPr>
      <w:r>
        <w:rPr>
          <w:rFonts w:ascii="Calibri" w:cs="Calibri" w:eastAsia="Calibri" w:hAnsi="Calibri"/>
          <w:color w:val="11243A"/>
          <w:sz w:val="19"/>
          <w:szCs w:val="19"/>
        </w:rPr>
        <w:t xml:space="preserve">India holds ₹170 lakh crore of retail loans, and about 2.4% of personal loans sit 31–180 days overdue — roughly ₹40,000 crore (CRIF High Mark, Mar 2026; rupee figure is my arithmetic). Lenders chase it with people, and the economics do not scale: one lender runs ~400 borrowers per calling agent at 900–1,000 dials a day and ₹11 a minute, with NBFC attrition reported near 77% a year.</w:t>
      </w:r>
    </w:p>
    <w:p>
      <w:pPr>
        <w:spacing w:after="80" w:line="250"/>
      </w:pPr>
      <w:r>
        <w:rPr>
          <w:rFonts w:ascii="Calibri" w:cs="Calibri" w:eastAsia="Calibri" w:hAnsi="Calibri"/>
          <w:color w:val="5B6B85"/>
          <w:sz w:val="19"/>
          <w:szCs w:val="19"/>
        </w:rPr>
        <w:t xml:space="preserve">Three things break, and only the third is a decision problem:</w:t>
      </w:r>
    </w:p>
    <w:p>
      <w:pPr>
        <w:pStyle w:val="ListParagraph"/>
        <w:numPr>
          <w:ilvl w:val="0"/>
          <w:numId w:val="1"/>
        </w:numPr>
        <w:spacing w:after="50" w:line="250"/>
        <w:ind w:left="200" w:hanging="160"/>
      </w:pPr>
      <w:r>
        <w:rPr>
          <w:rFonts w:ascii="Calibri" w:cs="Calibri" w:eastAsia="Calibri" w:hAnsi="Calibri"/>
          <w:b/>
          <w:bCs/>
          <w:color w:val="11243A"/>
          <w:sz w:val="19"/>
          <w:szCs w:val="19"/>
        </w:rPr>
        <w:t xml:space="preserve">The call is weak. </w:t>
      </w:r>
      <w:r>
        <w:rPr>
          <w:rFonts w:ascii="Calibri" w:cs="Calibri" w:eastAsia="Calibri" w:hAnsi="Calibri"/>
          <w:color w:val="11243A"/>
          <w:sz w:val="19"/>
          <w:szCs w:val="19"/>
        </w:rPr>
        <w:t xml:space="preserve">The agent speaks without the borrower's history, and quality varies: only 10–20% of calls are ever reviewed.</w:t>
      </w:r>
    </w:p>
    <w:p>
      <w:pPr>
        <w:pStyle w:val="ListParagraph"/>
        <w:numPr>
          <w:ilvl w:val="0"/>
          <w:numId w:val="1"/>
        </w:numPr>
        <w:spacing w:after="50" w:line="250"/>
        <w:ind w:left="200" w:hanging="160"/>
      </w:pPr>
      <w:r>
        <w:rPr>
          <w:rFonts w:ascii="Calibri" w:cs="Calibri" w:eastAsia="Calibri" w:hAnsi="Calibri"/>
          <w:b/>
          <w:bCs/>
          <w:color w:val="11243A"/>
          <w:sz w:val="19"/>
          <w:szCs w:val="19"/>
        </w:rPr>
        <w:t xml:space="preserve">The record is weak. </w:t>
      </w:r>
      <w:r>
        <w:rPr>
          <w:rFonts w:ascii="Calibri" w:cs="Calibri" w:eastAsia="Calibri" w:hAnsi="Calibri"/>
          <w:color w:val="11243A"/>
          <w:sz w:val="19"/>
          <w:szCs w:val="19"/>
        </w:rPr>
        <w:t xml:space="preserve">The reason for the miss becomes a one-word disposition, and nobody tracks whether a promise was kept.</w:t>
      </w:r>
    </w:p>
    <w:p>
      <w:pPr>
        <w:pStyle w:val="ListParagraph"/>
        <w:numPr>
          <w:ilvl w:val="0"/>
          <w:numId w:val="1"/>
        </w:numPr>
        <w:spacing w:after="50" w:line="250"/>
        <w:ind w:left="200" w:hanging="160"/>
      </w:pPr>
      <w:r>
        <w:rPr>
          <w:rFonts w:ascii="Calibri" w:cs="Calibri" w:eastAsia="Calibri" w:hAnsi="Calibri"/>
          <w:b/>
          <w:bCs/>
          <w:color w:val="11243A"/>
          <w:sz w:val="19"/>
          <w:szCs w:val="19"/>
        </w:rPr>
        <w:t xml:space="preserve">Nobody decides who deserves which effort. </w:t>
      </w:r>
      <w:r>
        <w:rPr>
          <w:rFonts w:ascii="Calibri" w:cs="Calibri" w:eastAsia="Calibri" w:hAnsi="Calibri"/>
          <w:color w:val="11243A"/>
          <w:sz w:val="19"/>
          <w:szCs w:val="19"/>
        </w:rPr>
        <w:t xml:space="preserve">A borrower whose intent is sliding and one who simply got paid late receive the same callback, so cost goes to the wrong people.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20"/>
          <w:szCs w:val="20"/>
        </w:rPr>
        <w:t xml:space="preserve">The solution</w:t>
      </w:r>
    </w:p>
    <w:p>
      <w:pPr>
        <w:spacing w:after="80" w:line="250"/>
      </w:pPr>
      <w:r>
        <w:rPr>
          <w:rFonts w:ascii="Calibri" w:cs="Calibri" w:eastAsia="Calibri" w:hAnsi="Calibri"/>
          <w:color w:val="11243A"/>
          <w:sz w:val="19"/>
          <w:szCs w:val="19"/>
        </w:rPr>
        <w:t xml:space="preserve">Meera calls within minutes of the bounce, in Hindi and Hinglish. In the call she confirms identity before mentioning the loan, states only the lender's facts, asks for a promise with a date </w:t>
      </w:r>
      <w:r>
        <w:rPr>
          <w:rFonts w:ascii="Calibri" w:cs="Calibri" w:eastAsia="Calibri" w:hAnsi="Calibri"/>
          <w:i/>
          <w:iCs/>
          <w:color w:val="11243A"/>
          <w:sz w:val="19"/>
          <w:szCs w:val="19"/>
        </w:rPr>
        <w:t xml:space="preserve">and</w:t>
      </w:r>
      <w:r>
        <w:rPr>
          <w:rFonts w:ascii="Calibri" w:cs="Calibri" w:eastAsia="Calibri" w:hAnsi="Calibri"/>
          <w:color w:val="11243A"/>
          <w:sz w:val="19"/>
          <w:szCs w:val="19"/>
        </w:rPr>
        <w:t xml:space="preserve"> an amount, sends exactly one payment link, and raises a ticket for anything outside her authority — she never promises a waiver. After the call, the conversation becomes structured data: reason, root cause, promise, cooperation, tickets, plus a transcript scored against every rule.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20"/>
          <w:szCs w:val="20"/>
        </w:rPr>
        <w:t xml:space="preserve">The decision it makes</w:t>
      </w:r>
    </w:p>
    <w:p>
      <w:pPr>
        <w:spacing w:after="80" w:line="250"/>
      </w:pPr>
      <w:r>
        <w:rPr>
          <w:rFonts w:ascii="Calibri" w:cs="Calibri" w:eastAsia="Calibri" w:hAnsi="Calibri"/>
          <w:color w:val="5B6B85"/>
          <w:sz w:val="19"/>
          <w:szCs w:val="19"/>
        </w:rPr>
        <w:t xml:space="preserve">Two readable questions, answered by rules, not by the model:</w:t>
      </w:r>
    </w:p>
    <w:p>
      <w:pPr>
        <w:pStyle w:val="ListParagraph"/>
        <w:numPr>
          <w:ilvl w:val="0"/>
          <w:numId w:val="1"/>
        </w:numPr>
        <w:spacing w:after="50" w:line="250"/>
        <w:ind w:left="200" w:hanging="160"/>
      </w:pPr>
      <w:r>
        <w:rPr>
          <w:rFonts w:ascii="Calibri" w:cs="Calibri" w:eastAsia="Calibri" w:hAnsi="Calibri"/>
          <w:b/>
          <w:bCs/>
          <w:color w:val="11243A"/>
          <w:sz w:val="19"/>
          <w:szCs w:val="19"/>
        </w:rPr>
        <w:t xml:space="preserve">1. Has the borrower's intent shifted toward not paying? </w:t>
      </w:r>
      <w:r>
        <w:rPr>
          <w:rFonts w:ascii="Calibri" w:cs="Calibri" w:eastAsia="Calibri" w:hAnsi="Calibri"/>
          <w:color w:val="11243A"/>
          <w:sz w:val="19"/>
          <w:szCs w:val="19"/>
        </w:rPr>
        <w:t xml:space="preserve">From the EMI history alone: four or more of the last six EMIs bounced, or past promises mostly broken.</w:t>
      </w:r>
    </w:p>
    <w:p>
      <w:pPr>
        <w:pStyle w:val="ListParagraph"/>
        <w:numPr>
          <w:ilvl w:val="0"/>
          <w:numId w:val="1"/>
        </w:numPr>
        <w:spacing w:after="50" w:line="250"/>
        <w:ind w:left="200" w:hanging="160"/>
      </w:pPr>
      <w:r>
        <w:rPr>
          <w:rFonts w:ascii="Calibri" w:cs="Calibri" w:eastAsia="Calibri" w:hAnsi="Calibri"/>
          <w:b/>
          <w:bCs/>
          <w:color w:val="11243A"/>
          <w:sz w:val="19"/>
          <w:szCs w:val="19"/>
        </w:rPr>
        <w:t xml:space="preserve">2. Did the borrower let the AI down on this call? </w:t>
      </w:r>
      <w:r>
        <w:rPr>
          <w:rFonts w:ascii="Calibri" w:cs="Calibri" w:eastAsia="Calibri" w:hAnsi="Calibri"/>
          <w:color w:val="11243A"/>
          <w:sz w:val="19"/>
          <w:szCs w:val="19"/>
        </w:rPr>
        <w:t xml:space="preserve">No firm date and amount, or an evasive or hostile conversation.</w:t>
      </w:r>
    </w:p>
    <w:p>
      <w:pPr>
        <w:spacing w:after="80" w:line="250"/>
      </w:pPr>
      <w:r>
        <w:rPr>
          <w:rFonts w:ascii="Calibri" w:cs="Calibri" w:eastAsia="Calibri" w:hAnsi="Calibri"/>
          <w:color w:val="11243A"/>
          <w:sz w:val="19"/>
          <w:szCs w:val="19"/>
        </w:rPr>
        <w:t xml:space="preserve">Either answer Yes routes the borrower to a person; both No keeps them with the AI. The model extracts facts; the rules decide, so every recommendation can be read back to a compliance officer. The demo borrower makes the point: he gives a firm promise that fits his payday, yet four bounces in six months send him to a person </w:t>
      </w:r>
      <w:r>
        <w:rPr>
          <w:rFonts w:ascii="Calibri" w:cs="Calibri" w:eastAsia="Calibri" w:hAnsi="Calibri"/>
          <w:i/>
          <w:iCs/>
          <w:color w:val="11243A"/>
          <w:sz w:val="19"/>
          <w:szCs w:val="19"/>
        </w:rPr>
        <w:t xml:space="preserve">before</w:t>
      </w:r>
      <w:r>
        <w:rPr>
          <w:rFonts w:ascii="Calibri" w:cs="Calibri" w:eastAsia="Calibri" w:hAnsi="Calibri"/>
          <w:color w:val="11243A"/>
          <w:sz w:val="19"/>
          <w:szCs w:val="19"/>
        </w:rPr>
        <w:t xml:space="preserve"> he breaks another promise. A CRM would have booked a callback.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20"/>
          <w:szCs w:val="20"/>
        </w:rPr>
        <w:t xml:space="preserve">Success metrics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3700"/>
        <w:gridCol w:w="3020"/>
      </w:tblGrid>
      <w:tr>
        <w:trPr>
          <w:tblHeader/>
        </w:trPr>
        <w:tc>
          <w:tcPr>
            <w:tcW w:type="dxa" w:w="25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7"/>
                <w:szCs w:val="17"/>
              </w:rPr>
              <w:t xml:space="preserve">Metric</w:t>
            </w:r>
          </w:p>
        </w:tc>
        <w:tc>
          <w:tcPr>
            <w:tcW w:type="dxa" w:w="37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7"/>
                <w:szCs w:val="17"/>
              </w:rPr>
              <w:t xml:space="preserve">What it tells the lender</w:t>
            </w:r>
          </w:p>
        </w:tc>
        <w:tc>
          <w:tcPr>
            <w:tcW w:type="dxa" w:w="30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7"/>
                <w:szCs w:val="17"/>
              </w:rPr>
              <w:t xml:space="preserve">Demo build (sample)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Payment collected</w:t>
            </w:r>
          </w:p>
        </w:tc>
        <w:tc>
          <w:tcPr>
            <w:tcW w:type="dxa" w:w="37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7"/>
                <w:szCs w:val="17"/>
              </w:rPr>
              <w:t xml:space="preserve">Rupees recovered of rupees targeted</w:t>
            </w:r>
          </w:p>
        </w:tc>
        <w:tc>
          <w:tcPr>
            <w:tcW w:type="dxa" w:w="30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46%  ·  ₹2,30,000 of ₹5,00,000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Resolution rate</w:t>
            </w:r>
          </w:p>
        </w:tc>
        <w:tc>
          <w:tcPr>
            <w:tcW w:type="dxa" w:w="37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7"/>
                <w:szCs w:val="17"/>
              </w:rPr>
              <w:t xml:space="preserve">Bounced EMIs cleared in full</w:t>
            </w:r>
          </w:p>
        </w:tc>
        <w:tc>
          <w:tcPr>
            <w:tcW w:type="dxa" w:w="30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40 of 100 EMIs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Resolution time</w:t>
            </w:r>
          </w:p>
        </w:tc>
        <w:tc>
          <w:tcPr>
            <w:tcW w:type="dxa" w:w="37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7"/>
                <w:szCs w:val="17"/>
              </w:rPr>
              <w:t xml:space="preserve">Days from first call to full payment</w:t>
            </w:r>
          </w:p>
        </w:tc>
        <w:tc>
          <w:tcPr>
            <w:tcW w:type="dxa" w:w="30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5 days (median)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Promise-to-pay rate</w:t>
            </w:r>
          </w:p>
        </w:tc>
        <w:tc>
          <w:tcPr>
            <w:tcW w:type="dxa" w:w="37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7"/>
                <w:szCs w:val="17"/>
              </w:rPr>
              <w:t xml:space="preserve">Calls ending in a dated, costed promise</w:t>
            </w:r>
          </w:p>
        </w:tc>
        <w:tc>
          <w:tcPr>
            <w:tcW w:type="dxa" w:w="30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63.9% of conversations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Clear reason captured</w:t>
            </w:r>
          </w:p>
        </w:tc>
        <w:tc>
          <w:tcPr>
            <w:tcW w:type="dxa" w:w="37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7"/>
                <w:szCs w:val="17"/>
              </w:rPr>
              <w:t xml:space="preserve">Calls that explain why the EMI missed</w:t>
            </w:r>
          </w:p>
        </w:tc>
        <w:tc>
          <w:tcPr>
            <w:tcW w:type="dxa" w:w="30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92.8% of conversations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Hard-rule breach rate</w:t>
            </w:r>
          </w:p>
        </w:tc>
        <w:tc>
          <w:tcPr>
            <w:tcW w:type="dxa" w:w="37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7"/>
                <w:szCs w:val="17"/>
              </w:rPr>
              <w:t xml:space="preserve">Compliance; target is zero</w:t>
            </w:r>
          </w:p>
        </w:tc>
        <w:tc>
          <w:tcPr>
            <w:tcW w:type="dxa" w:w="30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29.7% — the gap to close first</w:t>
            </w:r>
          </w:p>
        </w:tc>
      </w:tr>
      <w:tr>
        <w:trPr>
          <w:tblHeader w:val="false"/>
        </w:trPr>
        <w:tc>
          <w:tcPr>
            <w:tcW w:type="dxa" w:w="25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Cost per contact</w:t>
            </w:r>
          </w:p>
        </w:tc>
        <w:tc>
          <w:tcPr>
            <w:tcW w:type="dxa" w:w="37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7"/>
                <w:szCs w:val="17"/>
              </w:rPr>
              <w:t xml:space="preserve">Cost of reaching one borrower</w:t>
            </w:r>
          </w:p>
        </w:tc>
        <w:tc>
          <w:tcPr>
            <w:tcW w:type="dxa" w:w="302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30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7"/>
                <w:szCs w:val="17"/>
              </w:rPr>
              <w:t xml:space="preserve">₹10.50 AI vs ₹55 a person</w:t>
            </w:r>
          </w:p>
        </w:tc>
      </w:tr>
    </w:tbl>
    <w:p>
      <w:pPr>
        <w:spacing w:after="40" w:before="60"/>
      </w:pPr>
      <w:r>
        <w:rPr>
          <w:rFonts w:ascii="Calibri" w:cs="Calibri" w:eastAsia="Calibri" w:hAnsi="Calibri"/>
          <w:color w:val="5B6B85"/>
          <w:sz w:val="16"/>
          <w:szCs w:val="16"/>
        </w:rPr>
        <w:t xml:space="preserve">Sample figures from a demo book of 100 bounced EMIs of ₹5,000. Call costs are from a collections analyst at an Indian lender.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20"/>
          <w:szCs w:val="20"/>
        </w:rPr>
        <w:t xml:space="preserve">Control and trust</w:t>
      </w:r>
    </w:p>
    <w:p>
      <w:pPr>
        <w:pStyle w:val="ListParagraph"/>
        <w:numPr>
          <w:ilvl w:val="0"/>
          <w:numId w:val="1"/>
        </w:numPr>
        <w:spacing w:after="50" w:line="250"/>
        <w:ind w:left="200" w:hanging="160"/>
      </w:pPr>
      <w:r>
        <w:rPr>
          <w:rFonts w:ascii="Calibri" w:cs="Calibri" w:eastAsia="Calibri" w:hAnsi="Calibri"/>
          <w:b/>
          <w:bCs/>
          <w:color w:val="11243A"/>
          <w:sz w:val="19"/>
          <w:szCs w:val="19"/>
        </w:rPr>
        <w:t xml:space="preserve">Every call is scored, not sampled. </w:t>
      </w:r>
      <w:r>
        <w:rPr>
          <w:rFonts w:ascii="Calibri" w:cs="Calibri" w:eastAsia="Calibri" w:hAnsi="Calibri"/>
          <w:color w:val="11243A"/>
          <w:sz w:val="19"/>
          <w:szCs w:val="19"/>
        </w:rPr>
        <w:t xml:space="preserve">Hard rules (identity first, no false promise, no threats, facts only, one link) and judgement rules (listened first, clean close) run on 100% of calls, against the 10–20% a quality team can sample by hand.</w:t>
      </w:r>
    </w:p>
    <w:p>
      <w:pPr>
        <w:pStyle w:val="ListParagraph"/>
        <w:numPr>
          <w:ilvl w:val="0"/>
          <w:numId w:val="1"/>
        </w:numPr>
        <w:spacing w:after="50" w:line="250"/>
        <w:ind w:left="200" w:hanging="160"/>
      </w:pPr>
      <w:r>
        <w:rPr>
          <w:rFonts w:ascii="Calibri" w:cs="Calibri" w:eastAsia="Calibri" w:hAnsi="Calibri"/>
          <w:b/>
          <w:bCs/>
          <w:color w:val="11243A"/>
          <w:sz w:val="19"/>
          <w:szCs w:val="19"/>
        </w:rPr>
        <w:t xml:space="preserve">The reviewer sees the reasoning, not a score. </w:t>
      </w:r>
      <w:r>
        <w:rPr>
          <w:rFonts w:ascii="Calibri" w:cs="Calibri" w:eastAsia="Calibri" w:hAnsi="Calibri"/>
          <w:color w:val="11243A"/>
          <w:sz w:val="19"/>
          <w:szCs w:val="19"/>
        </w:rPr>
        <w:t xml:space="preserve">The transcript, the extracted facts and the two answers that produced the recommendation sit on one screen.</w:t>
      </w:r>
    </w:p>
    <w:p>
      <w:pPr>
        <w:pStyle w:val="ListParagraph"/>
        <w:numPr>
          <w:ilvl w:val="0"/>
          <w:numId w:val="1"/>
        </w:numPr>
        <w:spacing w:after="50" w:line="250"/>
        <w:ind w:left="200" w:hanging="160"/>
      </w:pPr>
      <w:r>
        <w:rPr>
          <w:rFonts w:ascii="Calibri" w:cs="Calibri" w:eastAsia="Calibri" w:hAnsi="Calibri"/>
          <w:b/>
          <w:bCs/>
          <w:color w:val="11243A"/>
          <w:sz w:val="19"/>
          <w:szCs w:val="19"/>
        </w:rPr>
        <w:t xml:space="preserve">What stays human. </w:t>
      </w:r>
      <w:r>
        <w:rPr>
          <w:rFonts w:ascii="Calibri" w:cs="Calibri" w:eastAsia="Calibri" w:hAnsi="Calibri"/>
          <w:color w:val="11243A"/>
          <w:sz w:val="19"/>
          <w:szCs w:val="19"/>
        </w:rPr>
        <w:t xml:space="preserve">Disputes, hardship, anything outside Meera's authority, and every borrower whose intent has shifted — by design, not by exception.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20"/>
          <w:szCs w:val="20"/>
        </w:rPr>
        <w:t xml:space="preserve">Known gaps</w:t>
      </w:r>
    </w:p>
    <w:p>
      <w:pPr>
        <w:spacing w:after="80" w:line="250"/>
      </w:pPr>
      <w:r>
        <w:rPr>
          <w:rFonts w:ascii="Calibri" w:cs="Calibri" w:eastAsia="Calibri" w:hAnsi="Calibri"/>
          <w:color w:val="11243A"/>
          <w:sz w:val="17"/>
          <w:szCs w:val="17"/>
        </w:rPr>
        <w:t xml:space="preserve">The recommendation is shown, not yet executed — no handoff packet or pause control is built. Weights are uncalibrated: nothing yet records whether a promise was kept, so there is no learning loop. And the 29.7% hard-rule breach rate on sample calls is the first thing to fix before any pilot.</w:t>
      </w:r>
    </w:p>
    <w:sectPr>
      <w:pgSz w:w="11906" w:h="16838" w:orient="portrait"/>
      <w:pgMar w:top="792" w:right="936" w:bottom="720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243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2026-10-13T12:23:34.803Z</dcterms:created>
  <dcterms:modified xsi:type="dcterms:W3CDTF">2026-10-13T12:23:34.803Z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