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pPr>
      <w:r>
        <w:rPr>
          <w:rFonts w:ascii="Calibri" w:cs="Calibri" w:eastAsia="Calibri" w:hAnsi="Calibri"/>
          <w:b/>
          <w:bCs/>
          <w:color w:val="11243A"/>
          <w:sz w:val="30"/>
          <w:szCs w:val="30"/>
        </w:rPr>
        <w:t xml:space="preserve">AI build log</w:t>
      </w:r>
    </w:p>
    <w:p>
      <w:pPr>
        <w:spacing w:after="30"/>
      </w:pPr>
      <w:r>
        <w:rPr>
          <w:rFonts w:ascii="Calibri" w:cs="Calibri" w:eastAsia="Calibri" w:hAnsi="Calibri"/>
          <w:color w:val="5B6B85"/>
          <w:sz w:val="18"/>
          <w:szCs w:val="18"/>
        </w:rPr>
        <w:t xml:space="preserve">Razorpay Trusted Collections Agent — how the build was done, what the AI did, and where I made the calls.</w:t>
      </w:r>
    </w:p>
    <w:p>
      <w:pPr>
        <w:pBdr>
          <w:bottom w:val="single" w:color="C9D2E0" w:sz="6" w:space="5"/>
        </w:pBdr>
        <w:spacing w:after="45"/>
      </w:pPr>
      <w:r>
        <w:rPr>
          <w:rFonts w:ascii="Calibri" w:cs="Calibri" w:eastAsia="Calibri" w:hAnsi="Calibri"/>
          <w:color w:val="5B6B85"/>
          <w:sz w:val="15"/>
          <w:szCs w:val="15"/>
        </w:rPr>
        <w:t xml:space="preserve">Ujjwal Goel  ·  55 commits, 5–13 October 2026  ·  ~5,000 lines of application code, 8,400 lines of rules and content, 37 tests</w:t>
      </w:r>
    </w:p>
    <w:p>
      <w:pPr>
        <w:spacing w:after="50" w:before="150"/>
      </w:pPr>
      <w:r>
        <w:rPr>
          <w:rFonts w:ascii="Calibri" w:cs="Calibri" w:eastAsia="Calibri" w:hAnsi="Calibri"/>
          <w:b/>
          <w:bCs/>
          <w:caps/>
          <w:color w:val="1A4FD6"/>
          <w:spacing w:val="20"/>
          <w:sz w:val="18"/>
          <w:szCs w:val="18"/>
        </w:rPr>
        <w:t xml:space="preserve">AI tools and models used</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250"/>
        <w:gridCol w:w="4250"/>
        <w:gridCol w:w="2740"/>
      </w:tblGrid>
      <w:tr>
        <w:trPr>
          <w:tblHeader/>
        </w:trPr>
        <w:tc>
          <w:tcPr>
            <w:tcW w:type="dxa" w:w="2250"/>
            <w:tcBorders>
              <w:top w:val="single" w:color="C9D2E0" w:sz="2"/>
              <w:left w:val="none" w:color="FFFFFF" w:sz="0"/>
              <w:bottom w:val="single" w:color="C9D2E0" w:sz="2"/>
              <w:right w:val="none" w:color="FFFFFF" w:sz="0"/>
            </w:tcBorders>
            <w:shd w:fill="EEF3FB" w:color="auto" w:val="clear"/>
            <w:tcMar>
              <w:top w:type="dxa" w:w="40"/>
              <w:left w:type="dxa" w:w="85"/>
              <w:bottom w:type="dxa" w:w="40"/>
              <w:right w:type="dxa" w:w="85"/>
            </w:tcMar>
          </w:tcPr>
          <w:p>
            <w:pPr>
              <w:spacing w:after="0" w:line="205"/>
            </w:pPr>
            <w:r>
              <w:rPr>
                <w:rFonts w:ascii="Calibri" w:cs="Calibri" w:eastAsia="Calibri" w:hAnsi="Calibri"/>
                <w:b/>
                <w:bCs/>
                <w:color w:val="11243A"/>
                <w:sz w:val="15"/>
                <w:szCs w:val="15"/>
              </w:rPr>
              <w:t xml:space="preserve">Tool or model</w:t>
            </w:r>
          </w:p>
        </w:tc>
        <w:tc>
          <w:tcPr>
            <w:tcW w:type="dxa" w:w="4250"/>
            <w:tcBorders>
              <w:top w:val="single" w:color="C9D2E0" w:sz="2"/>
              <w:left w:val="none" w:color="FFFFFF" w:sz="0"/>
              <w:bottom w:val="single" w:color="C9D2E0" w:sz="2"/>
              <w:right w:val="none" w:color="FFFFFF" w:sz="0"/>
            </w:tcBorders>
            <w:shd w:fill="EEF3FB" w:color="auto" w:val="clear"/>
            <w:tcMar>
              <w:top w:type="dxa" w:w="40"/>
              <w:left w:type="dxa" w:w="85"/>
              <w:bottom w:type="dxa" w:w="40"/>
              <w:right w:type="dxa" w:w="85"/>
            </w:tcMar>
          </w:tcPr>
          <w:p>
            <w:pPr>
              <w:spacing w:after="0" w:line="205"/>
            </w:pPr>
            <w:r>
              <w:rPr>
                <w:rFonts w:ascii="Calibri" w:cs="Calibri" w:eastAsia="Calibri" w:hAnsi="Calibri"/>
                <w:b/>
                <w:bCs/>
                <w:color w:val="11243A"/>
                <w:sz w:val="15"/>
                <w:szCs w:val="15"/>
              </w:rPr>
              <w:t xml:space="preserve">What it was used for</w:t>
            </w:r>
          </w:p>
        </w:tc>
        <w:tc>
          <w:tcPr>
            <w:tcW w:type="dxa" w:w="2740"/>
            <w:tcBorders>
              <w:top w:val="single" w:color="C9D2E0" w:sz="2"/>
              <w:left w:val="none" w:color="FFFFFF" w:sz="0"/>
              <w:bottom w:val="single" w:color="C9D2E0" w:sz="2"/>
              <w:right w:val="none" w:color="FFFFFF" w:sz="0"/>
            </w:tcBorders>
            <w:shd w:fill="EEF3FB" w:color="auto" w:val="clear"/>
            <w:tcMar>
              <w:top w:type="dxa" w:w="40"/>
              <w:left w:type="dxa" w:w="85"/>
              <w:bottom w:type="dxa" w:w="40"/>
              <w:right w:type="dxa" w:w="85"/>
            </w:tcMar>
          </w:tcPr>
          <w:p>
            <w:pPr>
              <w:spacing w:after="0" w:line="205"/>
            </w:pPr>
            <w:r>
              <w:rPr>
                <w:rFonts w:ascii="Calibri" w:cs="Calibri" w:eastAsia="Calibri" w:hAnsi="Calibri"/>
                <w:b/>
                <w:bCs/>
                <w:color w:val="11243A"/>
                <w:sz w:val="15"/>
                <w:szCs w:val="15"/>
              </w:rPr>
              <w:t xml:space="preserve">Build-time or runtime</w:t>
            </w:r>
          </w:p>
        </w:tc>
      </w:tr>
      <w:tr>
        <w:trPr>
          <w:tblHeader w:val="false"/>
        </w:trPr>
        <w:tc>
          <w:tcPr>
            <w:tcW w:type="dxa" w:w="2250"/>
            <w:tcBorders>
              <w:top w:val="single" w:color="C9D2E0" w:sz="2"/>
              <w:left w:val="none" w:color="FFFFFF" w:sz="0"/>
              <w:bottom w:val="single" w:color="C9D2E0" w:sz="2"/>
              <w:right w:val="none" w:color="FFFFFF" w:sz="0"/>
            </w:tcBorders>
            <w:tcMar>
              <w:top w:type="dxa" w:w="40"/>
              <w:left w:type="dxa" w:w="85"/>
              <w:bottom w:type="dxa" w:w="40"/>
              <w:right w:type="dxa" w:w="85"/>
            </w:tcMar>
          </w:tcPr>
          <w:p>
            <w:pPr>
              <w:spacing w:after="0" w:line="205"/>
            </w:pPr>
            <w:r>
              <w:rPr>
                <w:rFonts w:ascii="Calibri" w:cs="Calibri" w:eastAsia="Calibri" w:hAnsi="Calibri"/>
                <w:b w:val="false"/>
                <w:bCs w:val="false"/>
                <w:color w:val="11243A"/>
                <w:sz w:val="15"/>
                <w:szCs w:val="15"/>
              </w:rPr>
              <w:t xml:space="preserve">Claude Code (Opus and Sonnet)</w:t>
            </w:r>
          </w:p>
        </w:tc>
        <w:tc>
          <w:tcPr>
            <w:tcW w:type="dxa" w:w="4250"/>
            <w:tcBorders>
              <w:top w:val="single" w:color="C9D2E0" w:sz="2"/>
              <w:left w:val="none" w:color="FFFFFF" w:sz="0"/>
              <w:bottom w:val="single" w:color="C9D2E0" w:sz="2"/>
              <w:right w:val="none" w:color="FFFFFF" w:sz="0"/>
            </w:tcBorders>
            <w:tcMar>
              <w:top w:type="dxa" w:w="40"/>
              <w:left w:type="dxa" w:w="85"/>
              <w:bottom w:type="dxa" w:w="40"/>
              <w:right w:type="dxa" w:w="85"/>
            </w:tcMar>
          </w:tcPr>
          <w:p>
            <w:pPr>
              <w:spacing w:after="0" w:line="205"/>
            </w:pPr>
            <w:r>
              <w:rPr>
                <w:rFonts w:ascii="Calibri" w:cs="Calibri" w:eastAsia="Calibri" w:hAnsi="Calibri"/>
                <w:b w:val="false"/>
                <w:bCs w:val="false"/>
                <w:color w:val="5B6B85"/>
                <w:sz w:val="15"/>
                <w:szCs w:val="15"/>
              </w:rPr>
              <w:t xml:space="preserve">Wrote the application code, the tests, the sample book and the rule harness; ran the research sweeps</w:t>
            </w:r>
          </w:p>
        </w:tc>
        <w:tc>
          <w:tcPr>
            <w:tcW w:type="dxa" w:w="2740"/>
            <w:tcBorders>
              <w:top w:val="single" w:color="C9D2E0" w:sz="2"/>
              <w:left w:val="none" w:color="FFFFFF" w:sz="0"/>
              <w:bottom w:val="single" w:color="C9D2E0" w:sz="2"/>
              <w:right w:val="none" w:color="FFFFFF" w:sz="0"/>
            </w:tcBorders>
            <w:tcMar>
              <w:top w:type="dxa" w:w="40"/>
              <w:left w:type="dxa" w:w="85"/>
              <w:bottom w:type="dxa" w:w="40"/>
              <w:right w:type="dxa" w:w="85"/>
            </w:tcMar>
          </w:tcPr>
          <w:p>
            <w:pPr>
              <w:spacing w:after="0" w:line="205"/>
            </w:pPr>
            <w:r>
              <w:rPr>
                <w:rFonts w:ascii="Calibri" w:cs="Calibri" w:eastAsia="Calibri" w:hAnsi="Calibri"/>
                <w:b w:val="false"/>
                <w:bCs w:val="false"/>
                <w:color w:val="5B6B85"/>
                <w:sz w:val="15"/>
                <w:szCs w:val="15"/>
              </w:rPr>
              <w:t xml:space="preserve">Build-time</w:t>
            </w:r>
          </w:p>
        </w:tc>
      </w:tr>
      <w:tr>
        <w:trPr>
          <w:tblHeader w:val="false"/>
        </w:trPr>
        <w:tc>
          <w:tcPr>
            <w:tcW w:type="dxa" w:w="2250"/>
            <w:tcBorders>
              <w:top w:val="single" w:color="C9D2E0" w:sz="2"/>
              <w:left w:val="none" w:color="FFFFFF" w:sz="0"/>
              <w:bottom w:val="single" w:color="C9D2E0" w:sz="2"/>
              <w:right w:val="none" w:color="FFFFFF" w:sz="0"/>
            </w:tcBorders>
            <w:tcMar>
              <w:top w:type="dxa" w:w="40"/>
              <w:left w:type="dxa" w:w="85"/>
              <w:bottom w:type="dxa" w:w="40"/>
              <w:right w:type="dxa" w:w="85"/>
            </w:tcMar>
          </w:tcPr>
          <w:p>
            <w:pPr>
              <w:spacing w:after="0" w:line="205"/>
            </w:pPr>
            <w:r>
              <w:rPr>
                <w:rFonts w:ascii="Calibri" w:cs="Calibri" w:eastAsia="Calibri" w:hAnsi="Calibri"/>
                <w:b w:val="false"/>
                <w:bCs w:val="false"/>
                <w:color w:val="11243A"/>
                <w:sz w:val="15"/>
                <w:szCs w:val="15"/>
              </w:rPr>
              <w:t xml:space="preserve">Claude Sonnet, via API</w:t>
            </w:r>
          </w:p>
        </w:tc>
        <w:tc>
          <w:tcPr>
            <w:tcW w:type="dxa" w:w="4250"/>
            <w:tcBorders>
              <w:top w:val="single" w:color="C9D2E0" w:sz="2"/>
              <w:left w:val="none" w:color="FFFFFF" w:sz="0"/>
              <w:bottom w:val="single" w:color="C9D2E0" w:sz="2"/>
              <w:right w:val="none" w:color="FFFFFF" w:sz="0"/>
            </w:tcBorders>
            <w:tcMar>
              <w:top w:type="dxa" w:w="40"/>
              <w:left w:type="dxa" w:w="85"/>
              <w:bottom w:type="dxa" w:w="40"/>
              <w:right w:type="dxa" w:w="85"/>
            </w:tcMar>
          </w:tcPr>
          <w:p>
            <w:pPr>
              <w:spacing w:after="0" w:line="205"/>
            </w:pPr>
            <w:r>
              <w:rPr>
                <w:rFonts w:ascii="Calibri" w:cs="Calibri" w:eastAsia="Calibri" w:hAnsi="Calibri"/>
                <w:b w:val="false"/>
                <w:bCs w:val="false"/>
                <w:color w:val="5B6B85"/>
                <w:sz w:val="15"/>
                <w:szCs w:val="15"/>
              </w:rPr>
              <w:t xml:space="preserve">Runs inside the product: drives each turn of the live call, then reviews the finished call and scores it against the rules (LLM_MODEL, LLM_REVIEW_MODEL)</w:t>
            </w:r>
          </w:p>
        </w:tc>
        <w:tc>
          <w:tcPr>
            <w:tcW w:type="dxa" w:w="2740"/>
            <w:tcBorders>
              <w:top w:val="single" w:color="C9D2E0" w:sz="2"/>
              <w:left w:val="none" w:color="FFFFFF" w:sz="0"/>
              <w:bottom w:val="single" w:color="C9D2E0" w:sz="2"/>
              <w:right w:val="none" w:color="FFFFFF" w:sz="0"/>
            </w:tcBorders>
            <w:tcMar>
              <w:top w:type="dxa" w:w="40"/>
              <w:left w:type="dxa" w:w="85"/>
              <w:bottom w:type="dxa" w:w="40"/>
              <w:right w:type="dxa" w:w="85"/>
            </w:tcMar>
          </w:tcPr>
          <w:p>
            <w:pPr>
              <w:spacing w:after="0" w:line="205"/>
            </w:pPr>
            <w:r>
              <w:rPr>
                <w:rFonts w:ascii="Calibri" w:cs="Calibri" w:eastAsia="Calibri" w:hAnsi="Calibri"/>
                <w:b w:val="false"/>
                <w:bCs w:val="false"/>
                <w:color w:val="5B6B85"/>
                <w:sz w:val="15"/>
                <w:szCs w:val="15"/>
              </w:rPr>
              <w:t xml:space="preserve">Runtime</w:t>
            </w:r>
          </w:p>
        </w:tc>
      </w:tr>
      <w:tr>
        <w:trPr>
          <w:tblHeader w:val="false"/>
        </w:trPr>
        <w:tc>
          <w:tcPr>
            <w:tcW w:type="dxa" w:w="2250"/>
            <w:tcBorders>
              <w:top w:val="single" w:color="C9D2E0" w:sz="2"/>
              <w:left w:val="none" w:color="FFFFFF" w:sz="0"/>
              <w:bottom w:val="single" w:color="C9D2E0" w:sz="2"/>
              <w:right w:val="none" w:color="FFFFFF" w:sz="0"/>
            </w:tcBorders>
            <w:tcMar>
              <w:top w:type="dxa" w:w="40"/>
              <w:left w:type="dxa" w:w="85"/>
              <w:bottom w:type="dxa" w:w="40"/>
              <w:right w:type="dxa" w:w="85"/>
            </w:tcMar>
          </w:tcPr>
          <w:p>
            <w:pPr>
              <w:spacing w:after="0" w:line="205"/>
            </w:pPr>
            <w:r>
              <w:rPr>
                <w:rFonts w:ascii="Calibri" w:cs="Calibri" w:eastAsia="Calibri" w:hAnsi="Calibri"/>
                <w:b w:val="false"/>
                <w:bCs w:val="false"/>
                <w:color w:val="11243A"/>
                <w:sz w:val="15"/>
                <w:szCs w:val="15"/>
              </w:rPr>
              <w:t xml:space="preserve">Sarvam AI</w:t>
            </w:r>
          </w:p>
        </w:tc>
        <w:tc>
          <w:tcPr>
            <w:tcW w:type="dxa" w:w="4250"/>
            <w:tcBorders>
              <w:top w:val="single" w:color="C9D2E0" w:sz="2"/>
              <w:left w:val="none" w:color="FFFFFF" w:sz="0"/>
              <w:bottom w:val="single" w:color="C9D2E0" w:sz="2"/>
              <w:right w:val="none" w:color="FFFFFF" w:sz="0"/>
            </w:tcBorders>
            <w:tcMar>
              <w:top w:type="dxa" w:w="40"/>
              <w:left w:type="dxa" w:w="85"/>
              <w:bottom w:type="dxa" w:w="40"/>
              <w:right w:type="dxa" w:w="85"/>
            </w:tcMar>
          </w:tcPr>
          <w:p>
            <w:pPr>
              <w:spacing w:after="0" w:line="205"/>
            </w:pPr>
            <w:r>
              <w:rPr>
                <w:rFonts w:ascii="Calibri" w:cs="Calibri" w:eastAsia="Calibri" w:hAnsi="Calibri"/>
                <w:b w:val="false"/>
                <w:bCs w:val="false"/>
                <w:color w:val="5B6B85"/>
                <w:sz w:val="15"/>
                <w:szCs w:val="15"/>
              </w:rPr>
              <w:t xml:space="preserve">Hindi and Hinglish speech to text and text to speech on the live call</w:t>
            </w:r>
          </w:p>
        </w:tc>
        <w:tc>
          <w:tcPr>
            <w:tcW w:type="dxa" w:w="2740"/>
            <w:tcBorders>
              <w:top w:val="single" w:color="C9D2E0" w:sz="2"/>
              <w:left w:val="none" w:color="FFFFFF" w:sz="0"/>
              <w:bottom w:val="single" w:color="C9D2E0" w:sz="2"/>
              <w:right w:val="none" w:color="FFFFFF" w:sz="0"/>
            </w:tcBorders>
            <w:tcMar>
              <w:top w:type="dxa" w:w="40"/>
              <w:left w:type="dxa" w:w="85"/>
              <w:bottom w:type="dxa" w:w="40"/>
              <w:right w:type="dxa" w:w="85"/>
            </w:tcMar>
          </w:tcPr>
          <w:p>
            <w:pPr>
              <w:spacing w:after="0" w:line="205"/>
            </w:pPr>
            <w:r>
              <w:rPr>
                <w:rFonts w:ascii="Calibri" w:cs="Calibri" w:eastAsia="Calibri" w:hAnsi="Calibri"/>
                <w:b w:val="false"/>
                <w:bCs w:val="false"/>
                <w:color w:val="5B6B85"/>
                <w:sz w:val="15"/>
                <w:szCs w:val="15"/>
              </w:rPr>
              <w:t xml:space="preserve">Runtime</w:t>
            </w:r>
          </w:p>
        </w:tc>
      </w:tr>
      <w:tr>
        <w:trPr>
          <w:tblHeader w:val="false"/>
        </w:trPr>
        <w:tc>
          <w:tcPr>
            <w:tcW w:type="dxa" w:w="2250"/>
            <w:tcBorders>
              <w:top w:val="single" w:color="C9D2E0" w:sz="2"/>
              <w:left w:val="none" w:color="FFFFFF" w:sz="0"/>
              <w:bottom w:val="single" w:color="C9D2E0" w:sz="2"/>
              <w:right w:val="none" w:color="FFFFFF" w:sz="0"/>
            </w:tcBorders>
            <w:tcMar>
              <w:top w:type="dxa" w:w="40"/>
              <w:left w:type="dxa" w:w="85"/>
              <w:bottom w:type="dxa" w:w="40"/>
              <w:right w:type="dxa" w:w="85"/>
            </w:tcMar>
          </w:tcPr>
          <w:p>
            <w:pPr>
              <w:spacing w:after="0" w:line="205"/>
            </w:pPr>
            <w:r>
              <w:rPr>
                <w:rFonts w:ascii="Calibri" w:cs="Calibri" w:eastAsia="Calibri" w:hAnsi="Calibri"/>
                <w:b w:val="false"/>
                <w:bCs w:val="false"/>
                <w:color w:val="11243A"/>
                <w:sz w:val="15"/>
                <w:szCs w:val="15"/>
              </w:rPr>
              <w:t xml:space="preserve">Replit + GitHub</w:t>
            </w:r>
          </w:p>
        </w:tc>
        <w:tc>
          <w:tcPr>
            <w:tcW w:type="dxa" w:w="4250"/>
            <w:tcBorders>
              <w:top w:val="single" w:color="C9D2E0" w:sz="2"/>
              <w:left w:val="none" w:color="FFFFFF" w:sz="0"/>
              <w:bottom w:val="single" w:color="C9D2E0" w:sz="2"/>
              <w:right w:val="none" w:color="FFFFFF" w:sz="0"/>
            </w:tcBorders>
            <w:tcMar>
              <w:top w:type="dxa" w:w="40"/>
              <w:left w:type="dxa" w:w="85"/>
              <w:bottom w:type="dxa" w:w="40"/>
              <w:right w:type="dxa" w:w="85"/>
            </w:tcMar>
          </w:tcPr>
          <w:p>
            <w:pPr>
              <w:spacing w:after="0" w:line="205"/>
            </w:pPr>
            <w:r>
              <w:rPr>
                <w:rFonts w:ascii="Calibri" w:cs="Calibri" w:eastAsia="Calibri" w:hAnsi="Calibri"/>
                <w:b w:val="false"/>
                <w:bCs w:val="false"/>
                <w:color w:val="5B6B85"/>
                <w:sz w:val="15"/>
                <w:szCs w:val="15"/>
              </w:rPr>
              <w:t xml:space="preserve">Hosting and deployment, with its agent working the same repository in parallel</w:t>
            </w:r>
          </w:p>
        </w:tc>
        <w:tc>
          <w:tcPr>
            <w:tcW w:type="dxa" w:w="2740"/>
            <w:tcBorders>
              <w:top w:val="single" w:color="C9D2E0" w:sz="2"/>
              <w:left w:val="none" w:color="FFFFFF" w:sz="0"/>
              <w:bottom w:val="single" w:color="C9D2E0" w:sz="2"/>
              <w:right w:val="none" w:color="FFFFFF" w:sz="0"/>
            </w:tcBorders>
            <w:tcMar>
              <w:top w:type="dxa" w:w="40"/>
              <w:left w:type="dxa" w:w="85"/>
              <w:bottom w:type="dxa" w:w="40"/>
              <w:right w:type="dxa" w:w="85"/>
            </w:tcMar>
          </w:tcPr>
          <w:p>
            <w:pPr>
              <w:spacing w:after="0" w:line="205"/>
            </w:pPr>
            <w:r>
              <w:rPr>
                <w:rFonts w:ascii="Calibri" w:cs="Calibri" w:eastAsia="Calibri" w:hAnsi="Calibri"/>
                <w:b w:val="false"/>
                <w:bCs w:val="false"/>
                <w:color w:val="5B6B85"/>
                <w:sz w:val="15"/>
                <w:szCs w:val="15"/>
              </w:rPr>
              <w:t xml:space="preserve">Build-time</w:t>
            </w:r>
          </w:p>
        </w:tc>
      </w:tr>
      <w:tr>
        <w:trPr>
          <w:tblHeader w:val="false"/>
        </w:trPr>
        <w:tc>
          <w:tcPr>
            <w:tcW w:type="dxa" w:w="2250"/>
            <w:tcBorders>
              <w:top w:val="single" w:color="C9D2E0" w:sz="2"/>
              <w:left w:val="none" w:color="FFFFFF" w:sz="0"/>
              <w:bottom w:val="single" w:color="C9D2E0" w:sz="2"/>
              <w:right w:val="none" w:color="FFFFFF" w:sz="0"/>
            </w:tcBorders>
            <w:tcMar>
              <w:top w:type="dxa" w:w="40"/>
              <w:left w:type="dxa" w:w="85"/>
              <w:bottom w:type="dxa" w:w="40"/>
              <w:right w:type="dxa" w:w="85"/>
            </w:tcMar>
          </w:tcPr>
          <w:p>
            <w:pPr>
              <w:spacing w:after="0" w:line="205"/>
            </w:pPr>
            <w:r>
              <w:rPr>
                <w:rFonts w:ascii="Calibri" w:cs="Calibri" w:eastAsia="Calibri" w:hAnsi="Calibri"/>
                <w:b w:val="false"/>
                <w:bCs w:val="false"/>
                <w:color w:val="11243A"/>
                <w:sz w:val="15"/>
                <w:szCs w:val="15"/>
              </w:rPr>
              <w:t xml:space="preserve">Wispr Flow</w:t>
            </w:r>
          </w:p>
        </w:tc>
        <w:tc>
          <w:tcPr>
            <w:tcW w:type="dxa" w:w="4250"/>
            <w:tcBorders>
              <w:top w:val="single" w:color="C9D2E0" w:sz="2"/>
              <w:left w:val="none" w:color="FFFFFF" w:sz="0"/>
              <w:bottom w:val="single" w:color="C9D2E0" w:sz="2"/>
              <w:right w:val="none" w:color="FFFFFF" w:sz="0"/>
            </w:tcBorders>
            <w:tcMar>
              <w:top w:type="dxa" w:w="40"/>
              <w:left w:type="dxa" w:w="85"/>
              <w:bottom w:type="dxa" w:w="40"/>
              <w:right w:type="dxa" w:w="85"/>
            </w:tcMar>
          </w:tcPr>
          <w:p>
            <w:pPr>
              <w:spacing w:after="0" w:line="205"/>
            </w:pPr>
            <w:r>
              <w:rPr>
                <w:rFonts w:ascii="Calibri" w:cs="Calibri" w:eastAsia="Calibri" w:hAnsi="Calibri"/>
                <w:b w:val="false"/>
                <w:bCs w:val="false"/>
                <w:color w:val="5B6B85"/>
                <w:sz w:val="15"/>
                <w:szCs w:val="15"/>
              </w:rPr>
              <w:t xml:space="preserve">Transcribed and summarised the three lender interviews</w:t>
            </w:r>
          </w:p>
        </w:tc>
        <w:tc>
          <w:tcPr>
            <w:tcW w:type="dxa" w:w="2740"/>
            <w:tcBorders>
              <w:top w:val="single" w:color="C9D2E0" w:sz="2"/>
              <w:left w:val="none" w:color="FFFFFF" w:sz="0"/>
              <w:bottom w:val="single" w:color="C9D2E0" w:sz="2"/>
              <w:right w:val="none" w:color="FFFFFF" w:sz="0"/>
            </w:tcBorders>
            <w:tcMar>
              <w:top w:type="dxa" w:w="40"/>
              <w:left w:type="dxa" w:w="85"/>
              <w:bottom w:type="dxa" w:w="40"/>
              <w:right w:type="dxa" w:w="85"/>
            </w:tcMar>
          </w:tcPr>
          <w:p>
            <w:pPr>
              <w:spacing w:after="0" w:line="205"/>
            </w:pPr>
            <w:r>
              <w:rPr>
                <w:rFonts w:ascii="Calibri" w:cs="Calibri" w:eastAsia="Calibri" w:hAnsi="Calibri"/>
                <w:b w:val="false"/>
                <w:bCs w:val="false"/>
                <w:color w:val="5B6B85"/>
                <w:sz w:val="15"/>
                <w:szCs w:val="15"/>
              </w:rPr>
              <w:t xml:space="preserve">Build-time</w:t>
            </w:r>
          </w:p>
        </w:tc>
      </w:tr>
    </w:tbl>
    <w:p>
      <w:pPr>
        <w:spacing w:after="40" w:before="60"/>
      </w:pPr>
      <w:r>
        <w:rPr>
          <w:rFonts w:ascii="Calibri" w:cs="Calibri" w:eastAsia="Calibri" w:hAnsi="Calibri"/>
          <w:color w:val="11243A"/>
          <w:sz w:val="16"/>
          <w:szCs w:val="16"/>
        </w:rPr>
        <w:t xml:space="preserve">The distinction that matters: one set of tools </w:t>
      </w:r>
      <w:r>
        <w:rPr>
          <w:rFonts w:ascii="Calibri" w:cs="Calibri" w:eastAsia="Calibri" w:hAnsi="Calibri"/>
          <w:i/>
          <w:iCs/>
          <w:color w:val="11243A"/>
          <w:sz w:val="16"/>
          <w:szCs w:val="16"/>
        </w:rPr>
        <w:t xml:space="preserve">built</w:t>
      </w:r>
      <w:r>
        <w:rPr>
          <w:rFonts w:ascii="Calibri" w:cs="Calibri" w:eastAsia="Calibri" w:hAnsi="Calibri"/>
          <w:color w:val="11243A"/>
          <w:sz w:val="16"/>
          <w:szCs w:val="16"/>
        </w:rPr>
        <w:t xml:space="preserve"> the product, and a different set </w:t>
      </w:r>
      <w:r>
        <w:rPr>
          <w:rFonts w:ascii="Calibri" w:cs="Calibri" w:eastAsia="Calibri" w:hAnsi="Calibri"/>
          <w:i/>
          <w:iCs/>
          <w:color w:val="11243A"/>
          <w:sz w:val="16"/>
          <w:szCs w:val="16"/>
        </w:rPr>
        <w:t xml:space="preserve">runs inside</w:t>
      </w:r>
      <w:r>
        <w:rPr>
          <w:rFonts w:ascii="Calibri" w:cs="Calibri" w:eastAsia="Calibri" w:hAnsi="Calibri"/>
          <w:color w:val="11243A"/>
          <w:sz w:val="16"/>
          <w:szCs w:val="16"/>
        </w:rPr>
        <w:t xml:space="preserve"> it. The agent a borrower speaks to is a Claude model with Sarvam speech on either side; the thing that wrote it is Claude Code.</w:t>
      </w:r>
    </w:p>
    <w:p>
      <w:pPr>
        <w:spacing w:after="50" w:before="150"/>
      </w:pPr>
      <w:r>
        <w:rPr>
          <w:rFonts w:ascii="Calibri" w:cs="Calibri" w:eastAsia="Calibri" w:hAnsi="Calibri"/>
          <w:b/>
          <w:bCs/>
          <w:caps/>
          <w:color w:val="1A4FD6"/>
          <w:spacing w:val="20"/>
          <w:sz w:val="18"/>
          <w:szCs w:val="18"/>
        </w:rPr>
        <w:t xml:space="preserve">Key prompts, workflows and agent setup</w:t>
      </w:r>
    </w:p>
    <w:p>
      <w:pPr>
        <w:spacing w:after="55" w:line="225"/>
      </w:pPr>
      <w:r>
        <w:rPr>
          <w:rFonts w:ascii="Calibri" w:cs="Calibri" w:eastAsia="Calibri" w:hAnsi="Calibri"/>
          <w:color w:val="11243A"/>
          <w:sz w:val="17"/>
          <w:szCs w:val="17"/>
        </w:rPr>
        <w:t xml:space="preserve">The agent's behaviour does not live in code. It lives in content files that are read fresh on every call — </w:t>
      </w:r>
      <w:r>
        <w:rPr>
          <w:rFonts w:ascii="Calibri" w:cs="Calibri" w:eastAsia="Calibri" w:hAnsi="Calibri"/>
          <w:b/>
          <w:bCs/>
          <w:color w:val="11243A"/>
          <w:sz w:val="17"/>
          <w:szCs w:val="17"/>
        </w:rPr>
        <w:t xml:space="preserve">agent.md</w:t>
      </w:r>
      <w:r>
        <w:rPr>
          <w:rFonts w:ascii="Calibri" w:cs="Calibri" w:eastAsia="Calibri" w:hAnsi="Calibri"/>
          <w:color w:val="11243A"/>
          <w:sz w:val="17"/>
          <w:szCs w:val="17"/>
        </w:rPr>
        <w:t xml:space="preserve"> for how Meera speaks, </w:t>
      </w:r>
      <w:r>
        <w:rPr>
          <w:rFonts w:ascii="Calibri" w:cs="Calibri" w:eastAsia="Calibri" w:hAnsi="Calibri"/>
          <w:b/>
          <w:bCs/>
          <w:color w:val="11243A"/>
          <w:sz w:val="17"/>
          <w:szCs w:val="17"/>
        </w:rPr>
        <w:t xml:space="preserve">script.md</w:t>
      </w:r>
      <w:r>
        <w:rPr>
          <w:rFonts w:ascii="Calibri" w:cs="Calibri" w:eastAsia="Calibri" w:hAnsi="Calibri"/>
          <w:color w:val="11243A"/>
          <w:sz w:val="17"/>
          <w:szCs w:val="17"/>
        </w:rPr>
        <w:t xml:space="preserve"> and </w:t>
      </w:r>
      <w:r>
        <w:rPr>
          <w:rFonts w:ascii="Calibri" w:cs="Calibri" w:eastAsia="Calibri" w:hAnsi="Calibri"/>
          <w:b/>
          <w:bCs/>
          <w:color w:val="11243A"/>
          <w:sz w:val="17"/>
          <w:szCs w:val="17"/>
        </w:rPr>
        <w:t xml:space="preserve">policy.json</w:t>
      </w:r>
      <w:r>
        <w:rPr>
          <w:rFonts w:ascii="Calibri" w:cs="Calibri" w:eastAsia="Calibri" w:hAnsi="Calibri"/>
          <w:color w:val="11243A"/>
          <w:sz w:val="17"/>
          <w:szCs w:val="17"/>
        </w:rPr>
        <w:t xml:space="preserve"> for what she may say, </w:t>
      </w:r>
      <w:r>
        <w:rPr>
          <w:rFonts w:ascii="Calibri" w:cs="Calibri" w:eastAsia="Calibri" w:hAnsi="Calibri"/>
          <w:b/>
          <w:bCs/>
          <w:color w:val="11243A"/>
          <w:sz w:val="17"/>
          <w:szCs w:val="17"/>
        </w:rPr>
        <w:t xml:space="preserve">guardrails.json</w:t>
      </w:r>
      <w:r>
        <w:rPr>
          <w:rFonts w:ascii="Calibri" w:cs="Calibri" w:eastAsia="Calibri" w:hAnsi="Calibri"/>
          <w:color w:val="11243A"/>
          <w:sz w:val="17"/>
          <w:szCs w:val="17"/>
        </w:rPr>
        <w:t xml:space="preserve"> and </w:t>
      </w:r>
      <w:r>
        <w:rPr>
          <w:rFonts w:ascii="Calibri" w:cs="Calibri" w:eastAsia="Calibri" w:hAnsi="Calibri"/>
          <w:b/>
          <w:bCs/>
          <w:color w:val="11243A"/>
          <w:sz w:val="17"/>
          <w:szCs w:val="17"/>
        </w:rPr>
        <w:t xml:space="preserve">review-checks.json</w:t>
      </w:r>
      <w:r>
        <w:rPr>
          <w:rFonts w:ascii="Calibri" w:cs="Calibri" w:eastAsia="Calibri" w:hAnsi="Calibri"/>
          <w:color w:val="11243A"/>
          <w:sz w:val="17"/>
          <w:szCs w:val="17"/>
        </w:rPr>
        <w:t xml:space="preserve"> for what counts as a breach, and </w:t>
      </w:r>
      <w:r>
        <w:rPr>
          <w:rFonts w:ascii="Calibri" w:cs="Calibri" w:eastAsia="Calibri" w:hAnsi="Calibri"/>
          <w:b/>
          <w:bCs/>
          <w:color w:val="11243A"/>
          <w:sz w:val="17"/>
          <w:szCs w:val="17"/>
        </w:rPr>
        <w:t xml:space="preserve">decision-rules.json</w:t>
      </w:r>
      <w:r>
        <w:rPr>
          <w:rFonts w:ascii="Calibri" w:cs="Calibri" w:eastAsia="Calibri" w:hAnsi="Calibri"/>
          <w:color w:val="11243A"/>
          <w:sz w:val="17"/>
          <w:szCs w:val="17"/>
        </w:rPr>
        <w:t xml:space="preserve"> for the thresholds that route a borrower. Changing her tone, or the number of bounces that sends a case to a person, is a text edit.</w:t>
      </w:r>
    </w:p>
    <w:p>
      <w:pPr>
        <w:spacing w:after="55" w:line="225"/>
      </w:pPr>
      <w:r>
        <w:rPr>
          <w:rFonts w:ascii="Calibri" w:cs="Calibri" w:eastAsia="Calibri" w:hAnsi="Calibri"/>
          <w:color w:val="11243A"/>
          <w:sz w:val="17"/>
          <w:szCs w:val="17"/>
        </w:rPr>
        <w:t xml:space="preserve">Two prompts do the work, and both return JSON rather than prose. The </w:t>
      </w:r>
      <w:r>
        <w:rPr>
          <w:rFonts w:ascii="Calibri" w:cs="Calibri" w:eastAsia="Calibri" w:hAnsi="Calibri"/>
          <w:b/>
          <w:bCs/>
          <w:color w:val="11243A"/>
          <w:sz w:val="17"/>
          <w:szCs w:val="17"/>
        </w:rPr>
        <w:t xml:space="preserve">turn prompt</w:t>
      </w:r>
      <w:r>
        <w:rPr>
          <w:rFonts w:ascii="Calibri" w:cs="Calibri" w:eastAsia="Calibri" w:hAnsi="Calibri"/>
          <w:color w:val="11243A"/>
          <w:sz w:val="17"/>
          <w:szCs w:val="17"/>
        </w:rPr>
        <w:t xml:space="preserve"> takes the call so far and returns what to say, what to speak aloud, which action to take (one payment link, raise a ticket, hand off) and whether to end the call. The </w:t>
      </w:r>
      <w:r>
        <w:rPr>
          <w:rFonts w:ascii="Calibri" w:cs="Calibri" w:eastAsia="Calibri" w:hAnsi="Calibri"/>
          <w:b/>
          <w:bCs/>
          <w:color w:val="11243A"/>
          <w:sz w:val="17"/>
          <w:szCs w:val="17"/>
        </w:rPr>
        <w:t xml:space="preserve">review prompt</w:t>
      </w:r>
      <w:r>
        <w:rPr>
          <w:rFonts w:ascii="Calibri" w:cs="Calibri" w:eastAsia="Calibri" w:hAnsi="Calibri"/>
          <w:color w:val="11243A"/>
          <w:sz w:val="17"/>
          <w:szCs w:val="17"/>
        </w:rPr>
        <w:t xml:space="preserve"> takes the finished transcript and returns the outcome, the reason, the root cause, the promise, the borrower's cooperation and a verdict on every rule. Structured output is what lets the rest of the system be ordinary code.</w:t>
      </w:r>
    </w:p>
    <w:p>
      <w:pPr>
        <w:spacing w:after="30" w:before="70"/>
        <w:jc w:val="center"/>
      </w:pPr>
      <w:r>
        <w:drawing>
          <wp:inline distT="0" distB="0" distL="0" distR="0">
            <wp:extent cx="47625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1438275"/>
                    </a:xfrm>
                    <a:prstGeom prst="rect">
                      <a:avLst/>
                    </a:prstGeom>
                  </pic:spPr>
                </pic:pic>
              </a:graphicData>
            </a:graphic>
          </wp:inline>
        </w:drawing>
      </w:r>
    </w:p>
    <w:p>
      <w:pPr>
        <w:spacing w:after="90"/>
        <w:jc w:val="center"/>
      </w:pPr>
      <w:r>
        <w:rPr>
          <w:rFonts w:ascii="Calibri" w:cs="Calibri" w:eastAsia="Calibri" w:hAnsi="Calibri"/>
          <w:i/>
          <w:iCs/>
          <w:color w:val="5B6B85"/>
          <w:sz w:val="15"/>
          <w:szCs w:val="15"/>
        </w:rPr>
        <w:t xml:space="preserve">The agent: the call produces facts, the rules produce the route.</w:t>
      </w:r>
    </w:p>
    <w:p>
      <w:pPr>
        <w:spacing w:after="55" w:line="225"/>
      </w:pPr>
      <w:r>
        <w:rPr>
          <w:rFonts w:ascii="Calibri" w:cs="Calibri" w:eastAsia="Calibri" w:hAnsi="Calibri"/>
          <w:color w:val="11243A"/>
          <w:sz w:val="17"/>
          <w:szCs w:val="17"/>
        </w:rPr>
        <w:t xml:space="preserve">The build loop mattered as much as the prompts. Claude was connected to GitHub, and GitHub to Replit, so a change was live in minutes and I could watch it. More usefully, the call logs are pushed back to a branch in the same repository, so Claude could read what actually happened on a real call — what the borrower said, which rule tripped, where the agent stalled — and I could act on it immediately instead of listening to recordings and writing notes by hand.</w:t>
      </w:r>
    </w:p>
    <w:p>
      <w:pPr>
        <w:spacing w:after="30" w:before="70"/>
        <w:jc w:val="center"/>
      </w:pPr>
      <w:r>
        <w:drawing>
          <wp:inline distT="0" distB="0" distL="0" distR="0">
            <wp:extent cx="4762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333500"/>
                    </a:xfrm>
                    <a:prstGeom prst="rect">
                      <a:avLst/>
                    </a:prstGeom>
                  </pic:spPr>
                </pic:pic>
              </a:graphicData>
            </a:graphic>
          </wp:inline>
        </w:drawing>
      </w:r>
    </w:p>
    <w:p>
      <w:pPr>
        <w:spacing w:after="90"/>
        <w:jc w:val="center"/>
      </w:pPr>
      <w:r>
        <w:rPr>
          <w:rFonts w:ascii="Calibri" w:cs="Calibri" w:eastAsia="Calibri" w:hAnsi="Calibri"/>
          <w:i/>
          <w:iCs/>
          <w:color w:val="5B6B85"/>
          <w:sz w:val="15"/>
          <w:szCs w:val="15"/>
        </w:rPr>
        <w:t xml:space="preserve">The build loop: a live call could change the agent the same evening.</w:t>
      </w:r>
    </w:p>
    <w:p>
      <w:pPr>
        <w:spacing w:after="55" w:line="225"/>
      </w:pPr>
      <w:r>
        <w:rPr>
          <w:rFonts w:ascii="Calibri" w:cs="Calibri" w:eastAsia="Calibri" w:hAnsi="Calibri"/>
          <w:color w:val="11243A"/>
          <w:sz w:val="16"/>
          <w:szCs w:val="16"/>
        </w:rPr>
        <w:t xml:space="preserve">Every change ran the same gate before it was committed: typecheck, build, 37 tests, then a screenshot of the actual screen that the AI had to look at before claiming it worked. The decision engine deliberately has no runtime imports so its tests run standalone.</w:t>
      </w:r>
    </w:p>
    <w:p>
      <w:pPr>
        <w:spacing w:after="50" w:before="150"/>
      </w:pPr>
      <w:r>
        <w:rPr>
          <w:rFonts w:ascii="Calibri" w:cs="Calibri" w:eastAsia="Calibri" w:hAnsi="Calibri"/>
          <w:b/>
          <w:bCs/>
          <w:caps/>
          <w:color w:val="1A4FD6"/>
          <w:spacing w:val="20"/>
          <w:sz w:val="18"/>
          <w:szCs w:val="18"/>
        </w:rPr>
        <w:t xml:space="preserve">One AI output I rejected, corrected or significantly improved</w:t>
      </w:r>
    </w:p>
    <w:p>
      <w:pPr>
        <w:spacing w:after="55" w:line="225"/>
      </w:pPr>
      <w:r>
        <w:rPr>
          <w:rFonts w:ascii="Calibri" w:cs="Calibri" w:eastAsia="Calibri" w:hAnsi="Calibri"/>
          <w:b/>
          <w:bCs/>
          <w:color w:val="1A4FD6"/>
          <w:sz w:val="17"/>
          <w:szCs w:val="17"/>
        </w:rPr>
        <w:t xml:space="preserve">[ To be completed ]</w:t>
      </w:r>
    </w:p>
    <w:p>
      <w:pPr>
        <w:spacing w:after="55" w:line="225"/>
      </w:pPr>
      <w:r>
        <w:rPr>
          <w:rFonts w:ascii="Calibri" w:cs="Calibri" w:eastAsia="Calibri" w:hAnsi="Calibri"/>
          <w:i/>
          <w:iCs/>
          <w:color w:val="5B6B85"/>
          <w:sz w:val="15"/>
          <w:szCs w:val="15"/>
        </w:rPr>
        <w:t xml:space="preserve">Candidates under consideration: the demo mode built on a separate interface, rejected because a demo on different screens proves nothing about the product; the fabricated statistic caught during review; the six-persona signal model cut down to one borrower with real history.</w:t>
      </w:r>
    </w:p>
    <w:p>
      <w:pPr>
        <w:spacing w:after="50" w:before="150"/>
      </w:pPr>
      <w:r>
        <w:rPr>
          <w:rFonts w:ascii="Calibri" w:cs="Calibri" w:eastAsia="Calibri" w:hAnsi="Calibri"/>
          <w:b/>
          <w:bCs/>
          <w:caps/>
          <w:color w:val="1A4FD6"/>
          <w:spacing w:val="20"/>
          <w:sz w:val="18"/>
          <w:szCs w:val="18"/>
        </w:rPr>
        <w:t xml:space="preserve">What the AI did versus what I decided</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rPr>
          <w:tblHeader/>
        </w:trPr>
        <w:tc>
          <w:tcPr>
            <w:tcW w:type="dxa" w:w="4620"/>
            <w:tcBorders>
              <w:top w:val="single" w:color="C9D2E0" w:sz="2"/>
              <w:left w:val="none" w:color="FFFFFF" w:sz="0"/>
              <w:bottom w:val="single" w:color="C9D2E0" w:sz="2"/>
              <w:right w:val="none" w:color="FFFFFF" w:sz="0"/>
            </w:tcBorders>
            <w:shd w:fill="EEF3FB" w:color="auto" w:val="clear"/>
            <w:tcMar>
              <w:top w:type="dxa" w:w="40"/>
              <w:left w:type="dxa" w:w="85"/>
              <w:bottom w:type="dxa" w:w="40"/>
              <w:right w:type="dxa" w:w="85"/>
            </w:tcMar>
          </w:tcPr>
          <w:p>
            <w:pPr>
              <w:spacing w:after="0" w:line="205"/>
            </w:pPr>
            <w:r>
              <w:rPr>
                <w:rFonts w:ascii="Calibri" w:cs="Calibri" w:eastAsia="Calibri" w:hAnsi="Calibri"/>
                <w:b/>
                <w:bCs/>
                <w:color w:val="11243A"/>
                <w:sz w:val="15"/>
                <w:szCs w:val="15"/>
              </w:rPr>
              <w:t xml:space="preserve">What I decided and defined</w:t>
            </w:r>
          </w:p>
        </w:tc>
        <w:tc>
          <w:tcPr>
            <w:tcW w:type="dxa" w:w="4620"/>
            <w:tcBorders>
              <w:top w:val="single" w:color="C9D2E0" w:sz="2"/>
              <w:left w:val="none" w:color="FFFFFF" w:sz="0"/>
              <w:bottom w:val="single" w:color="C9D2E0" w:sz="2"/>
              <w:right w:val="none" w:color="FFFFFF" w:sz="0"/>
            </w:tcBorders>
            <w:shd w:fill="EEF3FB" w:color="auto" w:val="clear"/>
            <w:tcMar>
              <w:top w:type="dxa" w:w="40"/>
              <w:left w:type="dxa" w:w="85"/>
              <w:bottom w:type="dxa" w:w="40"/>
              <w:right w:type="dxa" w:w="85"/>
            </w:tcMar>
          </w:tcPr>
          <w:p>
            <w:pPr>
              <w:spacing w:after="0" w:line="205"/>
            </w:pPr>
            <w:r>
              <w:rPr>
                <w:rFonts w:ascii="Calibri" w:cs="Calibri" w:eastAsia="Calibri" w:hAnsi="Calibri"/>
                <w:b/>
                <w:bCs/>
                <w:color w:val="11243A"/>
                <w:sz w:val="15"/>
                <w:szCs w:val="15"/>
              </w:rPr>
              <w:t xml:space="preserve">What the AI did</w:t>
            </w:r>
          </w:p>
        </w:tc>
      </w:tr>
      <w:tr>
        <w:trPr>
          <w:tblHeader w:val="false"/>
        </w:trPr>
        <w:tc>
          <w:tcPr>
            <w:tcW w:type="dxa" w:w="4620"/>
            <w:tcBorders>
              <w:top w:val="single" w:color="C9D2E0" w:sz="2"/>
              <w:left w:val="none" w:color="FFFFFF" w:sz="0"/>
              <w:bottom w:val="single" w:color="C9D2E0" w:sz="2"/>
              <w:right w:val="none" w:color="FFFFFF" w:sz="0"/>
            </w:tcBorders>
            <w:tcMar>
              <w:top w:type="dxa" w:w="40"/>
              <w:left w:type="dxa" w:w="85"/>
              <w:bottom w:type="dxa" w:w="40"/>
              <w:right w:type="dxa" w:w="85"/>
            </w:tcMar>
          </w:tcPr>
          <w:p>
            <w:pPr>
              <w:spacing w:after="0" w:line="205"/>
            </w:pPr>
            <w:r>
              <w:rPr>
                <w:rFonts w:ascii="Calibri" w:cs="Calibri" w:eastAsia="Calibri" w:hAnsi="Calibri"/>
                <w:b w:val="false"/>
                <w:bCs w:val="false"/>
                <w:color w:val="11243A"/>
                <w:sz w:val="15"/>
                <w:szCs w:val="15"/>
              </w:rPr>
              <w:t xml:space="preserve">Chose the problem: brainstormed broadly, then set my own selection criteria and stress-tested each candidate against them before committing to post-bounce collections.</w:t>
            </w:r>
          </w:p>
        </w:tc>
        <w:tc>
          <w:tcPr>
            <w:tcW w:type="dxa" w:w="4620"/>
            <w:tcBorders>
              <w:top w:val="single" w:color="C9D2E0" w:sz="2"/>
              <w:left w:val="none" w:color="FFFFFF" w:sz="0"/>
              <w:bottom w:val="single" w:color="C9D2E0" w:sz="2"/>
              <w:right w:val="none" w:color="FFFFFF" w:sz="0"/>
            </w:tcBorders>
            <w:tcMar>
              <w:top w:type="dxa" w:w="40"/>
              <w:left w:type="dxa" w:w="85"/>
              <w:bottom w:type="dxa" w:w="40"/>
              <w:right w:type="dxa" w:w="85"/>
            </w:tcMar>
          </w:tcPr>
          <w:p>
            <w:pPr>
              <w:spacing w:after="0" w:line="205"/>
            </w:pPr>
            <w:r>
              <w:rPr>
                <w:rFonts w:ascii="Calibri" w:cs="Calibri" w:eastAsia="Calibri" w:hAnsi="Calibri"/>
                <w:b w:val="false"/>
                <w:bCs w:val="false"/>
                <w:color w:val="5B6B85"/>
                <w:sz w:val="15"/>
                <w:szCs w:val="15"/>
              </w:rPr>
              <w:t xml:space="preserve">Scored the candidates against my criteria, argued the weak ones down, and researched the market size, the bounce data and the RBI recovery directions.</w:t>
            </w:r>
          </w:p>
        </w:tc>
      </w:tr>
      <w:tr>
        <w:trPr>
          <w:tblHeader w:val="false"/>
        </w:trPr>
        <w:tc>
          <w:tcPr>
            <w:tcW w:type="dxa" w:w="4620"/>
            <w:tcBorders>
              <w:top w:val="single" w:color="C9D2E0" w:sz="2"/>
              <w:left w:val="none" w:color="FFFFFF" w:sz="0"/>
              <w:bottom w:val="single" w:color="C9D2E0" w:sz="2"/>
              <w:right w:val="none" w:color="FFFFFF" w:sz="0"/>
            </w:tcBorders>
            <w:tcMar>
              <w:top w:type="dxa" w:w="40"/>
              <w:left w:type="dxa" w:w="85"/>
              <w:bottom w:type="dxa" w:w="40"/>
              <w:right w:type="dxa" w:w="85"/>
            </w:tcMar>
          </w:tcPr>
          <w:p>
            <w:pPr>
              <w:spacing w:after="0" w:line="205"/>
            </w:pPr>
            <w:r>
              <w:rPr>
                <w:rFonts w:ascii="Calibri" w:cs="Calibri" w:eastAsia="Calibri" w:hAnsi="Calibri"/>
                <w:b w:val="false"/>
                <w:bCs w:val="false"/>
                <w:color w:val="11243A"/>
                <w:sz w:val="15"/>
                <w:szCs w:val="15"/>
              </w:rPr>
              <w:t xml:space="preserve">Defined the collections process itself — buckets, the post-bounce workflow, what a good agent does — from my own years in the domain, then corrected it against three lender interviews I ran.</w:t>
            </w:r>
          </w:p>
        </w:tc>
        <w:tc>
          <w:tcPr>
            <w:tcW w:type="dxa" w:w="4620"/>
            <w:tcBorders>
              <w:top w:val="single" w:color="C9D2E0" w:sz="2"/>
              <w:left w:val="none" w:color="FFFFFF" w:sz="0"/>
              <w:bottom w:val="single" w:color="C9D2E0" w:sz="2"/>
              <w:right w:val="none" w:color="FFFFFF" w:sz="0"/>
            </w:tcBorders>
            <w:tcMar>
              <w:top w:type="dxa" w:w="40"/>
              <w:left w:type="dxa" w:w="85"/>
              <w:bottom w:type="dxa" w:w="40"/>
              <w:right w:type="dxa" w:w="85"/>
            </w:tcMar>
          </w:tcPr>
          <w:p>
            <w:pPr>
              <w:spacing w:after="0" w:line="205"/>
            </w:pPr>
            <w:r>
              <w:rPr>
                <w:rFonts w:ascii="Calibri" w:cs="Calibri" w:eastAsia="Calibri" w:hAnsi="Calibri"/>
                <w:b w:val="false"/>
                <w:bCs w:val="false"/>
                <w:color w:val="5B6B85"/>
                <w:sz w:val="15"/>
                <w:szCs w:val="15"/>
              </w:rPr>
              <w:t xml:space="preserve">Turned that process into a working call flow, state machine and data model, and transcribed and summarised the interviews.</w:t>
            </w:r>
          </w:p>
        </w:tc>
      </w:tr>
      <w:tr>
        <w:trPr>
          <w:tblHeader w:val="false"/>
        </w:trPr>
        <w:tc>
          <w:tcPr>
            <w:tcW w:type="dxa" w:w="4620"/>
            <w:tcBorders>
              <w:top w:val="single" w:color="C9D2E0" w:sz="2"/>
              <w:left w:val="none" w:color="FFFFFF" w:sz="0"/>
              <w:bottom w:val="single" w:color="C9D2E0" w:sz="2"/>
              <w:right w:val="none" w:color="FFFFFF" w:sz="0"/>
            </w:tcBorders>
            <w:tcMar>
              <w:top w:type="dxa" w:w="40"/>
              <w:left w:type="dxa" w:w="85"/>
              <w:bottom w:type="dxa" w:w="40"/>
              <w:right w:type="dxa" w:w="85"/>
            </w:tcMar>
          </w:tcPr>
          <w:p>
            <w:pPr>
              <w:spacing w:after="0" w:line="205"/>
            </w:pPr>
            <w:r>
              <w:rPr>
                <w:rFonts w:ascii="Calibri" w:cs="Calibri" w:eastAsia="Calibri" w:hAnsi="Calibri"/>
                <w:b w:val="false"/>
                <w:bCs w:val="false"/>
                <w:color w:val="11243A"/>
                <w:sz w:val="15"/>
                <w:szCs w:val="15"/>
              </w:rPr>
              <w:t xml:space="preserve">Wrote the inputs that govern behaviour: the guardrails, the rule checks that count as a breach, the tonality and the call script.</w:t>
            </w:r>
          </w:p>
        </w:tc>
        <w:tc>
          <w:tcPr>
            <w:tcW w:type="dxa" w:w="4620"/>
            <w:tcBorders>
              <w:top w:val="single" w:color="C9D2E0" w:sz="2"/>
              <w:left w:val="none" w:color="FFFFFF" w:sz="0"/>
              <w:bottom w:val="single" w:color="C9D2E0" w:sz="2"/>
              <w:right w:val="none" w:color="FFFFFF" w:sz="0"/>
            </w:tcBorders>
            <w:tcMar>
              <w:top w:type="dxa" w:w="40"/>
              <w:left w:type="dxa" w:w="85"/>
              <w:bottom w:type="dxa" w:w="40"/>
              <w:right w:type="dxa" w:w="85"/>
            </w:tcMar>
          </w:tcPr>
          <w:p>
            <w:pPr>
              <w:spacing w:after="0" w:line="205"/>
            </w:pPr>
            <w:r>
              <w:rPr>
                <w:rFonts w:ascii="Calibri" w:cs="Calibri" w:eastAsia="Calibri" w:hAnsi="Calibri"/>
                <w:b w:val="false"/>
                <w:bCs w:val="false"/>
                <w:color w:val="5B6B85"/>
                <w:sz w:val="15"/>
                <w:szCs w:val="15"/>
              </w:rPr>
              <w:t xml:space="preserve">Implemented each rule twice — as exact code and as an AI reviewer — so a flag from either counts, and built the harness that scores every call.</w:t>
            </w:r>
          </w:p>
        </w:tc>
      </w:tr>
      <w:tr>
        <w:trPr>
          <w:tblHeader w:val="false"/>
        </w:trPr>
        <w:tc>
          <w:tcPr>
            <w:tcW w:type="dxa" w:w="4620"/>
            <w:tcBorders>
              <w:top w:val="single" w:color="C9D2E0" w:sz="2"/>
              <w:left w:val="none" w:color="FFFFFF" w:sz="0"/>
              <w:bottom w:val="single" w:color="C9D2E0" w:sz="2"/>
              <w:right w:val="none" w:color="FFFFFF" w:sz="0"/>
            </w:tcBorders>
            <w:tcMar>
              <w:top w:type="dxa" w:w="40"/>
              <w:left w:type="dxa" w:w="85"/>
              <w:bottom w:type="dxa" w:w="40"/>
              <w:right w:type="dxa" w:w="85"/>
            </w:tcMar>
          </w:tcPr>
          <w:p>
            <w:pPr>
              <w:spacing w:after="0" w:line="205"/>
            </w:pPr>
            <w:r>
              <w:rPr>
                <w:rFonts w:ascii="Calibri" w:cs="Calibri" w:eastAsia="Calibri" w:hAnsi="Calibri"/>
                <w:b w:val="false"/>
                <w:bCs w:val="false"/>
                <w:color w:val="11243A"/>
                <w:sz w:val="15"/>
                <w:szCs w:val="15"/>
              </w:rPr>
              <w:t xml:space="preserve">Set the decision design: rules decide the route, the model only extracts facts. One persona with real history rather than six shallow ones.</w:t>
            </w:r>
          </w:p>
        </w:tc>
        <w:tc>
          <w:tcPr>
            <w:tcW w:type="dxa" w:w="4620"/>
            <w:tcBorders>
              <w:top w:val="single" w:color="C9D2E0" w:sz="2"/>
              <w:left w:val="none" w:color="FFFFFF" w:sz="0"/>
              <w:bottom w:val="single" w:color="C9D2E0" w:sz="2"/>
              <w:right w:val="none" w:color="FFFFFF" w:sz="0"/>
            </w:tcBorders>
            <w:tcMar>
              <w:top w:type="dxa" w:w="40"/>
              <w:left w:type="dxa" w:w="85"/>
              <w:bottom w:type="dxa" w:w="40"/>
              <w:right w:type="dxa" w:w="85"/>
            </w:tcMar>
          </w:tcPr>
          <w:p>
            <w:pPr>
              <w:spacing w:after="0" w:line="205"/>
            </w:pPr>
            <w:r>
              <w:rPr>
                <w:rFonts w:ascii="Calibri" w:cs="Calibri" w:eastAsia="Calibri" w:hAnsi="Calibri"/>
                <w:b w:val="false"/>
                <w:bCs w:val="false"/>
                <w:color w:val="5B6B85"/>
                <w:sz w:val="15"/>
                <w:szCs w:val="15"/>
              </w:rPr>
              <w:t xml:space="preserve">Built the decision engine, the confidence walk behind it, and 12 tests that pin the thresholds.</w:t>
            </w:r>
          </w:p>
        </w:tc>
      </w:tr>
      <w:tr>
        <w:trPr>
          <w:tblHeader w:val="false"/>
        </w:trPr>
        <w:tc>
          <w:tcPr>
            <w:tcW w:type="dxa" w:w="4620"/>
            <w:tcBorders>
              <w:top w:val="single" w:color="C9D2E0" w:sz="2"/>
              <w:left w:val="none" w:color="FFFFFF" w:sz="0"/>
              <w:bottom w:val="single" w:color="C9D2E0" w:sz="2"/>
              <w:right w:val="none" w:color="FFFFFF" w:sz="0"/>
            </w:tcBorders>
            <w:tcMar>
              <w:top w:type="dxa" w:w="40"/>
              <w:left w:type="dxa" w:w="85"/>
              <w:bottom w:type="dxa" w:w="40"/>
              <w:right w:type="dxa" w:w="85"/>
            </w:tcMar>
          </w:tcPr>
          <w:p>
            <w:pPr>
              <w:spacing w:after="0" w:line="205"/>
            </w:pPr>
            <w:r>
              <w:rPr>
                <w:rFonts w:ascii="Calibri" w:cs="Calibri" w:eastAsia="Calibri" w:hAnsi="Calibri"/>
                <w:b w:val="false"/>
                <w:bCs w:val="false"/>
                <w:color w:val="11243A"/>
                <w:sz w:val="15"/>
                <w:szCs w:val="15"/>
              </w:rPr>
              <w:t xml:space="preserve">Specified the dashboard: which tabs exist, what each one answers, and which metrics matter enough to be shown large.</w:t>
            </w:r>
          </w:p>
        </w:tc>
        <w:tc>
          <w:tcPr>
            <w:tcW w:type="dxa" w:w="4620"/>
            <w:tcBorders>
              <w:top w:val="single" w:color="C9D2E0" w:sz="2"/>
              <w:left w:val="none" w:color="FFFFFF" w:sz="0"/>
              <w:bottom w:val="single" w:color="C9D2E0" w:sz="2"/>
              <w:right w:val="none" w:color="FFFFFF" w:sz="0"/>
            </w:tcBorders>
            <w:tcMar>
              <w:top w:type="dxa" w:w="40"/>
              <w:left w:type="dxa" w:w="85"/>
              <w:bottom w:type="dxa" w:w="40"/>
              <w:right w:type="dxa" w:w="85"/>
            </w:tcMar>
          </w:tcPr>
          <w:p>
            <w:pPr>
              <w:spacing w:after="0" w:line="205"/>
            </w:pPr>
            <w:r>
              <w:rPr>
                <w:rFonts w:ascii="Calibri" w:cs="Calibri" w:eastAsia="Calibri" w:hAnsi="Calibri"/>
                <w:b w:val="false"/>
                <w:bCs w:val="false"/>
                <w:color w:val="5B6B85"/>
                <w:sz w:val="15"/>
                <w:szCs w:val="15"/>
              </w:rPr>
              <w:t xml:space="preserve">Built the screens, computed the metrics across a 100-call sample book, and rebuilt them when I changed the structure.</w:t>
            </w:r>
          </w:p>
        </w:tc>
      </w:tr>
      <w:tr>
        <w:trPr>
          <w:tblHeader w:val="false"/>
        </w:trPr>
        <w:tc>
          <w:tcPr>
            <w:tcW w:type="dxa" w:w="4620"/>
            <w:tcBorders>
              <w:top w:val="single" w:color="C9D2E0" w:sz="2"/>
              <w:left w:val="none" w:color="FFFFFF" w:sz="0"/>
              <w:bottom w:val="single" w:color="C9D2E0" w:sz="2"/>
              <w:right w:val="none" w:color="FFFFFF" w:sz="0"/>
            </w:tcBorders>
            <w:tcMar>
              <w:top w:type="dxa" w:w="40"/>
              <w:left w:type="dxa" w:w="85"/>
              <w:bottom w:type="dxa" w:w="40"/>
              <w:right w:type="dxa" w:w="85"/>
            </w:tcMar>
          </w:tcPr>
          <w:p>
            <w:pPr>
              <w:spacing w:after="0" w:line="205"/>
            </w:pPr>
            <w:r>
              <w:rPr>
                <w:rFonts w:ascii="Calibri" w:cs="Calibri" w:eastAsia="Calibri" w:hAnsi="Calibri"/>
                <w:b w:val="false"/>
                <w:bCs w:val="false"/>
                <w:color w:val="11243A"/>
                <w:sz w:val="15"/>
                <w:szCs w:val="15"/>
              </w:rPr>
              <w:t xml:space="preserve">Judged every output: what shipped, what was cut, and what was wrong.</w:t>
            </w:r>
          </w:p>
        </w:tc>
        <w:tc>
          <w:tcPr>
            <w:tcW w:type="dxa" w:w="4620"/>
            <w:tcBorders>
              <w:top w:val="single" w:color="C9D2E0" w:sz="2"/>
              <w:left w:val="none" w:color="FFFFFF" w:sz="0"/>
              <w:bottom w:val="single" w:color="C9D2E0" w:sz="2"/>
              <w:right w:val="none" w:color="FFFFFF" w:sz="0"/>
            </w:tcBorders>
            <w:tcMar>
              <w:top w:type="dxa" w:w="40"/>
              <w:left w:type="dxa" w:w="85"/>
              <w:bottom w:type="dxa" w:w="40"/>
              <w:right w:type="dxa" w:w="85"/>
            </w:tcMar>
          </w:tcPr>
          <w:p>
            <w:pPr>
              <w:spacing w:after="0" w:line="205"/>
            </w:pPr>
            <w:r>
              <w:rPr>
                <w:rFonts w:ascii="Calibri" w:cs="Calibri" w:eastAsia="Calibri" w:hAnsi="Calibri"/>
                <w:b w:val="false"/>
                <w:bCs w:val="false"/>
                <w:color w:val="5B6B85"/>
                <w:sz w:val="15"/>
                <w:szCs w:val="15"/>
              </w:rPr>
              <w:t xml:space="preserve">Produced far more than shipped, which is what made cutting cheap.</w:t>
            </w:r>
          </w:p>
        </w:tc>
      </w:tr>
    </w:tbl>
    <w:p>
      <w:pPr>
        <w:spacing w:before="60"/>
      </w:pPr>
      <w:r>
        <w:rPr>
          <w:rFonts w:ascii="Calibri" w:cs="Calibri" w:eastAsia="Calibri" w:hAnsi="Calibri"/>
          <w:color w:val="11243A"/>
          <w:sz w:val="16"/>
          <w:szCs w:val="16"/>
        </w:rPr>
        <w:t xml:space="preserve">The honest summary: the AI was a computational assistant. It did the heavy lifting — code, computation, research, sample data — and it sharpened what I already knew by arguing with it. It did not choose the problem, define the collections process, write the guardrails or decide what the dashboard should answer. Those came from my own time in this domain and from the three interviews.</w:t>
      </w:r>
    </w:p>
    <w:p>
      <w:pPr>
        <w:spacing w:after="50" w:before="150"/>
      </w:pPr>
      <w:r>
        <w:rPr>
          <w:rFonts w:ascii="Calibri" w:cs="Calibri" w:eastAsia="Calibri" w:hAnsi="Calibri"/>
          <w:b/>
          <w:bCs/>
          <w:caps/>
          <w:color w:val="1A4FD6"/>
          <w:spacing w:val="20"/>
          <w:sz w:val="18"/>
          <w:szCs w:val="18"/>
        </w:rPr>
        <w:t xml:space="preserve">Known limitations, risks and verification steps</w:t>
      </w:r>
    </w:p>
    <w:p>
      <w:pPr>
        <w:pStyle w:val="ListParagraph"/>
        <w:numPr>
          <w:ilvl w:val="0"/>
          <w:numId w:val="1"/>
        </w:numPr>
        <w:spacing w:after="32" w:line="225"/>
        <w:ind w:left="190" w:hanging="150"/>
      </w:pPr>
      <w:r>
        <w:rPr>
          <w:rFonts w:ascii="Calibri" w:cs="Calibri" w:eastAsia="Calibri" w:hAnsi="Calibri"/>
          <w:b/>
          <w:bCs/>
          <w:color w:val="11243A"/>
          <w:sz w:val="17"/>
          <w:szCs w:val="17"/>
        </w:rPr>
        <w:t xml:space="preserve">The numbers are synthetic. </w:t>
      </w:r>
      <w:r>
        <w:rPr>
          <w:rFonts w:ascii="Calibri" w:cs="Calibri" w:eastAsia="Calibri" w:hAnsi="Calibri"/>
          <w:color w:val="11243A"/>
          <w:sz w:val="17"/>
          <w:szCs w:val="17"/>
        </w:rPr>
        <w:t xml:space="preserve">Every metric on the performance screens comes from a 100-call sample book, not from live borrowers. They show the measurement works, not that the agent works.</w:t>
      </w:r>
    </w:p>
    <w:p>
      <w:pPr>
        <w:pStyle w:val="ListParagraph"/>
        <w:numPr>
          <w:ilvl w:val="0"/>
          <w:numId w:val="1"/>
        </w:numPr>
        <w:spacing w:after="32" w:line="225"/>
        <w:ind w:left="190" w:hanging="150"/>
      </w:pPr>
      <w:r>
        <w:rPr>
          <w:rFonts w:ascii="Calibri" w:cs="Calibri" w:eastAsia="Calibri" w:hAnsi="Calibri"/>
          <w:b/>
          <w:bCs/>
          <w:color w:val="11243A"/>
          <w:sz w:val="17"/>
          <w:szCs w:val="17"/>
        </w:rPr>
        <w:t xml:space="preserve">The weights are uncalibrated. </w:t>
      </w:r>
      <w:r>
        <w:rPr>
          <w:rFonts w:ascii="Calibri" w:cs="Calibri" w:eastAsia="Calibri" w:hAnsi="Calibri"/>
          <w:color w:val="11243A"/>
          <w:sz w:val="17"/>
          <w:szCs w:val="17"/>
        </w:rPr>
        <w:t xml:space="preserve">Nothing yet records whether a promise was kept, so the confidence walk behind the decision has never been checked against a real outcome. Until it is, the thresholds are reasoned, not proven.</w:t>
      </w:r>
    </w:p>
    <w:p>
      <w:pPr>
        <w:pStyle w:val="ListParagraph"/>
        <w:numPr>
          <w:ilvl w:val="0"/>
          <w:numId w:val="1"/>
        </w:numPr>
        <w:spacing w:after="32" w:line="225"/>
        <w:ind w:left="190" w:hanging="150"/>
      </w:pPr>
      <w:r>
        <w:rPr>
          <w:rFonts w:ascii="Calibri" w:cs="Calibri" w:eastAsia="Calibri" w:hAnsi="Calibri"/>
          <w:b/>
          <w:bCs/>
          <w:color w:val="11243A"/>
          <w:sz w:val="17"/>
          <w:szCs w:val="17"/>
        </w:rPr>
        <w:t xml:space="preserve">The AI reviewer is untuned. </w:t>
      </w:r>
      <w:r>
        <w:rPr>
          <w:rFonts w:ascii="Calibri" w:cs="Calibri" w:eastAsia="Calibri" w:hAnsi="Calibri"/>
          <w:color w:val="11243A"/>
          <w:sz w:val="17"/>
          <w:szCs w:val="17"/>
        </w:rPr>
        <w:t xml:space="preserve">The 29.7% hard-rule breach rate on sample calls is partly the reviewer being strict and partly the agent being wrong, and I cannot yet separate the two.</w:t>
      </w:r>
    </w:p>
    <w:p>
      <w:pPr>
        <w:pStyle w:val="ListParagraph"/>
        <w:numPr>
          <w:ilvl w:val="0"/>
          <w:numId w:val="1"/>
        </w:numPr>
        <w:spacing w:after="32" w:line="225"/>
        <w:ind w:left="190" w:hanging="150"/>
      </w:pPr>
      <w:r>
        <w:rPr>
          <w:rFonts w:ascii="Calibri" w:cs="Calibri" w:eastAsia="Calibri" w:hAnsi="Calibri"/>
          <w:b/>
          <w:bCs/>
          <w:color w:val="11243A"/>
          <w:sz w:val="17"/>
          <w:szCs w:val="17"/>
        </w:rPr>
        <w:t xml:space="preserve">How it was verified. </w:t>
      </w:r>
      <w:r>
        <w:rPr>
          <w:rFonts w:ascii="Calibri" w:cs="Calibri" w:eastAsia="Calibri" w:hAnsi="Calibri"/>
          <w:color w:val="11243A"/>
          <w:sz w:val="17"/>
          <w:szCs w:val="17"/>
        </w:rPr>
        <w:t xml:space="preserve">Rules are checked twice, by exact code and by the model, and a flag from either counts. 37 automated tests pin the decision thresholds and the metric arithmetic. Screens were checked by screenshot, not by assertion. Every figure in the product note carries a source and a confidence level, and the figures I calculated myself are labelled as mine.</w:t>
      </w:r>
    </w:p>
    <w:p>
      <w:pPr>
        <w:pStyle w:val="ListParagraph"/>
        <w:numPr>
          <w:ilvl w:val="0"/>
          <w:numId w:val="1"/>
        </w:numPr>
        <w:spacing w:after="32" w:line="225"/>
        <w:ind w:left="190" w:hanging="150"/>
      </w:pPr>
      <w:r>
        <w:rPr>
          <w:rFonts w:ascii="Calibri" w:cs="Calibri" w:eastAsia="Calibri" w:hAnsi="Calibri"/>
          <w:b/>
          <w:bCs/>
          <w:color w:val="11243A"/>
          <w:sz w:val="17"/>
          <w:szCs w:val="17"/>
        </w:rPr>
        <w:t xml:space="preserve">Where I had to verify the AI directly. </w:t>
      </w:r>
      <w:r>
        <w:rPr>
          <w:rFonts w:ascii="Calibri" w:cs="Calibri" w:eastAsia="Calibri" w:hAnsi="Calibri"/>
          <w:color w:val="11243A"/>
          <w:sz w:val="17"/>
          <w:szCs w:val="17"/>
        </w:rPr>
        <w:t xml:space="preserve">It produced a statistic that was not in the data. It is the reason every number in these documents was traced back to either a source or a computation before it shipped.</w:t>
      </w:r>
    </w:p>
    <w:sectPr>
      <w:pgSz w:w="11906" w:h="16838" w:orient="portrait"/>
      <w:pgMar w:top="720" w:right="863" w:bottom="648"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243A"/>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cc86674a9f090eff20d7468ed528510fcc4c744.png"/><Relationship Id="rId8" Type="http://schemas.openxmlformats.org/officeDocument/2006/relationships/image" Target="media/04c0e986c9febff8cc811c6d888d71c986b9e4a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2026-10-13T13:18:15.638Z</dcterms:created>
  <dcterms:modified xsi:type="dcterms:W3CDTF">2026-10-13T13:18:15.647Z</dcterms:modified>
</cp:coreProperties>
</file>

<file path=docProps/custom.xml><?xml version="1.0" encoding="utf-8"?>
<Properties xmlns="http://schemas.openxmlformats.org/officeDocument/2006/custom-properties" xmlns:vt="http://schemas.openxmlformats.org/officeDocument/2006/docPropsVTypes"/>
</file>