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5"/>
      </w:pPr>
      <w:r>
        <w:rPr>
          <w:rFonts w:ascii="Calibri" w:cs="Calibri" w:eastAsia="Calibri" w:hAnsi="Calibri"/>
          <w:b/>
          <w:bCs/>
          <w:color w:val="11243A"/>
          <w:sz w:val="30"/>
          <w:szCs w:val="30"/>
        </w:rPr>
        <w:t xml:space="preserve">Razorpay Trusted Collections Agent</w:t>
      </w:r>
    </w:p>
    <w:p>
      <w:pPr>
        <w:spacing w:after="30"/>
      </w:pPr>
      <w:r>
        <w:rPr>
          <w:rFonts w:ascii="Calibri" w:cs="Calibri" w:eastAsia="Calibri" w:hAnsi="Calibri"/>
          <w:color w:val="5B6B85"/>
          <w:sz w:val="18"/>
          <w:szCs w:val="18"/>
        </w:rPr>
        <w:t xml:space="preserve">A Hindi voice agent for bounced personal-loan EMIs: it holds the call, then recommends whether the AI or a person takes the borrower next.</w:t>
      </w:r>
    </w:p>
    <w:p>
      <w:pPr>
        <w:pBdr>
          <w:bottom w:val="single" w:color="C9D2E0" w:sz="6" w:space="5"/>
        </w:pBdr>
        <w:spacing w:after="45"/>
      </w:pPr>
      <w:r>
        <w:rPr>
          <w:rFonts w:ascii="Calibri" w:cs="Calibri" w:eastAsia="Calibri" w:hAnsi="Calibri"/>
          <w:color w:val="5B6B85"/>
          <w:sz w:val="15"/>
          <w:szCs w:val="15"/>
        </w:rPr>
        <w:t xml:space="preserve">Ujjwal Goel  ·  Build Challenge Track 2: Recover and Grow with AI  ·  13 October 2026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The problem</w:t>
      </w:r>
    </w:p>
    <w:p>
      <w:pPr>
        <w:spacing w:after="55" w:line="225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For the head of collections at an NBFC: roughly one EMI auto-debit in three fails, and recovery is bought in headcount. </w:t>
      </w: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One caller covers about 400 borrowers, so chasing more bounces means hiring more people. The decision that moves money, which borrower deserves which kind of effort, is made by feel.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0"/>
        <w:gridCol w:w="4100"/>
        <w:gridCol w:w="2390"/>
      </w:tblGrid>
      <w:tr>
        <w:trPr>
          <w:tblHeader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India's personal loan market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Figure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Source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Loans outstanding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₹17.0 lakh crore across 12.7 crore live loans (Jun 2026)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CRIF High Mark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EMI auto-debits that fail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~29% of NACH debits by volume, 22% by value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NPCI data (public series ends 2022)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Still unpaid 31–180 days later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2.3% of the book ≈ ₹39,000 crore; 5.7% for small-ticket NBFC loans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CRIF Jun-26; rupee figure is my arithmetic</w:t>
            </w:r>
          </w:p>
        </w:tc>
      </w:tr>
      <w:tr>
        <w:trPr>
          <w:tblHeader w:val="false"/>
        </w:trPr>
        <w:tc>
          <w:tcPr>
            <w:tcW w:type="dxa" w:w="27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What chasing it costs</w:t>
            </w:r>
          </w:p>
        </w:tc>
        <w:tc>
          <w:tcPr>
            <w:tcW w:type="dxa" w:w="410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₹11 a minute of human calling; one caller covers ~400 borrowers</w:t>
            </w:r>
          </w:p>
        </w:tc>
        <w:tc>
          <w:tcPr>
            <w:tcW w:type="dxa" w:w="239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Lender interviews</w:t>
            </w:r>
          </w:p>
        </w:tc>
      </w:tr>
    </w:tbl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What we heard, and how it is handled today</w:t>
      </w:r>
    </w:p>
    <w:p>
      <w:pPr>
        <w:spacing w:after="55" w:line="225"/>
      </w:pPr>
      <w:r>
        <w:rPr>
          <w:rFonts w:ascii="Calibri" w:cs="Calibri" w:eastAsia="Calibri" w:hAnsi="Calibri"/>
          <w:color w:val="5B6B85"/>
          <w:sz w:val="16"/>
          <w:szCs w:val="16"/>
        </w:rPr>
        <w:t xml:space="preserve">Three interviews at an Indian lender that runs collections in-house: a product lead, a collections analyst and a data-science lead.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A fixed pattern.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Bounces drop into the CRM and each agent places 900–1,000 calls a day, repeating until a positive disposition. A promise just schedules a callback. Good agents prioritise in Excel and follow up on WhatsApp, which is encouraged but not tracked.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Intent is judged by gut.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About 30% of non-payers have an intent problem and 70% a genuine one (medical, salary delay, family), but there is no fixed rule and it varies by agent and region. The record is a one-word disposition.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Quality is sampled.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A quality team hears 10–20% of calls. An LLM now scores all of them, and its dispositions match the agents' about 80% of the time.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The bot already works; the decision does not. </w:t>
      </w:r>
      <w:r>
        <w:rPr>
          <w:rFonts w:ascii="Calibri" w:cs="Calibri" w:eastAsia="Calibri" w:hAnsi="Calibri"/>
          <w:color w:val="11243A"/>
          <w:sz w:val="16"/>
          <w:szCs w:val="16"/>
        </w:rPr>
        <w:t xml:space="preserve">AI calling cut cost from ₹11 to ₹3–4 a minute and matched humans in an A/B test. What is still unbuilt: choosing which borrower goes to a person, and using the last call to shape the next.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The solution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Calls within minutes, in Hindi and Hinglish.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The Razorpay Trusted Collections Agent reaches the borrower while the bounce is hours old.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Negotiates like a good agent, inside the lender's rules.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Identity first, asks why and listens, proposes a date that fits payday, one payment link, a ticket instead of a promise it cannot make.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Turns the call into signals and recommends the next step.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Reason, tone and promise specificity plus the borrower's history give one route: keep the AI, or hand to a person. The demo borrower makes the point: a firm promise, yet four bounces in six months send him to a person.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Key product and AI decisions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Two questions decide the route.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Has intent shifted (four or more bounces in the window)? Did the AI let the borrower down on this call? Either yes sends the borrower to a person. Two questions fit on a screen and match how the lender's team described judging intent.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Rules route; the model never does.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The model only extracts facts (reason, promise, tone). Fixed, readable rules decide, so every route can be explained and a threshold is a one-line edit in a content file.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Every call is checked twice.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A model review plus exact checks in code; a flag from either counts as a breach. No waiver or unapproved promise is ever made; a ticket is raised instead.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Deliberately left out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color w:val="11243A"/>
          <w:sz w:val="16"/>
          <w:szCs w:val="16"/>
        </w:rPr>
        <w:t xml:space="preserve">No approve-or-override workflow, so the manager sees the route and the reason, not another queue. No field-visit model: the sample never triggers it and I did not invent one. No channel or timing optimisation. No bureau or bank data: one call plus the lender's own history. India-only numbers, no global benchmarks.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Why Razorpay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It already runs the mandate that bounced.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A failed debit already fires a webhook, which is the trigger this agent needs, and the payment link and the measurement land on the same rails.</w:t>
      </w:r>
    </w:p>
    <w:p>
      <w:pPr>
        <w:pStyle w:val="ListParagraph"/>
        <w:numPr>
          <w:ilvl w:val="0"/>
          <w:numId w:val="1"/>
        </w:numPr>
        <w:spacing w:after="32" w:line="225"/>
        <w:ind w:left="190" w:hanging="150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It sells an outcome, not plumbing. </w:t>
      </w:r>
      <w:r>
        <w:rPr>
          <w:rFonts w:ascii="Calibri" w:cs="Calibri" w:eastAsia="Calibri" w:hAnsi="Calibri"/>
          <w:color w:val="11243A"/>
          <w:sz w:val="17"/>
          <w:szCs w:val="17"/>
        </w:rPr>
        <w:t xml:space="preserve">Rupees recovered, priced against ₹11-a-minute human calling, under a regulated aggregator's recorded, rule-scored calls.</w:t>
      </w:r>
    </w:p>
    <w:p>
      <w:pPr>
        <w:spacing w:after="45" w:before="105"/>
      </w:pPr>
      <w:r>
        <w:rPr>
          <w:rFonts w:ascii="Calibri" w:cs="Calibri" w:eastAsia="Calibri" w:hAnsi="Calibri"/>
          <w:b/>
          <w:bCs/>
          <w:caps/>
          <w:color w:val="1A4FD6"/>
          <w:spacing w:val="20"/>
          <w:sz w:val="18"/>
          <w:szCs w:val="18"/>
        </w:rPr>
        <w:t xml:space="preserve">Success metric and what to test next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3550"/>
        <w:gridCol w:w="3240"/>
      </w:tblGrid>
      <w:tr>
        <w:trPr>
          <w:tblHeader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Metric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What it tells the lender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shd w:fill="EEF3FB" w:color="auto" w:val="clear"/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/>
                <w:bCs/>
                <w:color w:val="11243A"/>
                <w:sz w:val="15"/>
                <w:szCs w:val="15"/>
              </w:rPr>
              <w:t xml:space="preserve">Demo build (sample of 100 EMIs)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PRIMARY: payment collected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Rupees recovered of rupees due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46% · ₹2,30,000 of ₹5,00,000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Resolution rate and time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Bounced EMIs cleared in full, and how fast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40 of 100 · 5 days median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Hard-rule breach rate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Compliance; the target is zero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29.7% — the gap to close first</w:t>
            </w:r>
          </w:p>
        </w:tc>
      </w:tr>
      <w:tr>
        <w:trPr>
          <w:tblHeader w:val="false"/>
        </w:trPr>
        <w:tc>
          <w:tcPr>
            <w:tcW w:type="dxa" w:w="24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11243A"/>
                <w:sz w:val="15"/>
                <w:szCs w:val="15"/>
              </w:rPr>
              <w:t xml:space="preserve">Routing accuracy</w:t>
            </w:r>
          </w:p>
        </w:tc>
        <w:tc>
          <w:tcPr>
            <w:tcW w:type="dxa" w:w="355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Handovers a reviewer agrees with</w:t>
            </w:r>
          </w:p>
        </w:tc>
        <w:tc>
          <w:tcPr>
            <w:tcW w:type="dxa" w:w="3240"/>
            <w:tcBorders>
              <w:top w:val="single" w:color="C9D2E0" w:sz="2"/>
              <w:left w:val="none" w:color="FFFFFF" w:sz="0"/>
              <w:bottom w:val="single" w:color="C9D2E0" w:sz="2"/>
              <w:right w:val="none" w:color="FFFFFF" w:sz="0"/>
            </w:tcBorders>
            <w:tcMar>
              <w:top w:type="dxa" w:w="40"/>
              <w:left w:type="dxa" w:w="85"/>
              <w:bottom w:type="dxa" w:w="40"/>
              <w:right w:type="dxa" w:w="85"/>
            </w:tcMar>
          </w:tcPr>
          <w:p>
            <w:pPr>
              <w:spacing w:after="0" w:line="205"/>
            </w:pPr>
            <w:r>
              <w:rPr>
                <w:rFonts w:ascii="Calibri" w:cs="Calibri" w:eastAsia="Calibri" w:hAnsi="Calibri"/>
                <w:b w:val="false"/>
                <w:bCs w:val="false"/>
                <w:color w:val="5B6B85"/>
                <w:sz w:val="15"/>
                <w:szCs w:val="15"/>
              </w:rPr>
              <w:t xml:space="preserve">Not yet measured; needs live calls</w:t>
            </w:r>
          </w:p>
        </w:tc>
      </w:tr>
    </w:tbl>
    <w:p>
      <w:pPr>
        <w:spacing w:before="55"/>
      </w:pPr>
      <w:r>
        <w:rPr>
          <w:rFonts w:ascii="Calibri" w:cs="Calibri" w:eastAsia="Calibri" w:hAnsi="Calibri"/>
          <w:b/>
          <w:bCs/>
          <w:color w:val="11243A"/>
          <w:sz w:val="17"/>
          <w:szCs w:val="17"/>
        </w:rPr>
        <w:t xml:space="preserve">Next test: </w:t>
      </w:r>
      <w:r>
        <w:rPr>
          <w:rFonts w:ascii="Calibri" w:cs="Calibri" w:eastAsia="Calibri" w:hAnsi="Calibri"/>
          <w:color w:val="5B6B85"/>
          <w:sz w:val="15"/>
          <w:szCs w:val="15"/>
        </w:rPr>
        <w:t xml:space="preserve">split one month's bounced EMIs, half through the agent and its routing and half through today's process, and compare rupees collected in nine days and whether routed-to-person cases recover more than if left with the AI. Sample figures are synthetic; weights are uncalibrated and the recommendation is shown, not executed.</w:t>
      </w:r>
    </w:p>
    <w:sectPr>
      <w:pgSz w:w="11906" w:h="16838" w:orient="portrait"/>
      <w:pgMar w:top="648" w:right="863" w:bottom="576" w:left="86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243A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2026-10-13T17:02:33.674Z</dcterms:created>
  <dcterms:modified xsi:type="dcterms:W3CDTF">2026-10-13T17:02:33.675Z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