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80"/>
        <w:jc w:val="center"/>
        <w:rPr/>
      </w:pPr>
      <w:r>
        <w:rPr>
          <w:rFonts w:eastAsia="Arial" w:cs="Arial"/>
          <w:b/>
          <w:bCs/>
          <w:i w:val="false"/>
          <w:iCs w:val="false"/>
          <w:color w:val="000000"/>
          <w:sz w:val="24"/>
          <w:szCs w:val="24"/>
        </w:rPr>
        <w:t>RMIT University</w:t>
      </w:r>
    </w:p>
    <w:p>
      <w:pPr>
        <w:pStyle w:val="Normal"/>
        <w:spacing w:lineRule="auto" w:line="276" w:before="0" w:after="400"/>
        <w:jc w:val="center"/>
        <w:rPr/>
      </w:pPr>
      <w:r>
        <w:rPr>
          <w:rFonts w:eastAsia="Arial" w:cs="Arial"/>
          <w:b w:val="false"/>
          <w:bCs w:val="false"/>
          <w:i w:val="false"/>
          <w:iCs w:val="false"/>
          <w:color w:val="404040"/>
          <w:sz w:val="22"/>
          <w:szCs w:val="22"/>
        </w:rPr>
        <w:t>Cloud Computing — Assessment 3</w:t>
      </w:r>
    </w:p>
    <w:p>
      <w:pPr>
        <w:pStyle w:val="Normal"/>
        <w:spacing w:lineRule="auto" w:line="276" w:before="0" w:after="280"/>
        <w:jc w:val="center"/>
        <w:rPr>
          <w:rFonts w:eastAsia="Arial" w:cs="Arial"/>
          <w:b/>
          <w:bCs/>
          <w:i w:val="false"/>
          <w:iCs w:val="false"/>
          <w:color w:val="000000"/>
          <w:sz w:val="28"/>
          <w:szCs w:val="28"/>
        </w:rPr>
      </w:pPr>
      <w:r>
        <w:rPr>
          <w:rFonts w:eastAsia="Arial" w:cs="Arial"/>
          <w:b/>
          <w:bCs/>
          <w:i w:val="false"/>
          <w:iCs w:val="false"/>
          <w:color w:val="000000"/>
          <w:sz w:val="28"/>
          <w:szCs w:val="28"/>
        </w:rPr>
      </w:r>
    </w:p>
    <w:p>
      <w:pPr>
        <w:pStyle w:val="Normal"/>
        <w:spacing w:lineRule="auto" w:line="276" w:before="0" w:after="280"/>
        <w:jc w:val="center"/>
        <w:rPr>
          <w:rFonts w:eastAsia="Arial" w:cs="Arial"/>
          <w:b/>
          <w:bCs/>
          <w:i w:val="false"/>
          <w:iCs w:val="false"/>
          <w:color w:val="000000"/>
          <w:sz w:val="28"/>
          <w:szCs w:val="28"/>
        </w:rPr>
      </w:pPr>
      <w:r>
        <w:rPr>
          <w:rFonts w:eastAsia="Arial" w:cs="Arial"/>
          <w:b/>
          <w:bCs/>
          <w:i w:val="false"/>
          <w:iCs w:val="false"/>
          <w:color w:val="000000"/>
          <w:sz w:val="28"/>
          <w:szCs w:val="28"/>
        </w:rPr>
      </w:r>
    </w:p>
    <w:p>
      <w:pPr>
        <w:pStyle w:val="Normal"/>
        <w:spacing w:lineRule="auto" w:line="276" w:before="0" w:after="280"/>
        <w:jc w:val="center"/>
        <w:rPr>
          <w:rFonts w:eastAsia="Arial" w:cs="Arial"/>
          <w:b/>
          <w:bCs/>
          <w:i w:val="false"/>
          <w:iCs w:val="false"/>
          <w:color w:val="000000"/>
          <w:sz w:val="28"/>
          <w:szCs w:val="28"/>
        </w:rPr>
      </w:pPr>
      <w:r>
        <w:rPr>
          <w:rFonts w:eastAsia="Arial" w:cs="Arial"/>
          <w:b/>
          <w:bCs/>
          <w:i w:val="false"/>
          <w:iCs w:val="false"/>
          <w:color w:val="000000"/>
          <w:sz w:val="28"/>
          <w:szCs w:val="28"/>
        </w:rPr>
      </w:r>
    </w:p>
    <w:p>
      <w:pPr>
        <w:pStyle w:val="Normal"/>
        <w:spacing w:lineRule="auto" w:line="276" w:before="0" w:after="280"/>
        <w:jc w:val="center"/>
        <w:rPr>
          <w:rFonts w:eastAsia="Arial" w:cs="Arial"/>
          <w:b/>
          <w:bCs/>
          <w:i w:val="false"/>
          <w:iCs w:val="false"/>
          <w:color w:val="000000"/>
          <w:sz w:val="28"/>
          <w:szCs w:val="28"/>
        </w:rPr>
      </w:pPr>
      <w:r>
        <w:rPr>
          <w:rFonts w:eastAsia="Arial" w:cs="Arial"/>
          <w:b/>
          <w:bCs/>
          <w:i w:val="false"/>
          <w:iCs w:val="false"/>
          <w:color w:val="000000"/>
          <w:sz w:val="28"/>
          <w:szCs w:val="28"/>
        </w:rPr>
      </w:r>
    </w:p>
    <w:p>
      <w:pPr>
        <w:pStyle w:val="Normal"/>
        <w:spacing w:lineRule="auto" w:line="276" w:before="0" w:after="280"/>
        <w:jc w:val="center"/>
        <w:rPr>
          <w:rFonts w:eastAsia="Arial" w:cs="Arial"/>
          <w:b/>
          <w:bCs/>
          <w:i w:val="false"/>
          <w:iCs w:val="false"/>
          <w:color w:val="000000"/>
          <w:sz w:val="28"/>
          <w:szCs w:val="28"/>
        </w:rPr>
      </w:pPr>
      <w:r>
        <w:rPr>
          <w:rFonts w:eastAsia="Arial" w:cs="Arial"/>
          <w:b/>
          <w:bCs/>
          <w:i w:val="false"/>
          <w:iCs w:val="false"/>
          <w:color w:val="000000"/>
          <w:sz w:val="28"/>
          <w:szCs w:val="28"/>
        </w:rPr>
      </w:r>
    </w:p>
    <w:p>
      <w:pPr>
        <w:pStyle w:val="Normal"/>
        <w:spacing w:lineRule="auto" w:line="276" w:before="0" w:after="280"/>
        <w:jc w:val="center"/>
        <w:rPr>
          <w:rFonts w:eastAsia="Arial" w:cs="Arial"/>
          <w:b/>
          <w:bCs/>
          <w:i w:val="false"/>
          <w:iCs w:val="false"/>
          <w:color w:val="000000"/>
          <w:sz w:val="28"/>
          <w:szCs w:val="28"/>
        </w:rPr>
      </w:pPr>
      <w:r>
        <w:rPr>
          <w:rFonts w:eastAsia="Arial" w:cs="Arial"/>
          <w:b/>
          <w:bCs/>
          <w:i w:val="false"/>
          <w:iCs w:val="false"/>
          <w:color w:val="000000"/>
          <w:sz w:val="28"/>
          <w:szCs w:val="28"/>
        </w:rPr>
      </w:r>
    </w:p>
    <w:p>
      <w:pPr>
        <w:pStyle w:val="Normal"/>
        <w:spacing w:lineRule="auto" w:line="276" w:before="0" w:after="280"/>
        <w:jc w:val="center"/>
        <w:rPr>
          <w:rFonts w:eastAsia="Arial" w:cs="Arial"/>
          <w:b/>
          <w:bCs/>
          <w:i w:val="false"/>
          <w:iCs w:val="false"/>
          <w:color w:val="000000"/>
          <w:sz w:val="28"/>
          <w:szCs w:val="28"/>
        </w:rPr>
      </w:pPr>
      <w:r>
        <w:rPr>
          <w:rFonts w:eastAsia="Arial" w:cs="Arial"/>
          <w:b/>
          <w:bCs/>
          <w:i w:val="false"/>
          <w:iCs w:val="false"/>
          <w:color w:val="000000"/>
          <w:sz w:val="28"/>
          <w:szCs w:val="28"/>
        </w:rPr>
      </w:r>
    </w:p>
    <w:p>
      <w:pPr>
        <w:pStyle w:val="Normal"/>
        <w:spacing w:lineRule="auto" w:line="276" w:before="0" w:after="280"/>
        <w:jc w:val="center"/>
        <w:rPr>
          <w:rFonts w:eastAsia="Arial" w:cs="Arial"/>
          <w:b/>
          <w:bCs/>
          <w:i w:val="false"/>
          <w:iCs w:val="false"/>
          <w:color w:val="000000"/>
          <w:sz w:val="28"/>
          <w:szCs w:val="28"/>
        </w:rPr>
      </w:pPr>
      <w:r>
        <w:rPr>
          <w:rFonts w:eastAsia="Arial" w:cs="Arial"/>
          <w:b/>
          <w:bCs/>
          <w:i w:val="false"/>
          <w:iCs w:val="false"/>
          <w:color w:val="000000"/>
          <w:sz w:val="28"/>
          <w:szCs w:val="28"/>
        </w:rPr>
        <w:t>PROJECT PROPOSAL</w:t>
      </w:r>
    </w:p>
    <w:p>
      <w:pPr>
        <w:pStyle w:val="Normal"/>
        <w:spacing w:lineRule="auto" w:line="276" w:before="0" w:after="200"/>
        <w:jc w:val="center"/>
        <w:rPr>
          <w:color w:val="000000"/>
        </w:rPr>
      </w:pPr>
      <w:r>
        <w:rPr>
          <w:rFonts w:eastAsia="Arial" w:cs="Arial"/>
          <w:b/>
          <w:bCs/>
          <w:i w:val="false"/>
          <w:iCs w:val="false"/>
          <w:color w:val="000000"/>
          <w:sz w:val="36"/>
          <w:szCs w:val="36"/>
        </w:rPr>
        <w:t>OpenPortfo: A Cloud-Based Crypto and Vietnam Stock Portfolio Tracking System</w:t>
      </w:r>
    </w:p>
    <w:p>
      <w:pPr>
        <w:pStyle w:val="Normal"/>
        <w:spacing w:lineRule="auto" w:line="276" w:before="0" w:after="60"/>
        <w:jc w:val="center"/>
        <w:rPr>
          <w:rFonts w:eastAsia="Arial" w:cs="Arial"/>
          <w:b w:val="false"/>
          <w:bCs w:val="false"/>
          <w:i w:val="false"/>
          <w:iCs w:val="false"/>
          <w:sz w:val="20"/>
          <w:szCs w:val="20"/>
        </w:rPr>
      </w:pPr>
      <w:r>
        <w:rPr>
          <w:rFonts w:eastAsia="Arial" w:cs="Arial"/>
          <w:b w:val="false"/>
          <w:bCs w:val="false"/>
          <w:i w:val="false"/>
          <w:iCs w:val="false"/>
          <w:sz w:val="20"/>
          <w:szCs w:val="20"/>
        </w:rPr>
      </w:r>
    </w:p>
    <w:p>
      <w:pPr>
        <w:pStyle w:val="Normal"/>
        <w:spacing w:lineRule="auto" w:line="276" w:before="0" w:after="60"/>
        <w:jc w:val="center"/>
        <w:rPr>
          <w:rFonts w:eastAsia="Arial" w:cs="Arial"/>
          <w:b w:val="false"/>
          <w:bCs w:val="false"/>
          <w:i w:val="false"/>
          <w:iCs w:val="false"/>
          <w:sz w:val="20"/>
          <w:szCs w:val="20"/>
        </w:rPr>
      </w:pPr>
      <w:r>
        <w:rPr>
          <w:rFonts w:eastAsia="Arial" w:cs="Arial"/>
          <w:b w:val="false"/>
          <w:bCs w:val="false"/>
          <w:i w:val="false"/>
          <w:iCs w:val="false"/>
          <w:sz w:val="20"/>
          <w:szCs w:val="20"/>
        </w:rPr>
        <w:t>Student ID: s3927049</w:t>
      </w:r>
    </w:p>
    <w:p>
      <w:pPr>
        <w:pStyle w:val="Normal"/>
        <w:spacing w:lineRule="auto" w:line="276" w:before="0" w:after="60"/>
        <w:jc w:val="center"/>
        <w:rPr>
          <w:rFonts w:eastAsia="Arial" w:cs="Arial"/>
          <w:b w:val="false"/>
          <w:bCs w:val="false"/>
          <w:i w:val="false"/>
          <w:iCs w:val="false"/>
          <w:sz w:val="20"/>
          <w:szCs w:val="20"/>
        </w:rPr>
      </w:pPr>
      <w:r>
        <w:rPr>
          <w:rFonts w:eastAsia="Arial" w:cs="Arial"/>
          <w:b w:val="false"/>
          <w:bCs w:val="false"/>
          <w:i w:val="false"/>
          <w:iCs w:val="false"/>
          <w:sz w:val="20"/>
          <w:szCs w:val="20"/>
        </w:rPr>
        <w:t>Student name: Mai Gia Phu</w:t>
      </w:r>
    </w:p>
    <w:sdt>
      <w:sdtPr>
        <w:docPartObj>
          <w:docPartGallery w:val="Table of Contents"/>
          <w:docPartUnique w:val="true"/>
        </w:docPartObj>
      </w:sdtPr>
      <w:sdtContent>
        <w:p>
          <w:pPr>
            <w:pStyle w:val="TOCHeading"/>
            <w:rPr/>
          </w:pPr>
          <w:r>
            <w:br w:type="page"/>
          </w:r>
          <w:r>
            <w:rPr/>
            <w:t>Table of Contents</w:t>
          </w:r>
        </w:p>
        <w:p>
          <w:pPr>
            <w:pStyle w:val="TOC1"/>
            <w:tabs>
              <w:tab w:val="clear" w:pos="9026"/>
              <w:tab w:val="right" w:pos="9025" w:leader="dot"/>
            </w:tabs>
            <w:rPr/>
          </w:pPr>
          <w:r>
            <w:fldChar w:fldCharType="begin"/>
          </w:r>
          <w:r>
            <w:rPr>
              <w:rStyle w:val="IndexLink"/>
            </w:rPr>
            <w:instrText xml:space="preserve"> TOC \f \o "1-9" \h</w:instrText>
          </w:r>
          <w:r>
            <w:rPr>
              <w:rStyle w:val="IndexLink"/>
            </w:rPr>
            <w:fldChar w:fldCharType="separate"/>
          </w:r>
          <w:hyperlink w:anchor="__RefHeading___Toc254_384320648" w:tooltip="1. Problem Statement">
            <w:r>
              <w:rPr>
                <w:rStyle w:val="IndexLink"/>
              </w:rPr>
              <w:t>1. Problem Statement</w:t>
              <w:tab/>
              <w:t>3</w:t>
            </w:r>
          </w:hyperlink>
        </w:p>
        <w:p>
          <w:pPr>
            <w:pStyle w:val="TOC1"/>
            <w:tabs>
              <w:tab w:val="clear" w:pos="9026"/>
              <w:tab w:val="right" w:pos="9025" w:leader="dot"/>
            </w:tabs>
            <w:rPr/>
          </w:pPr>
          <w:hyperlink w:anchor="__RefHeading___Toc256_384320648" w:tooltip="2. Proposed Solution">
            <w:r>
              <w:rPr>
                <w:rStyle w:val="IndexLink"/>
              </w:rPr>
              <w:t>2. Proposed Solution</w:t>
              <w:tab/>
              <w:t>3</w:t>
            </w:r>
          </w:hyperlink>
        </w:p>
        <w:p>
          <w:pPr>
            <w:pStyle w:val="TOC2"/>
            <w:tabs>
              <w:tab w:val="clear" w:pos="8743"/>
              <w:tab w:val="right" w:pos="9025" w:leader="dot"/>
            </w:tabs>
            <w:rPr/>
          </w:pPr>
          <w:hyperlink w:anchor="__RefHeading___Toc258_384320648" w:tooltip="2.1 Core capabilities">
            <w:r>
              <w:rPr>
                <w:rStyle w:val="IndexLink"/>
              </w:rPr>
              <w:t>2.1 Core capabilities</w:t>
              <w:tab/>
              <w:t>3</w:t>
            </w:r>
          </w:hyperlink>
        </w:p>
        <w:p>
          <w:pPr>
            <w:pStyle w:val="TOC2"/>
            <w:tabs>
              <w:tab w:val="clear" w:pos="8743"/>
              <w:tab w:val="right" w:pos="9025" w:leader="dot"/>
            </w:tabs>
            <w:rPr/>
          </w:pPr>
          <w:hyperlink w:anchor="__RefHeading___Toc260_384320648" w:tooltip="2.2 Design principles">
            <w:r>
              <w:rPr>
                <w:rStyle w:val="IndexLink"/>
              </w:rPr>
              <w:t>2.2 Design principles</w:t>
              <w:tab/>
              <w:t>3</w:t>
            </w:r>
          </w:hyperlink>
        </w:p>
        <w:p>
          <w:pPr>
            <w:pStyle w:val="TOC1"/>
            <w:tabs>
              <w:tab w:val="clear" w:pos="9026"/>
              <w:tab w:val="right" w:pos="9025" w:leader="dot"/>
            </w:tabs>
            <w:rPr/>
          </w:pPr>
          <w:hyperlink w:anchor="__RefHeading___Toc262_384320648" w:tooltip="3. Architecture">
            <w:r>
              <w:rPr>
                <w:rStyle w:val="IndexLink"/>
              </w:rPr>
              <w:t>3. Architecture</w:t>
              <w:tab/>
              <w:t>4</w:t>
            </w:r>
          </w:hyperlink>
        </w:p>
        <w:p>
          <w:pPr>
            <w:pStyle w:val="TOC2"/>
            <w:tabs>
              <w:tab w:val="clear" w:pos="8743"/>
              <w:tab w:val="right" w:pos="9025" w:leader="dot"/>
            </w:tabs>
            <w:rPr/>
          </w:pPr>
          <w:hyperlink w:anchor="__RefHeading___Toc264_384320648" w:tooltip="3.1 High-level architecture">
            <w:r>
              <w:rPr>
                <w:rStyle w:val="IndexLink"/>
              </w:rPr>
              <w:t>3.1 High-level architecture</w:t>
              <w:tab/>
              <w:t>4</w:t>
            </w:r>
          </w:hyperlink>
        </w:p>
        <w:p>
          <w:pPr>
            <w:pStyle w:val="TOC3"/>
            <w:tabs>
              <w:tab w:val="clear" w:pos="8459"/>
              <w:tab w:val="right" w:pos="9025" w:leader="dot"/>
            </w:tabs>
            <w:rPr/>
          </w:pPr>
          <w:hyperlink w:anchor="__RefHeading___Toc266_384320648" w:tooltip="Frontend">
            <w:r>
              <w:rPr>
                <w:rStyle w:val="IndexLink"/>
              </w:rPr>
              <w:t>Frontend</w:t>
              <w:tab/>
              <w:t>4</w:t>
            </w:r>
          </w:hyperlink>
        </w:p>
        <w:p>
          <w:pPr>
            <w:pStyle w:val="TOC3"/>
            <w:tabs>
              <w:tab w:val="clear" w:pos="8459"/>
              <w:tab w:val="right" w:pos="9025" w:leader="dot"/>
            </w:tabs>
            <w:rPr/>
          </w:pPr>
          <w:hyperlink w:anchor="__RefHeading___Toc268_384320648" w:tooltip="Backend">
            <w:r>
              <w:rPr>
                <w:rStyle w:val="IndexLink"/>
              </w:rPr>
              <w:t>Backend</w:t>
              <w:tab/>
              <w:t>4</w:t>
            </w:r>
          </w:hyperlink>
        </w:p>
        <w:p>
          <w:pPr>
            <w:pStyle w:val="TOC3"/>
            <w:tabs>
              <w:tab w:val="clear" w:pos="8459"/>
              <w:tab w:val="right" w:pos="9025" w:leader="dot"/>
            </w:tabs>
            <w:rPr/>
          </w:pPr>
          <w:hyperlink w:anchor="__RefHeading___Toc270_384320648" w:tooltip="Database and storage">
            <w:r>
              <w:rPr>
                <w:rStyle w:val="IndexLink"/>
              </w:rPr>
              <w:t>Database and storage</w:t>
              <w:tab/>
              <w:t>4</w:t>
            </w:r>
          </w:hyperlink>
        </w:p>
        <w:p>
          <w:pPr>
            <w:pStyle w:val="TOC3"/>
            <w:tabs>
              <w:tab w:val="clear" w:pos="8459"/>
              <w:tab w:val="right" w:pos="9025" w:leader="dot"/>
            </w:tabs>
            <w:rPr/>
          </w:pPr>
          <w:hyperlink w:anchor="__RefHeading___Toc272_384320648" w:tooltip="Jobs (scheduled)">
            <w:r>
              <w:rPr>
                <w:rStyle w:val="IndexLink"/>
              </w:rPr>
              <w:t>Jobs (scheduled)</w:t>
              <w:tab/>
              <w:t>5</w:t>
            </w:r>
          </w:hyperlink>
        </w:p>
        <w:p>
          <w:pPr>
            <w:pStyle w:val="TOC3"/>
            <w:tabs>
              <w:tab w:val="clear" w:pos="8459"/>
              <w:tab w:val="right" w:pos="9025" w:leader="dot"/>
            </w:tabs>
            <w:rPr/>
          </w:pPr>
          <w:hyperlink w:anchor="__RefHeading___Toc274_384320648" w:tooltip="External APIs">
            <w:r>
              <w:rPr>
                <w:rStyle w:val="IndexLink"/>
              </w:rPr>
              <w:t>External APIs</w:t>
              <w:tab/>
              <w:t>5</w:t>
            </w:r>
          </w:hyperlink>
        </w:p>
        <w:p>
          <w:pPr>
            <w:pStyle w:val="TOC1"/>
            <w:tabs>
              <w:tab w:val="clear" w:pos="9026"/>
              <w:tab w:val="right" w:pos="9025" w:leader="dot"/>
            </w:tabs>
            <w:rPr/>
          </w:pPr>
          <w:hyperlink w:anchor="__RefHeading___Toc276_384320648" w:tooltip="4. Similar Products">
            <w:r>
              <w:rPr>
                <w:rStyle w:val="IndexLink"/>
              </w:rPr>
              <w:t>4. Similar Products</w:t>
              <w:tab/>
              <w:t>5</w:t>
            </w:r>
          </w:hyperlink>
        </w:p>
        <w:p>
          <w:pPr>
            <w:pStyle w:val="TOC1"/>
            <w:tabs>
              <w:tab w:val="clear" w:pos="9026"/>
              <w:tab w:val="right" w:pos="9025" w:leader="dot"/>
            </w:tabs>
            <w:rPr/>
          </w:pPr>
          <w:hyperlink w:anchor="__RefHeading___Toc278_384320648" w:tooltip="5. Limitations and Further Improvement">
            <w:r>
              <w:rPr>
                <w:rStyle w:val="IndexLink"/>
              </w:rPr>
              <w:t>5. Limitations and Further Improvement</w:t>
              <w:tab/>
              <w:t>6</w:t>
            </w:r>
          </w:hyperlink>
        </w:p>
        <w:p>
          <w:pPr>
            <w:pStyle w:val="TOC2"/>
            <w:tabs>
              <w:tab w:val="clear" w:pos="8743"/>
              <w:tab w:val="right" w:pos="9025" w:leader="dot"/>
            </w:tabs>
            <w:rPr/>
          </w:pPr>
          <w:hyperlink w:anchor="__RefHeading___Toc280_384320648" w:tooltip="5.1 Current limitations">
            <w:r>
              <w:rPr>
                <w:rStyle w:val="IndexLink"/>
              </w:rPr>
              <w:t>5.1 Current limitations</w:t>
              <w:tab/>
              <w:t>6</w:t>
            </w:r>
          </w:hyperlink>
        </w:p>
        <w:p>
          <w:pPr>
            <w:pStyle w:val="TOC2"/>
            <w:tabs>
              <w:tab w:val="clear" w:pos="8743"/>
              <w:tab w:val="right" w:pos="9025" w:leader="dot"/>
            </w:tabs>
            <w:rPr/>
          </w:pPr>
          <w:hyperlink w:anchor="__RefHeading___Toc282_384320648" w:tooltip="5.2 Further improvement">
            <w:r>
              <w:rPr>
                <w:rStyle w:val="IndexLink"/>
              </w:rPr>
              <w:t>5.2 Further improvement</w:t>
              <w:tab/>
              <w:t>6</w:t>
            </w:r>
          </w:hyperlink>
        </w:p>
        <w:p>
          <w:pPr>
            <w:pStyle w:val="TOC1"/>
            <w:tabs>
              <w:tab w:val="clear" w:pos="9026"/>
              <w:tab w:val="right" w:pos="9025" w:leader="dot"/>
            </w:tabs>
            <w:rPr/>
          </w:pPr>
          <w:hyperlink w:anchor="__RefHeading___Toc284_384320648" w:tooltip="6. Conclusion">
            <w:r>
              <w:rPr>
                <w:rStyle w:val="IndexLink"/>
              </w:rPr>
              <w:t>6. Conclusion</w:t>
              <w:tab/>
              <w:t>7</w:t>
            </w:r>
          </w:hyperlink>
        </w:p>
        <w:p>
          <w:pPr>
            <w:pStyle w:val="TOC1"/>
            <w:tabs>
              <w:tab w:val="clear" w:pos="9026"/>
              <w:tab w:val="right" w:pos="9025" w:leader="dot"/>
            </w:tabs>
            <w:rPr/>
          </w:pPr>
          <w:hyperlink w:anchor="__RefHeading___Toc286_384320648" w:tooltip="7. References">
            <w:r>
              <w:rPr>
                <w:rStyle w:val="IndexLink"/>
              </w:rPr>
              <w:t>7. References</w:t>
              <w:tab/>
              <w:t>7</w:t>
            </w:r>
          </w:hyperlink>
          <w:r>
            <w:rPr>
              <w:rStyle w:val="IndexLink"/>
            </w:rPr>
            <w:fldChar w:fldCharType="end"/>
          </w:r>
        </w:p>
      </w:sdtContent>
    </w:sdt>
    <w:p>
      <w:pPr>
        <w:pStyle w:val="Heading1"/>
        <w:spacing w:before="0" w:after="180"/>
        <w:rPr>
          <w:rFonts w:ascii="Arial" w:hAnsi="Arial" w:eastAsia="Arial" w:cs="Arial"/>
          <w:b/>
          <w:bCs/>
          <w:color w:val="1F4E79"/>
          <w:sz w:val="32"/>
          <w:szCs w:val="32"/>
        </w:rPr>
      </w:pPr>
      <w:r>
        <w:rPr>
          <w:rFonts w:eastAsia="Arial" w:cs="Arial"/>
          <w:b/>
          <w:bCs/>
          <w:color w:val="1F4E79"/>
          <w:sz w:val="32"/>
          <w:szCs w:val="32"/>
        </w:rPr>
      </w:r>
    </w:p>
    <w:p>
      <w:pPr>
        <w:pStyle w:val="Heading1"/>
        <w:spacing w:before="0" w:after="180"/>
        <w:rPr>
          <w:rFonts w:ascii="Arial" w:hAnsi="Arial" w:eastAsia="Arial" w:cs="Arial"/>
          <w:b/>
          <w:bCs/>
          <w:color w:val="1F4E79"/>
          <w:sz w:val="32"/>
          <w:szCs w:val="32"/>
        </w:rPr>
      </w:pPr>
      <w:r>
        <w:rPr>
          <w:rFonts w:eastAsia="Arial" w:cs="Arial"/>
          <w:b/>
          <w:bCs/>
          <w:color w:val="1F4E79"/>
          <w:sz w:val="32"/>
          <w:szCs w:val="32"/>
        </w:rPr>
      </w:r>
      <w:r>
        <w:br w:type="page"/>
      </w:r>
    </w:p>
    <w:p>
      <w:pPr>
        <w:pStyle w:val="Heading1"/>
        <w:spacing w:before="0" w:after="180"/>
        <w:rPr>
          <w:rFonts w:ascii="Arial" w:hAnsi="Arial" w:eastAsia="Arial" w:cs="Arial"/>
          <w:b/>
          <w:bCs/>
          <w:color w:val="1F4E79"/>
          <w:sz w:val="32"/>
          <w:szCs w:val="32"/>
        </w:rPr>
      </w:pPr>
      <w:bookmarkStart w:id="0" w:name="__RefHeading___Toc254_384320648"/>
      <w:bookmarkEnd w:id="0"/>
      <w:r>
        <w:rPr>
          <w:rFonts w:eastAsia="Arial" w:cs="Arial"/>
          <w:b/>
          <w:bCs/>
          <w:color w:val="1F4E79"/>
          <w:sz w:val="32"/>
          <w:szCs w:val="32"/>
        </w:rPr>
        <w:t>1. Problem Statement</w:t>
      </w:r>
    </w:p>
    <w:p>
      <w:pPr>
        <w:pStyle w:val="Normal"/>
        <w:spacing w:lineRule="auto" w:line="276" w:before="0" w:after="120"/>
        <w:rPr/>
      </w:pPr>
      <w:r>
        <w:rPr/>
        <w:t>It is hard for individual investors to manage holdings across different sources—cryptocurrency exchanges or wallets on one side, and Vietnam stock brokers on the other—because each asset class lives in a separate app or spreadsheet, with no single view of total value, allocation, and profit and loss, and no low-cost way to combine on-demand pricing, relevant news, and a simple daily summary under a tight cloud budget.</w:t>
      </w:r>
    </w:p>
    <w:p>
      <w:pPr>
        <w:pStyle w:val="Heading1"/>
        <w:spacing w:before="320" w:after="180"/>
        <w:rPr/>
      </w:pPr>
      <w:bookmarkStart w:id="1" w:name="__RefHeading___Toc256_384320648"/>
      <w:bookmarkEnd w:id="1"/>
      <w:r>
        <w:rPr>
          <w:rFonts w:eastAsia="Arial" w:cs="Arial"/>
          <w:b/>
          <w:bCs/>
          <w:color w:val="1F4E79"/>
          <w:sz w:val="32"/>
          <w:szCs w:val="32"/>
        </w:rPr>
        <w:t>2. Proposed Solution</w:t>
      </w:r>
    </w:p>
    <w:p>
      <w:pPr>
        <w:pStyle w:val="Normal"/>
        <w:spacing w:lineRule="auto" w:line="276" w:before="0" w:after="120"/>
        <w:rPr/>
      </w:pPr>
      <w:r>
        <w:rPr>
          <w:rFonts w:eastAsia="Arial" w:cs="Arial"/>
          <w:b w:val="false"/>
          <w:bCs w:val="false"/>
          <w:i w:val="false"/>
          <w:iCs w:val="false"/>
          <w:sz w:val="22"/>
          <w:szCs w:val="22"/>
        </w:rPr>
        <w:t>OpenPortfo is a cloud-based portfolio tracking application designed for individual investors who hold both cryptocurrencies and Vietnam-listed stocks. The system provides a unified watchlist and holdings model, a portfolio dashboard with charts and filters, on-demand price refresh (not WebSocket real-time streaming), RSS news filtered by keyword relevance, a daily portfolio summary email, user login, and an administrator page for system configuration.</w:t>
      </w:r>
    </w:p>
    <w:p>
      <w:pPr>
        <w:pStyle w:val="Heading2"/>
        <w:spacing w:before="260" w:after="140"/>
        <w:rPr/>
      </w:pPr>
      <w:bookmarkStart w:id="2" w:name="__RefHeading___Toc258_384320648"/>
      <w:bookmarkEnd w:id="2"/>
      <w:r>
        <w:rPr>
          <w:rFonts w:eastAsia="Arial" w:cs="Arial"/>
          <w:b/>
          <w:bCs/>
          <w:color w:val="2E75B6"/>
          <w:sz w:val="26"/>
          <w:szCs w:val="26"/>
        </w:rPr>
        <w:t>2.1 Core capabilities</w:t>
      </w:r>
    </w:p>
    <w:p>
      <w:pPr>
        <w:pStyle w:val="ListParagraph"/>
        <w:numPr>
          <w:ilvl w:val="0"/>
          <w:numId w:val="4"/>
        </w:numPr>
        <w:spacing w:lineRule="auto" w:line="276" w:before="0" w:after="80"/>
        <w:rPr/>
      </w:pPr>
      <w:r>
        <w:rPr>
          <w:rFonts w:eastAsia="Arial" w:cs="Arial"/>
          <w:b/>
          <w:bCs/>
          <w:sz w:val="22"/>
          <w:szCs w:val="22"/>
        </w:rPr>
        <w:t xml:space="preserve">Unified multi-asset tracking. </w:t>
      </w:r>
      <w:r>
        <w:rPr>
          <w:rFonts w:eastAsia="Arial" w:cs="Arial"/>
          <w:sz w:val="22"/>
          <w:szCs w:val="22"/>
        </w:rPr>
        <w:t>Users can search and add crypto assets (via CoinGecko) and Vietnam stocks (via vnstock) to a personal watchlist and to holdings with quantity and cost basis. The portfolio view computes market value, cost, and profit and loss in a single dashboard.</w:t>
      </w:r>
    </w:p>
    <w:p>
      <w:pPr>
        <w:pStyle w:val="ListParagraph"/>
        <w:numPr>
          <w:ilvl w:val="0"/>
          <w:numId w:val="2"/>
        </w:numPr>
        <w:spacing w:lineRule="auto" w:line="276" w:before="0" w:after="80"/>
        <w:rPr/>
      </w:pPr>
      <w:r>
        <w:rPr>
          <w:rFonts w:eastAsia="Arial" w:cs="Arial"/>
          <w:b/>
          <w:bCs/>
          <w:sz w:val="22"/>
          <w:szCs w:val="22"/>
        </w:rPr>
        <w:t xml:space="preserve">On-demand prices with caching. </w:t>
      </w:r>
      <w:r>
        <w:rPr>
          <w:rFonts w:eastAsia="Arial" w:cs="Arial"/>
          <w:sz w:val="22"/>
          <w:szCs w:val="22"/>
        </w:rPr>
        <w:t>Quotes are refreshed when the user opens the portfolio or presses Refresh, or when a scheduled job updates the cache. There is no continuous real-time stream, which keeps cost and complexity appropriate for a student AWS budget.</w:t>
      </w:r>
    </w:p>
    <w:p>
      <w:pPr>
        <w:pStyle w:val="ListParagraph"/>
        <w:numPr>
          <w:ilvl w:val="0"/>
          <w:numId w:val="2"/>
        </w:numPr>
        <w:spacing w:lineRule="auto" w:line="276" w:before="0" w:after="80"/>
        <w:rPr/>
      </w:pPr>
      <w:r>
        <w:rPr>
          <w:rFonts w:eastAsia="Arial" w:cs="Arial"/>
          <w:b/>
          <w:bCs/>
          <w:sz w:val="22"/>
          <w:szCs w:val="22"/>
        </w:rPr>
        <w:t xml:space="preserve">Historical charts and analytics. </w:t>
      </w:r>
      <w:r>
        <w:rPr>
          <w:rFonts w:eastAsia="Arial" w:cs="Arial"/>
          <w:sz w:val="22"/>
          <w:szCs w:val="22"/>
        </w:rPr>
        <w:t>Price history is cached in S3; Athena supports SQL-style queries over portfolio snapshots for longer-term analysis.</w:t>
      </w:r>
    </w:p>
    <w:p>
      <w:pPr>
        <w:pStyle w:val="ListParagraph"/>
        <w:numPr>
          <w:ilvl w:val="0"/>
          <w:numId w:val="2"/>
        </w:numPr>
        <w:spacing w:lineRule="auto" w:line="276" w:before="0" w:after="80"/>
        <w:rPr/>
      </w:pPr>
      <w:r>
        <w:rPr>
          <w:rFonts w:eastAsia="Arial" w:cs="Arial"/>
          <w:b/>
          <w:bCs/>
          <w:sz w:val="22"/>
          <w:szCs w:val="22"/>
        </w:rPr>
        <w:t xml:space="preserve">News and email. </w:t>
      </w:r>
      <w:r>
        <w:rPr>
          <w:rFonts w:eastAsia="Arial" w:cs="Arial"/>
          <w:sz w:val="22"/>
          <w:szCs w:val="22"/>
        </w:rPr>
        <w:t>A scheduled Lambda pipeline fetches RSS sources configured by an administrator, matches items to user symbols or keywords, stores results in DynamoDB, and can send a daily SES email summary.</w:t>
      </w:r>
    </w:p>
    <w:p>
      <w:pPr>
        <w:pStyle w:val="ListParagraph"/>
        <w:numPr>
          <w:ilvl w:val="0"/>
          <w:numId w:val="2"/>
        </w:numPr>
        <w:spacing w:lineRule="auto" w:line="276" w:before="0" w:after="80"/>
        <w:rPr/>
      </w:pPr>
      <w:r>
        <w:rPr>
          <w:rFonts w:eastAsia="Arial" w:cs="Arial"/>
          <w:b/>
          <w:bCs/>
          <w:sz w:val="22"/>
          <w:szCs w:val="22"/>
        </w:rPr>
        <w:t xml:space="preserve">Admin configuration. </w:t>
      </w:r>
      <w:r>
        <w:rPr>
          <w:rFonts w:eastAsia="Arial" w:cs="Arial"/>
          <w:sz w:val="22"/>
          <w:szCs w:val="22"/>
        </w:rPr>
        <w:t>An admin page manages RSS source URLs, email send time, job enable/disable toggles, and price-cache TTL without redeploying code.</w:t>
      </w:r>
    </w:p>
    <w:p>
      <w:pPr>
        <w:pStyle w:val="Heading2"/>
        <w:spacing w:before="260" w:after="140"/>
        <w:rPr/>
      </w:pPr>
      <w:bookmarkStart w:id="3" w:name="__RefHeading___Toc260_384320648"/>
      <w:bookmarkEnd w:id="3"/>
      <w:r>
        <w:rPr>
          <w:rFonts w:eastAsia="Arial" w:cs="Arial"/>
          <w:b/>
          <w:bCs/>
          <w:color w:val="2E75B6"/>
          <w:sz w:val="26"/>
          <w:szCs w:val="26"/>
        </w:rPr>
        <w:t>2.2 Design principles</w:t>
      </w:r>
    </w:p>
    <w:p>
      <w:pPr>
        <w:pStyle w:val="Normal"/>
        <w:spacing w:lineRule="auto" w:line="276" w:before="0" w:after="120"/>
        <w:rPr/>
      </w:pPr>
      <w:r>
        <w:rPr>
          <w:rFonts w:eastAsia="Arial" w:cs="Arial"/>
          <w:b w:val="false"/>
          <w:bCs w:val="false"/>
          <w:i w:val="false"/>
          <w:iCs w:val="false"/>
          <w:sz w:val="22"/>
          <w:szCs w:val="22"/>
        </w:rPr>
        <w:t>The architecture deliberately separates user-facing request traffic from scheduled background work. The browser loads a statically exported Next.js front end from S3 via CloudFront (client-side rendering only; no server-side rendering). All interactive REST APIs—including authentication, portfolio operations, news read, and admin settings—are served by FastAPI on AWS Elastic Beanstalk. Scheduled tasks (RSS fetch, batch price update, portfolio snapshot, SES email) run only on EventBridge-triggered Lambda functions. Main user traffic does not pass through API Gateway.</w:t>
      </w:r>
    </w:p>
    <w:p>
      <w:pPr>
        <w:pStyle w:val="Normal"/>
        <w:spacing w:lineRule="auto" w:line="276" w:before="0" w:after="120"/>
        <w:rPr/>
      </w:pPr>
      <w:r>
        <w:rPr>
          <w:rFonts w:eastAsia="Arial" w:cs="Arial"/>
          <w:b w:val="false"/>
          <w:bCs w:val="false"/>
          <w:i w:val="false"/>
          <w:iCs w:val="false"/>
          <w:sz w:val="22"/>
          <w:szCs w:val="22"/>
        </w:rPr>
        <w:t>External market data is drawn from free or low-cost sources: CoinGecko for crypto markets and vnstock for Vietnam equities. Aggressive caching in DynamoDB and S3 protects free-tier rate limits. The entire design targets an AWS spend of at most USD $50 for the assessment period, using t3.micro-class Beanstalk capacity, on-demand DynamoDB, Lambda free tier, and minimal S3/Athena/CloudFront usage.</w:t>
      </w:r>
    </w:p>
    <w:p>
      <w:pPr>
        <w:pStyle w:val="Heading1"/>
        <w:spacing w:before="320" w:after="180"/>
        <w:rPr/>
      </w:pPr>
      <w:bookmarkStart w:id="4" w:name="__RefHeading___Toc262_384320648"/>
      <w:bookmarkEnd w:id="4"/>
      <w:r>
        <w:rPr>
          <w:rFonts w:eastAsia="Arial" w:cs="Arial"/>
          <w:b/>
          <w:bCs/>
          <w:color w:val="1F4E79"/>
          <w:sz w:val="32"/>
          <w:szCs w:val="32"/>
        </w:rPr>
        <w:t>3. Architecture</w:t>
      </w:r>
    </w:p>
    <w:p>
      <w:pPr>
        <w:pStyle w:val="Heading2"/>
        <w:spacing w:before="260" w:after="140"/>
        <w:rPr>
          <w:rFonts w:eastAsia="Arial" w:cs="Arial"/>
          <w:b w:val="false"/>
          <w:bCs w:val="false"/>
          <w:i w:val="false"/>
          <w:iCs w:val="false"/>
          <w:sz w:val="22"/>
          <w:szCs w:val="22"/>
        </w:rPr>
      </w:pPr>
      <w:bookmarkStart w:id="5" w:name="__RefHeading___Toc264_384320648"/>
      <w:bookmarkEnd w:id="5"/>
      <w:r>
        <w:rPr>
          <w:rFonts w:eastAsia="Arial" w:cs="Arial"/>
          <w:b/>
          <w:bCs/>
          <w:color w:val="2E75B6"/>
          <w:sz w:val="26"/>
          <w:szCs w:val="26"/>
        </w:rPr>
        <w:t>3.1 High-level architecture</w:t>
      </w:r>
    </w:p>
    <w:p>
      <w:pPr>
        <w:pStyle w:val="Normal"/>
        <w:spacing w:before="0" w:after="200"/>
        <w:jc w:val="center"/>
        <w:rPr/>
      </w:pPr>
      <w:r>
        <w:rPr/>
        <w:drawing>
          <wp:inline distT="0" distB="0" distL="0" distR="0">
            <wp:extent cx="6146800" cy="3482975"/>
            <wp:effectExtent l="0" t="0" r="0" b="0"/>
            <wp:docPr id="1" name="OpenPortfo architecture" descr="System architecture: User, Frontend CloudFront S3, Backend Beanstalk, DynamoDB Lambda Athena SES, CoinGecko vnstock" title="OpenPortfo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penPortfo architecture" descr="System architecture: User, Frontend CloudFront S3, Backend Beanstalk, DynamoDB Lambda Athena SES, CoinGecko vnstock" title="OpenPortfo System Architecture"/>
                    <pic:cNvPicPr>
                      <a:picLocks noChangeAspect="1" noChangeArrowheads="1"/>
                    </pic:cNvPicPr>
                  </pic:nvPicPr>
                  <pic:blipFill>
                    <a:blip r:embed="rId2"/>
                    <a:stretch>
                      <a:fillRect/>
                    </a:stretch>
                  </pic:blipFill>
                  <pic:spPr bwMode="auto">
                    <a:xfrm>
                      <a:off x="0" y="0"/>
                      <a:ext cx="6146800" cy="3482975"/>
                    </a:xfrm>
                    <a:prstGeom prst="rect">
                      <a:avLst/>
                    </a:prstGeom>
                    <a:noFill/>
                  </pic:spPr>
                </pic:pic>
              </a:graphicData>
            </a:graphic>
          </wp:inline>
        </w:drawing>
      </w:r>
    </w:p>
    <w:p>
      <w:pPr>
        <w:pStyle w:val="Normal"/>
        <w:spacing w:lineRule="auto" w:line="276" w:before="120" w:after="120"/>
        <w:jc w:val="center"/>
        <w:rPr/>
      </w:pPr>
      <w:r>
        <w:rPr>
          <w:rFonts w:eastAsia="Arial" w:cs="Arial"/>
          <w:b/>
          <w:bCs/>
          <w:i w:val="false"/>
          <w:iCs w:val="false"/>
          <w:sz w:val="20"/>
          <w:szCs w:val="20"/>
        </w:rPr>
        <w:t>Figure 1. OpenPortfo system architecture.</w:t>
      </w:r>
    </w:p>
    <w:p>
      <w:pPr>
        <w:pStyle w:val="Normal"/>
        <w:spacing w:before="0" w:after="80"/>
        <w:rPr/>
      </w:pPr>
      <w:r>
        <w:rPr/>
      </w:r>
    </w:p>
    <w:p>
      <w:pPr>
        <w:pStyle w:val="Normal"/>
        <w:spacing w:lineRule="auto" w:line="276" w:before="0" w:after="120"/>
        <w:rPr/>
      </w:pPr>
      <w:r>
        <w:rPr>
          <w:rFonts w:eastAsia="Arial" w:cs="Arial"/>
          <w:b w:val="false"/>
          <w:bCs w:val="false"/>
          <w:i w:val="false"/>
          <w:iCs w:val="false"/>
          <w:sz w:val="22"/>
          <w:szCs w:val="22"/>
        </w:rPr>
        <w:t>The architecture is organised into five component groups, each with a clear responsibility.</w:t>
      </w:r>
    </w:p>
    <w:p>
      <w:pPr>
        <w:pStyle w:val="Heading3"/>
        <w:spacing w:before="200" w:after="100"/>
        <w:rPr/>
      </w:pPr>
      <w:bookmarkStart w:id="6" w:name="__RefHeading___Toc266_384320648"/>
      <w:bookmarkEnd w:id="6"/>
      <w:r>
        <w:rPr>
          <w:rFonts w:eastAsia="Arial" w:cs="Arial"/>
          <w:b/>
          <w:bCs/>
          <w:color w:val="404040"/>
          <w:sz w:val="24"/>
          <w:szCs w:val="24"/>
        </w:rPr>
        <w:t>Frontend</w:t>
      </w:r>
    </w:p>
    <w:p>
      <w:pPr>
        <w:pStyle w:val="Normal"/>
        <w:spacing w:lineRule="auto" w:line="276" w:before="0" w:after="120"/>
        <w:rPr/>
      </w:pPr>
      <w:r>
        <w:rPr>
          <w:rFonts w:eastAsia="Arial" w:cs="Arial"/>
          <w:b w:val="false"/>
          <w:bCs w:val="false"/>
          <w:i w:val="false"/>
          <w:iCs w:val="false"/>
          <w:sz w:val="22"/>
          <w:szCs w:val="22"/>
        </w:rPr>
        <w:t>The client is a Next.js application built as a client-side (CSR) static export—no server-side rendering. Static files are stored in Amazon S3 and delivered through Amazon CloudFront with CDN and HTTPS. The user opens the site in a browser; CloudFront serves the UI and fetches Next.js assets from S3. Charts and tables render in the browser after JSON is returned from the backend.</w:t>
      </w:r>
    </w:p>
    <w:p>
      <w:pPr>
        <w:pStyle w:val="Heading3"/>
        <w:spacing w:before="200" w:after="100"/>
        <w:rPr/>
      </w:pPr>
      <w:bookmarkStart w:id="7" w:name="__RefHeading___Toc268_384320648"/>
      <w:bookmarkEnd w:id="7"/>
      <w:r>
        <w:rPr>
          <w:rFonts w:eastAsia="Arial" w:cs="Arial"/>
          <w:b/>
          <w:bCs/>
          <w:color w:val="404040"/>
          <w:sz w:val="24"/>
          <w:szCs w:val="24"/>
        </w:rPr>
        <w:t>Backend</w:t>
      </w:r>
    </w:p>
    <w:p>
      <w:pPr>
        <w:pStyle w:val="Normal"/>
        <w:spacing w:lineRule="auto" w:line="276" w:before="0" w:after="120"/>
        <w:rPr/>
      </w:pPr>
      <w:r>
        <w:rPr>
          <w:rFonts w:eastAsia="Arial" w:cs="Arial"/>
          <w:b w:val="false"/>
          <w:bCs w:val="false"/>
          <w:i w:val="false"/>
          <w:iCs w:val="false"/>
          <w:sz w:val="22"/>
          <w:szCs w:val="22"/>
        </w:rPr>
        <w:t>All interactive application logic runs on AWS Elastic Beanstalk hosting FastAPI (Python). This tier handles authentication, watchlist and holdings CRUD, portfolio valuation, manual price refresh, news read, and the admin page (RSS sources, email time, job toggles). The browser calls REST endpoints under /api/* on Beanstalk. On cache miss or refresh, FastAPI requests live prices from external APIs and writes results back to the database cache.</w:t>
      </w:r>
    </w:p>
    <w:p>
      <w:pPr>
        <w:pStyle w:val="Heading3"/>
        <w:spacing w:before="200" w:after="100"/>
        <w:rPr/>
      </w:pPr>
      <w:bookmarkStart w:id="8" w:name="__RefHeading___Toc270_384320648"/>
      <w:bookmarkEnd w:id="8"/>
      <w:r>
        <w:rPr>
          <w:rFonts w:eastAsia="Arial" w:cs="Arial"/>
          <w:b/>
          <w:bCs/>
          <w:color w:val="404040"/>
          <w:sz w:val="24"/>
          <w:szCs w:val="24"/>
        </w:rPr>
        <w:t>Database and storage</w:t>
      </w:r>
    </w:p>
    <w:p>
      <w:pPr>
        <w:pStyle w:val="Normal"/>
        <w:spacing w:lineRule="auto" w:line="276" w:before="0" w:after="120"/>
        <w:rPr/>
      </w:pPr>
      <w:r>
        <w:rPr>
          <w:rFonts w:eastAsia="Arial" w:cs="Arial"/>
          <w:b w:val="false"/>
          <w:bCs w:val="false"/>
          <w:i w:val="false"/>
          <w:iCs w:val="false"/>
          <w:sz w:val="22"/>
          <w:szCs w:val="22"/>
        </w:rPr>
        <w:t>Amazon DynamoDB is the primary operational database: users, holdings, watchlist, price cache, news items, and system/admin settings. A second Amazon S3 bucket (or prefix) stores price history and daily portfolio snapshots. Amazon Athena runs optional SQL analytics over those snapshot files; it is not used on every portfolio page load. Live dashboard data always comes from DynamoDB (and the price cache) via the backend.</w:t>
      </w:r>
    </w:p>
    <w:p>
      <w:pPr>
        <w:pStyle w:val="Heading3"/>
        <w:spacing w:before="200" w:after="100"/>
        <w:rPr/>
      </w:pPr>
      <w:bookmarkStart w:id="9" w:name="__RefHeading___Toc272_384320648"/>
      <w:bookmarkEnd w:id="9"/>
      <w:r>
        <w:rPr>
          <w:rFonts w:eastAsia="Arial" w:cs="Arial"/>
          <w:b/>
          <w:bCs/>
          <w:color w:val="404040"/>
          <w:sz w:val="24"/>
          <w:szCs w:val="24"/>
        </w:rPr>
        <w:t>Jobs (scheduled)</w:t>
      </w:r>
    </w:p>
    <w:p>
      <w:pPr>
        <w:pStyle w:val="Normal"/>
        <w:spacing w:lineRule="auto" w:line="276" w:before="0" w:after="120"/>
        <w:rPr/>
      </w:pPr>
      <w:r>
        <w:rPr>
          <w:rFonts w:eastAsia="Arial" w:cs="Arial"/>
          <w:b w:val="false"/>
          <w:bCs w:val="false"/>
          <w:i w:val="false"/>
          <w:iCs w:val="false"/>
          <w:sz w:val="22"/>
          <w:szCs w:val="22"/>
        </w:rPr>
        <w:t>Amazon EventBridge runs a cron schedule (email time and job flags come from Admin settings). It triggers AWS Lambda only—Lambda is not a public HTTP API. Lambda jobs include: (1) fetch RSS feeds and keyword-match into DynamoDB News; (2) batch-update prices via CoinGecko and vnstock into the price cache; (3) write portfolio snapshots to DynamoDB and S3; (4) send the daily summary through Amazon SES. This keeps background work separate from user request traffic.</w:t>
      </w:r>
    </w:p>
    <w:p>
      <w:pPr>
        <w:pStyle w:val="Heading3"/>
        <w:spacing w:before="200" w:after="100"/>
        <w:rPr/>
      </w:pPr>
      <w:bookmarkStart w:id="10" w:name="__RefHeading___Toc274_384320648"/>
      <w:bookmarkEnd w:id="10"/>
      <w:r>
        <w:rPr>
          <w:rFonts w:eastAsia="Arial" w:cs="Arial"/>
          <w:b/>
          <w:bCs/>
          <w:color w:val="404040"/>
          <w:sz w:val="24"/>
          <w:szCs w:val="24"/>
        </w:rPr>
        <w:t>External APIs</w:t>
      </w:r>
    </w:p>
    <w:p>
      <w:pPr>
        <w:pStyle w:val="Normal"/>
        <w:spacing w:lineRule="auto" w:line="276" w:before="0" w:after="120"/>
        <w:rPr/>
      </w:pPr>
      <w:r>
        <w:rPr>
          <w:rFonts w:eastAsia="Arial" w:cs="Arial"/>
          <w:b w:val="false"/>
          <w:bCs w:val="false"/>
          <w:i w:val="false"/>
          <w:iCs w:val="false"/>
          <w:sz w:val="22"/>
          <w:szCs w:val="22"/>
        </w:rPr>
        <w:t>CoinGecko supplies cryptocurrency prices and historical data. vnstock supplies Vietnam stock quotes and history. The backend calls both on demand when the user views or refreshes the portfolio. Scheduled Lambda jobs may call the same APIs for batch warm-cache and snapshot work. Free-tier rate limits are managed with caching in DynamoDB and S3.</w:t>
      </w:r>
    </w:p>
    <w:p>
      <w:pPr>
        <w:pStyle w:val="Heading1"/>
        <w:spacing w:before="320" w:after="180"/>
        <w:rPr/>
      </w:pPr>
      <w:bookmarkStart w:id="11" w:name="__RefHeading___Toc276_384320648"/>
      <w:bookmarkEnd w:id="11"/>
      <w:r>
        <w:rPr>
          <w:rFonts w:eastAsia="Arial" w:cs="Arial"/>
          <w:b/>
          <w:bCs/>
          <w:color w:val="1F4E79"/>
          <w:sz w:val="32"/>
          <w:szCs w:val="32"/>
        </w:rPr>
        <w:t>4. Similar Products</w:t>
      </w:r>
    </w:p>
    <w:p>
      <w:pPr>
        <w:pStyle w:val="Normal"/>
        <w:spacing w:lineRule="auto" w:line="276" w:before="0" w:after="120"/>
        <w:rPr>
          <w:rFonts w:eastAsia="Arial" w:cs="Arial"/>
          <w:b w:val="false"/>
          <w:bCs w:val="false"/>
          <w:i w:val="false"/>
          <w:iCs w:val="false"/>
          <w:sz w:val="22"/>
          <w:szCs w:val="22"/>
        </w:rPr>
      </w:pPr>
      <w:r>
        <w:rPr>
          <w:rFonts w:eastAsia="Arial" w:cs="Arial"/>
          <w:b w:val="false"/>
          <w:bCs w:val="false"/>
          <w:i w:val="false"/>
          <w:iCs w:val="false"/>
          <w:sz w:val="22"/>
          <w:szCs w:val="22"/>
        </w:rPr>
        <w:t>Several commercial and free tools partially address portfolio tracking, but none combine crypto and Vietnam equities in a lightweight, student-deployable cloud application with admin-controlled news and email. Table 2 positions OpenPortfo relative to representative products.</w:t>
      </w:r>
    </w:p>
    <w:p>
      <w:pPr>
        <w:pStyle w:val="Normal"/>
        <w:spacing w:lineRule="auto" w:line="276" w:before="0" w:after="120"/>
        <w:rPr>
          <w:rFonts w:eastAsia="Arial" w:cs="Arial"/>
          <w:b w:val="false"/>
          <w:bCs w:val="false"/>
          <w:i w:val="false"/>
          <w:iCs w:val="false"/>
          <w:sz w:val="22"/>
          <w:szCs w:val="22"/>
        </w:rPr>
      </w:pPr>
      <w:r>
        <w:rPr>
          <w:rFonts w:eastAsia="Arial" w:cs="Arial"/>
          <w:b w:val="false"/>
          <w:bCs w:val="false"/>
          <w:i w:val="false"/>
          <w:iCs w:val="false"/>
          <w:sz w:val="22"/>
          <w:szCs w:val="22"/>
        </w:rPr>
      </w:r>
    </w:p>
    <w:p>
      <w:pPr>
        <w:pStyle w:val="Normal"/>
        <w:spacing w:lineRule="auto" w:line="276" w:before="0" w:after="120"/>
        <w:rPr>
          <w:rFonts w:eastAsia="Arial" w:cs="Arial"/>
          <w:b w:val="false"/>
          <w:bCs w:val="false"/>
          <w:i w:val="false"/>
          <w:iCs w:val="false"/>
          <w:sz w:val="22"/>
          <w:szCs w:val="22"/>
        </w:rPr>
      </w:pPr>
      <w:r>
        <w:rPr>
          <w:rFonts w:eastAsia="Arial" w:cs="Arial"/>
          <w:b w:val="false"/>
          <w:bCs w:val="false"/>
          <w:i w:val="false"/>
          <w:iCs w:val="false"/>
          <w:sz w:val="22"/>
          <w:szCs w:val="22"/>
        </w:rPr>
      </w:r>
    </w:p>
    <w:p>
      <w:pPr>
        <w:pStyle w:val="Normal"/>
        <w:spacing w:lineRule="auto" w:line="276" w:before="0" w:after="120"/>
        <w:rPr>
          <w:rFonts w:eastAsia="Arial" w:cs="Arial"/>
          <w:b w:val="false"/>
          <w:bCs w:val="false"/>
          <w:i w:val="false"/>
          <w:iCs w:val="false"/>
          <w:sz w:val="22"/>
          <w:szCs w:val="22"/>
        </w:rPr>
      </w:pPr>
      <w:r>
        <w:rPr>
          <w:rFonts w:eastAsia="Arial" w:cs="Arial"/>
          <w:b w:val="false"/>
          <w:bCs w:val="false"/>
          <w:i w:val="false"/>
          <w:iCs w:val="false"/>
          <w:sz w:val="22"/>
          <w:szCs w:val="22"/>
        </w:rPr>
      </w:r>
    </w:p>
    <w:p>
      <w:pPr>
        <w:pStyle w:val="Normal"/>
        <w:spacing w:lineRule="auto" w:line="276" w:before="0" w:after="120"/>
        <w:rPr>
          <w:rFonts w:eastAsia="Arial" w:cs="Arial"/>
          <w:b w:val="false"/>
          <w:bCs w:val="false"/>
          <w:i w:val="false"/>
          <w:iCs w:val="false"/>
          <w:sz w:val="22"/>
          <w:szCs w:val="22"/>
        </w:rPr>
      </w:pPr>
      <w:r>
        <w:rPr>
          <w:rFonts w:eastAsia="Arial" w:cs="Arial"/>
          <w:b w:val="false"/>
          <w:bCs w:val="false"/>
          <w:i w:val="false"/>
          <w:iCs w:val="false"/>
          <w:sz w:val="22"/>
          <w:szCs w:val="22"/>
        </w:rPr>
      </w:r>
    </w:p>
    <w:tbl>
      <w:tblPr>
        <w:tblW w:w="9026" w:type="dxa"/>
        <w:jc w:val="start"/>
        <w:tblInd w:w="0" w:type="dxa"/>
        <w:tblLayout w:type="fixed"/>
        <w:tblCellMar>
          <w:top w:w="60" w:type="dxa"/>
          <w:start w:w="80" w:type="dxa"/>
          <w:bottom w:w="60" w:type="dxa"/>
          <w:end w:w="80" w:type="dxa"/>
        </w:tblCellMar>
      </w:tblPr>
      <w:tblGrid>
        <w:gridCol w:w="1500"/>
        <w:gridCol w:w="900"/>
        <w:gridCol w:w="1000"/>
        <w:gridCol w:w="1298"/>
        <w:gridCol w:w="900"/>
        <w:gridCol w:w="900"/>
        <w:gridCol w:w="2528"/>
      </w:tblGrid>
      <w:tr>
        <w:trPr>
          <w:tblHeader w:val="true"/>
        </w:trPr>
        <w:tc>
          <w:tcPr>
            <w:tcW w:w="15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before="40" w:after="40"/>
              <w:jc w:val="center"/>
              <w:rPr/>
            </w:pPr>
            <w:r>
              <w:rPr>
                <w:rFonts w:eastAsia="Arial" w:cs="Arial"/>
                <w:b/>
                <w:bCs/>
                <w:color w:val="FFFFFF"/>
                <w:sz w:val="17"/>
                <w:szCs w:val="17"/>
              </w:rPr>
              <w:t>Product</w:t>
            </w:r>
          </w:p>
        </w:tc>
        <w:tc>
          <w:tcPr>
            <w:tcW w:w="9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before="40" w:after="40"/>
              <w:jc w:val="center"/>
              <w:rPr/>
            </w:pPr>
            <w:r>
              <w:rPr>
                <w:rFonts w:eastAsia="Arial" w:cs="Arial"/>
                <w:b/>
                <w:bCs/>
                <w:color w:val="FFFFFF"/>
                <w:sz w:val="17"/>
                <w:szCs w:val="17"/>
              </w:rPr>
              <w:t>Crypto</w:t>
            </w:r>
          </w:p>
        </w:tc>
        <w:tc>
          <w:tcPr>
            <w:tcW w:w="10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before="40" w:after="40"/>
              <w:jc w:val="center"/>
              <w:rPr/>
            </w:pPr>
            <w:r>
              <w:rPr>
                <w:rFonts w:eastAsia="Arial" w:cs="Arial"/>
                <w:b/>
                <w:bCs/>
                <w:color w:val="FFFFFF"/>
                <w:sz w:val="17"/>
                <w:szCs w:val="17"/>
              </w:rPr>
              <w:t>VN stocks</w:t>
            </w:r>
          </w:p>
        </w:tc>
        <w:tc>
          <w:tcPr>
            <w:tcW w:w="1298"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before="40" w:after="40"/>
              <w:jc w:val="center"/>
              <w:rPr/>
            </w:pPr>
            <w:r>
              <w:rPr>
                <w:rFonts w:eastAsia="Arial" w:cs="Arial"/>
                <w:b/>
                <w:bCs/>
                <w:color w:val="FFFFFF"/>
                <w:sz w:val="17"/>
                <w:szCs w:val="17"/>
              </w:rPr>
              <w:t>Unified portfolio</w:t>
            </w:r>
          </w:p>
        </w:tc>
        <w:tc>
          <w:tcPr>
            <w:tcW w:w="9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before="40" w:after="40"/>
              <w:jc w:val="center"/>
              <w:rPr/>
            </w:pPr>
            <w:r>
              <w:rPr>
                <w:rFonts w:eastAsia="Arial" w:cs="Arial"/>
                <w:b/>
                <w:bCs/>
                <w:color w:val="FFFFFF"/>
                <w:sz w:val="17"/>
                <w:szCs w:val="17"/>
              </w:rPr>
              <w:t>News</w:t>
            </w:r>
          </w:p>
        </w:tc>
        <w:tc>
          <w:tcPr>
            <w:tcW w:w="900"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before="40" w:after="40"/>
              <w:jc w:val="center"/>
              <w:rPr/>
            </w:pPr>
            <w:r>
              <w:rPr>
                <w:rFonts w:eastAsia="Arial" w:cs="Arial"/>
                <w:b/>
                <w:bCs/>
                <w:color w:val="FFFFFF"/>
                <w:sz w:val="17"/>
                <w:szCs w:val="17"/>
              </w:rPr>
              <w:t>Email</w:t>
            </w:r>
          </w:p>
        </w:tc>
        <w:tc>
          <w:tcPr>
            <w:tcW w:w="2528" w:type="dxa"/>
            <w:tcBorders>
              <w:top w:val="single" w:sz="2" w:space="0" w:color="1F4E79"/>
              <w:start w:val="single" w:sz="2" w:space="0" w:color="1F4E79"/>
              <w:bottom w:val="single" w:sz="2" w:space="0" w:color="1F4E79"/>
              <w:end w:val="single" w:sz="2" w:space="0" w:color="1F4E79"/>
            </w:tcBorders>
            <w:shd w:fill="1F4E79" w:val="clear"/>
            <w:vAlign w:val="center"/>
          </w:tcPr>
          <w:p>
            <w:pPr>
              <w:pStyle w:val="Normal"/>
              <w:spacing w:before="40" w:after="40"/>
              <w:jc w:val="center"/>
              <w:rPr/>
            </w:pPr>
            <w:r>
              <w:rPr>
                <w:rFonts w:eastAsia="Arial" w:cs="Arial"/>
                <w:b/>
                <w:bCs/>
                <w:color w:val="FFFFFF"/>
                <w:sz w:val="17"/>
                <w:szCs w:val="17"/>
              </w:rPr>
              <w:t>Cloud / self-serve</w:t>
            </w:r>
          </w:p>
        </w:tc>
      </w:tr>
      <w:tr>
        <w:trPr/>
        <w:tc>
          <w:tcPr>
            <w:tcW w:w="1500"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before="40" w:after="40"/>
              <w:jc w:val="start"/>
              <w:rPr/>
            </w:pPr>
            <w:r>
              <w:rPr>
                <w:rFonts w:eastAsia="Arial" w:cs="Arial"/>
                <w:b w:val="false"/>
                <w:bCs w:val="false"/>
                <w:color w:val="1A1A1A"/>
                <w:sz w:val="17"/>
                <w:szCs w:val="17"/>
              </w:rPr>
              <w:t>CoinMarketCap Portfolio</w:t>
            </w:r>
          </w:p>
        </w:tc>
        <w:tc>
          <w:tcPr>
            <w:tcW w:w="900"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before="40" w:after="40"/>
              <w:jc w:val="start"/>
              <w:rPr/>
            </w:pPr>
            <w:r>
              <w:rPr>
                <w:rFonts w:eastAsia="Arial" w:cs="Arial"/>
                <w:b w:val="false"/>
                <w:bCs w:val="false"/>
                <w:color w:val="1A1A1A"/>
                <w:sz w:val="17"/>
                <w:szCs w:val="17"/>
              </w:rPr>
              <w:t>Yes</w:t>
            </w:r>
          </w:p>
        </w:tc>
        <w:tc>
          <w:tcPr>
            <w:tcW w:w="1000"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before="40" w:after="40"/>
              <w:jc w:val="start"/>
              <w:rPr/>
            </w:pPr>
            <w:r>
              <w:rPr>
                <w:rFonts w:eastAsia="Arial" w:cs="Arial"/>
                <w:b w:val="false"/>
                <w:bCs w:val="false"/>
                <w:color w:val="1A1A1A"/>
                <w:sz w:val="17"/>
                <w:szCs w:val="17"/>
              </w:rPr>
              <w:t>No</w:t>
            </w:r>
          </w:p>
        </w:tc>
        <w:tc>
          <w:tcPr>
            <w:tcW w:w="1298"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before="40" w:after="40"/>
              <w:jc w:val="start"/>
              <w:rPr/>
            </w:pPr>
            <w:r>
              <w:rPr>
                <w:rFonts w:eastAsia="Arial" w:cs="Arial"/>
                <w:b w:val="false"/>
                <w:bCs w:val="false"/>
                <w:color w:val="1A1A1A"/>
                <w:sz w:val="17"/>
                <w:szCs w:val="17"/>
              </w:rPr>
              <w:t>Crypto only</w:t>
            </w:r>
          </w:p>
        </w:tc>
        <w:tc>
          <w:tcPr>
            <w:tcW w:w="900"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before="40" w:after="40"/>
              <w:jc w:val="start"/>
              <w:rPr/>
            </w:pPr>
            <w:r>
              <w:rPr>
                <w:rFonts w:eastAsia="Arial" w:cs="Arial"/>
                <w:b w:val="false"/>
                <w:bCs w:val="false"/>
                <w:color w:val="1A1A1A"/>
                <w:sz w:val="17"/>
                <w:szCs w:val="17"/>
              </w:rPr>
              <w:t>Site news</w:t>
            </w:r>
          </w:p>
        </w:tc>
        <w:tc>
          <w:tcPr>
            <w:tcW w:w="900"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before="40" w:after="40"/>
              <w:jc w:val="start"/>
              <w:rPr/>
            </w:pPr>
            <w:r>
              <w:rPr>
                <w:rFonts w:eastAsia="Arial" w:cs="Arial"/>
                <w:b w:val="false"/>
                <w:bCs w:val="false"/>
                <w:color w:val="1A1A1A"/>
                <w:sz w:val="17"/>
                <w:szCs w:val="17"/>
              </w:rPr>
              <w:t>Limited</w:t>
            </w:r>
          </w:p>
        </w:tc>
        <w:tc>
          <w:tcPr>
            <w:tcW w:w="2528"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before="40" w:after="40"/>
              <w:jc w:val="start"/>
              <w:rPr/>
            </w:pPr>
            <w:r>
              <w:rPr>
                <w:rFonts w:eastAsia="Arial" w:cs="Arial"/>
                <w:b w:val="false"/>
                <w:bCs w:val="false"/>
                <w:color w:val="1A1A1A"/>
                <w:sz w:val="17"/>
                <w:szCs w:val="17"/>
              </w:rPr>
              <w:t>SaaS web</w:t>
            </w:r>
          </w:p>
        </w:tc>
      </w:tr>
      <w:tr>
        <w:trPr/>
        <w:tc>
          <w:tcPr>
            <w:tcW w:w="1500" w:type="dxa"/>
            <w:tcBorders>
              <w:top w:val="single" w:sz="2" w:space="0" w:color="1F4E79"/>
              <w:start w:val="single" w:sz="2" w:space="0" w:color="1F4E79"/>
              <w:bottom w:val="single" w:sz="2" w:space="0" w:color="1F4E79"/>
              <w:end w:val="single" w:sz="2" w:space="0" w:color="1F4E79"/>
            </w:tcBorders>
            <w:shd w:fill="F2F7FB" w:val="clear"/>
            <w:vAlign w:val="center"/>
          </w:tcPr>
          <w:p>
            <w:pPr>
              <w:pStyle w:val="Normal"/>
              <w:spacing w:before="40" w:after="40"/>
              <w:jc w:val="start"/>
              <w:rPr/>
            </w:pPr>
            <w:r>
              <w:rPr>
                <w:rFonts w:eastAsia="Arial" w:cs="Arial"/>
                <w:b w:val="false"/>
                <w:bCs w:val="false"/>
                <w:color w:val="1A1A1A"/>
                <w:sz w:val="17"/>
                <w:szCs w:val="17"/>
              </w:rPr>
              <w:t>Delta / Blockfolio-style apps</w:t>
            </w:r>
          </w:p>
        </w:tc>
        <w:tc>
          <w:tcPr>
            <w:tcW w:w="900" w:type="dxa"/>
            <w:tcBorders>
              <w:top w:val="single" w:sz="2" w:space="0" w:color="1F4E79"/>
              <w:start w:val="single" w:sz="2" w:space="0" w:color="1F4E79"/>
              <w:bottom w:val="single" w:sz="2" w:space="0" w:color="1F4E79"/>
              <w:end w:val="single" w:sz="2" w:space="0" w:color="1F4E79"/>
            </w:tcBorders>
            <w:shd w:fill="F2F7FB" w:val="clear"/>
            <w:vAlign w:val="center"/>
          </w:tcPr>
          <w:p>
            <w:pPr>
              <w:pStyle w:val="Normal"/>
              <w:spacing w:before="40" w:after="40"/>
              <w:jc w:val="start"/>
              <w:rPr/>
            </w:pPr>
            <w:r>
              <w:rPr>
                <w:rFonts w:eastAsia="Arial" w:cs="Arial"/>
                <w:b w:val="false"/>
                <w:bCs w:val="false"/>
                <w:color w:val="1A1A1A"/>
                <w:sz w:val="17"/>
                <w:szCs w:val="17"/>
              </w:rPr>
              <w:t>Yes</w:t>
            </w:r>
          </w:p>
        </w:tc>
        <w:tc>
          <w:tcPr>
            <w:tcW w:w="1000" w:type="dxa"/>
            <w:tcBorders>
              <w:top w:val="single" w:sz="2" w:space="0" w:color="1F4E79"/>
              <w:start w:val="single" w:sz="2" w:space="0" w:color="1F4E79"/>
              <w:bottom w:val="single" w:sz="2" w:space="0" w:color="1F4E79"/>
              <w:end w:val="single" w:sz="2" w:space="0" w:color="1F4E79"/>
            </w:tcBorders>
            <w:shd w:fill="F2F7FB" w:val="clear"/>
            <w:vAlign w:val="center"/>
          </w:tcPr>
          <w:p>
            <w:pPr>
              <w:pStyle w:val="Normal"/>
              <w:spacing w:before="40" w:after="40"/>
              <w:jc w:val="start"/>
              <w:rPr/>
            </w:pPr>
            <w:r>
              <w:rPr>
                <w:rFonts w:eastAsia="Arial" w:cs="Arial"/>
                <w:b w:val="false"/>
                <w:bCs w:val="false"/>
                <w:color w:val="1A1A1A"/>
                <w:sz w:val="17"/>
                <w:szCs w:val="17"/>
              </w:rPr>
              <w:t>No</w:t>
            </w:r>
          </w:p>
        </w:tc>
        <w:tc>
          <w:tcPr>
            <w:tcW w:w="1298" w:type="dxa"/>
            <w:tcBorders>
              <w:top w:val="single" w:sz="2" w:space="0" w:color="1F4E79"/>
              <w:start w:val="single" w:sz="2" w:space="0" w:color="1F4E79"/>
              <w:bottom w:val="single" w:sz="2" w:space="0" w:color="1F4E79"/>
              <w:end w:val="single" w:sz="2" w:space="0" w:color="1F4E79"/>
            </w:tcBorders>
            <w:shd w:fill="F2F7FB" w:val="clear"/>
            <w:vAlign w:val="center"/>
          </w:tcPr>
          <w:p>
            <w:pPr>
              <w:pStyle w:val="Normal"/>
              <w:spacing w:before="40" w:after="40"/>
              <w:jc w:val="start"/>
              <w:rPr/>
            </w:pPr>
            <w:r>
              <w:rPr>
                <w:rFonts w:eastAsia="Arial" w:cs="Arial"/>
                <w:b w:val="false"/>
                <w:bCs w:val="false"/>
                <w:color w:val="1A1A1A"/>
                <w:sz w:val="17"/>
                <w:szCs w:val="17"/>
              </w:rPr>
              <w:t>Crypto only</w:t>
            </w:r>
          </w:p>
        </w:tc>
        <w:tc>
          <w:tcPr>
            <w:tcW w:w="900" w:type="dxa"/>
            <w:tcBorders>
              <w:top w:val="single" w:sz="2" w:space="0" w:color="1F4E79"/>
              <w:start w:val="single" w:sz="2" w:space="0" w:color="1F4E79"/>
              <w:bottom w:val="single" w:sz="2" w:space="0" w:color="1F4E79"/>
              <w:end w:val="single" w:sz="2" w:space="0" w:color="1F4E79"/>
            </w:tcBorders>
            <w:shd w:fill="F2F7FB" w:val="clear"/>
            <w:vAlign w:val="center"/>
          </w:tcPr>
          <w:p>
            <w:pPr>
              <w:pStyle w:val="Normal"/>
              <w:spacing w:before="40" w:after="40"/>
              <w:jc w:val="start"/>
              <w:rPr/>
            </w:pPr>
            <w:r>
              <w:rPr>
                <w:rFonts w:eastAsia="Arial" w:cs="Arial"/>
                <w:b w:val="false"/>
                <w:bCs w:val="false"/>
                <w:color w:val="1A1A1A"/>
                <w:sz w:val="17"/>
                <w:szCs w:val="17"/>
              </w:rPr>
              <w:t>Alerts</w:t>
            </w:r>
          </w:p>
        </w:tc>
        <w:tc>
          <w:tcPr>
            <w:tcW w:w="900" w:type="dxa"/>
            <w:tcBorders>
              <w:top w:val="single" w:sz="2" w:space="0" w:color="1F4E79"/>
              <w:start w:val="single" w:sz="2" w:space="0" w:color="1F4E79"/>
              <w:bottom w:val="single" w:sz="2" w:space="0" w:color="1F4E79"/>
              <w:end w:val="single" w:sz="2" w:space="0" w:color="1F4E79"/>
            </w:tcBorders>
            <w:shd w:fill="F2F7FB" w:val="clear"/>
            <w:vAlign w:val="center"/>
          </w:tcPr>
          <w:p>
            <w:pPr>
              <w:pStyle w:val="Normal"/>
              <w:spacing w:before="40" w:after="40"/>
              <w:jc w:val="start"/>
              <w:rPr/>
            </w:pPr>
            <w:r>
              <w:rPr>
                <w:rFonts w:eastAsia="Arial" w:cs="Arial"/>
                <w:b w:val="false"/>
                <w:bCs w:val="false"/>
                <w:color w:val="1A1A1A"/>
                <w:sz w:val="17"/>
                <w:szCs w:val="17"/>
              </w:rPr>
              <w:t>Push</w:t>
            </w:r>
          </w:p>
        </w:tc>
        <w:tc>
          <w:tcPr>
            <w:tcW w:w="2528" w:type="dxa"/>
            <w:tcBorders>
              <w:top w:val="single" w:sz="2" w:space="0" w:color="1F4E79"/>
              <w:start w:val="single" w:sz="2" w:space="0" w:color="1F4E79"/>
              <w:bottom w:val="single" w:sz="2" w:space="0" w:color="1F4E79"/>
              <w:end w:val="single" w:sz="2" w:space="0" w:color="1F4E79"/>
            </w:tcBorders>
            <w:shd w:fill="F2F7FB" w:val="clear"/>
            <w:vAlign w:val="center"/>
          </w:tcPr>
          <w:p>
            <w:pPr>
              <w:pStyle w:val="Normal"/>
              <w:spacing w:before="40" w:after="40"/>
              <w:jc w:val="start"/>
              <w:rPr/>
            </w:pPr>
            <w:r>
              <w:rPr>
                <w:rFonts w:eastAsia="Arial" w:cs="Arial"/>
                <w:b w:val="false"/>
                <w:bCs w:val="false"/>
                <w:color w:val="1A1A1A"/>
                <w:sz w:val="17"/>
                <w:szCs w:val="17"/>
              </w:rPr>
              <w:t>Mobile SaaS</w:t>
            </w:r>
          </w:p>
        </w:tc>
      </w:tr>
      <w:tr>
        <w:trPr/>
        <w:tc>
          <w:tcPr>
            <w:tcW w:w="1500"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before="40" w:after="40"/>
              <w:jc w:val="start"/>
              <w:rPr/>
            </w:pPr>
            <w:r>
              <w:rPr>
                <w:rFonts w:eastAsia="Arial" w:cs="Arial"/>
                <w:b w:val="false"/>
                <w:bCs w:val="false"/>
                <w:color w:val="1A1A1A"/>
                <w:sz w:val="17"/>
                <w:szCs w:val="17"/>
              </w:rPr>
              <w:t>Yahoo Finance</w:t>
            </w:r>
          </w:p>
        </w:tc>
        <w:tc>
          <w:tcPr>
            <w:tcW w:w="900"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before="40" w:after="40"/>
              <w:jc w:val="start"/>
              <w:rPr/>
            </w:pPr>
            <w:r>
              <w:rPr>
                <w:rFonts w:eastAsia="Arial" w:cs="Arial"/>
                <w:b w:val="false"/>
                <w:bCs w:val="false"/>
                <w:color w:val="1A1A1A"/>
                <w:sz w:val="17"/>
                <w:szCs w:val="17"/>
              </w:rPr>
              <w:t>Limited</w:t>
            </w:r>
          </w:p>
        </w:tc>
        <w:tc>
          <w:tcPr>
            <w:tcW w:w="1000"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before="40" w:after="40"/>
              <w:jc w:val="start"/>
              <w:rPr/>
            </w:pPr>
            <w:r>
              <w:rPr>
                <w:rFonts w:eastAsia="Arial" w:cs="Arial"/>
                <w:b w:val="false"/>
                <w:bCs w:val="false"/>
                <w:color w:val="1A1A1A"/>
                <w:sz w:val="17"/>
                <w:szCs w:val="17"/>
              </w:rPr>
              <w:t>Limited VN</w:t>
            </w:r>
          </w:p>
        </w:tc>
        <w:tc>
          <w:tcPr>
            <w:tcW w:w="1298"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before="40" w:after="40"/>
              <w:jc w:val="start"/>
              <w:rPr/>
            </w:pPr>
            <w:r>
              <w:rPr>
                <w:rFonts w:eastAsia="Arial" w:cs="Arial"/>
                <w:b w:val="false"/>
                <w:bCs w:val="false"/>
                <w:color w:val="1A1A1A"/>
                <w:sz w:val="17"/>
                <w:szCs w:val="17"/>
              </w:rPr>
              <w:t>Multi-asset (global)</w:t>
            </w:r>
          </w:p>
        </w:tc>
        <w:tc>
          <w:tcPr>
            <w:tcW w:w="900"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before="40" w:after="40"/>
              <w:jc w:val="start"/>
              <w:rPr/>
            </w:pPr>
            <w:r>
              <w:rPr>
                <w:rFonts w:eastAsia="Arial" w:cs="Arial"/>
                <w:b w:val="false"/>
                <w:bCs w:val="false"/>
                <w:color w:val="1A1A1A"/>
                <w:sz w:val="17"/>
                <w:szCs w:val="17"/>
              </w:rPr>
              <w:t>Yes</w:t>
            </w:r>
          </w:p>
        </w:tc>
        <w:tc>
          <w:tcPr>
            <w:tcW w:w="900"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before="40" w:after="40"/>
              <w:jc w:val="start"/>
              <w:rPr/>
            </w:pPr>
            <w:r>
              <w:rPr>
                <w:rFonts w:eastAsia="Arial" w:cs="Arial"/>
                <w:b w:val="false"/>
                <w:bCs w:val="false"/>
                <w:color w:val="1A1A1A"/>
                <w:sz w:val="17"/>
                <w:szCs w:val="17"/>
              </w:rPr>
              <w:t>Alerts</w:t>
            </w:r>
          </w:p>
        </w:tc>
        <w:tc>
          <w:tcPr>
            <w:tcW w:w="2528"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before="40" w:after="40"/>
              <w:jc w:val="start"/>
              <w:rPr/>
            </w:pPr>
            <w:r>
              <w:rPr>
                <w:rFonts w:eastAsia="Arial" w:cs="Arial"/>
                <w:b w:val="false"/>
                <w:bCs w:val="false"/>
                <w:color w:val="1A1A1A"/>
                <w:sz w:val="17"/>
                <w:szCs w:val="17"/>
              </w:rPr>
              <w:t>SaaS web/app</w:t>
            </w:r>
          </w:p>
        </w:tc>
      </w:tr>
      <w:tr>
        <w:trPr/>
        <w:tc>
          <w:tcPr>
            <w:tcW w:w="1500" w:type="dxa"/>
            <w:tcBorders>
              <w:top w:val="single" w:sz="2" w:space="0" w:color="1F4E79"/>
              <w:start w:val="single" w:sz="2" w:space="0" w:color="1F4E79"/>
              <w:bottom w:val="single" w:sz="2" w:space="0" w:color="1F4E79"/>
              <w:end w:val="single" w:sz="2" w:space="0" w:color="1F4E79"/>
            </w:tcBorders>
            <w:shd w:fill="F2F7FB" w:val="clear"/>
            <w:vAlign w:val="center"/>
          </w:tcPr>
          <w:p>
            <w:pPr>
              <w:pStyle w:val="Normal"/>
              <w:spacing w:before="40" w:after="40"/>
              <w:jc w:val="start"/>
              <w:rPr/>
            </w:pPr>
            <w:r>
              <w:rPr>
                <w:rFonts w:eastAsia="Arial" w:cs="Arial"/>
                <w:b w:val="false"/>
                <w:bCs w:val="false"/>
                <w:color w:val="1A1A1A"/>
                <w:sz w:val="17"/>
                <w:szCs w:val="17"/>
              </w:rPr>
              <w:t>CafeF / TCBS investor tools</w:t>
            </w:r>
          </w:p>
        </w:tc>
        <w:tc>
          <w:tcPr>
            <w:tcW w:w="900" w:type="dxa"/>
            <w:tcBorders>
              <w:top w:val="single" w:sz="2" w:space="0" w:color="1F4E79"/>
              <w:start w:val="single" w:sz="2" w:space="0" w:color="1F4E79"/>
              <w:bottom w:val="single" w:sz="2" w:space="0" w:color="1F4E79"/>
              <w:end w:val="single" w:sz="2" w:space="0" w:color="1F4E79"/>
            </w:tcBorders>
            <w:shd w:fill="F2F7FB" w:val="clear"/>
            <w:vAlign w:val="center"/>
          </w:tcPr>
          <w:p>
            <w:pPr>
              <w:pStyle w:val="Normal"/>
              <w:spacing w:before="40" w:after="40"/>
              <w:jc w:val="start"/>
              <w:rPr/>
            </w:pPr>
            <w:r>
              <w:rPr>
                <w:rFonts w:eastAsia="Arial" w:cs="Arial"/>
                <w:b w:val="false"/>
                <w:bCs w:val="false"/>
                <w:color w:val="1A1A1A"/>
                <w:sz w:val="17"/>
                <w:szCs w:val="17"/>
              </w:rPr>
              <w:t>No</w:t>
            </w:r>
          </w:p>
        </w:tc>
        <w:tc>
          <w:tcPr>
            <w:tcW w:w="1000" w:type="dxa"/>
            <w:tcBorders>
              <w:top w:val="single" w:sz="2" w:space="0" w:color="1F4E79"/>
              <w:start w:val="single" w:sz="2" w:space="0" w:color="1F4E79"/>
              <w:bottom w:val="single" w:sz="2" w:space="0" w:color="1F4E79"/>
              <w:end w:val="single" w:sz="2" w:space="0" w:color="1F4E79"/>
            </w:tcBorders>
            <w:shd w:fill="F2F7FB" w:val="clear"/>
            <w:vAlign w:val="center"/>
          </w:tcPr>
          <w:p>
            <w:pPr>
              <w:pStyle w:val="Normal"/>
              <w:spacing w:before="40" w:after="40"/>
              <w:jc w:val="start"/>
              <w:rPr/>
            </w:pPr>
            <w:r>
              <w:rPr>
                <w:rFonts w:eastAsia="Arial" w:cs="Arial"/>
                <w:b w:val="false"/>
                <w:bCs w:val="false"/>
                <w:color w:val="1A1A1A"/>
                <w:sz w:val="17"/>
                <w:szCs w:val="17"/>
              </w:rPr>
              <w:t>Yes</w:t>
            </w:r>
          </w:p>
        </w:tc>
        <w:tc>
          <w:tcPr>
            <w:tcW w:w="1298" w:type="dxa"/>
            <w:tcBorders>
              <w:top w:val="single" w:sz="2" w:space="0" w:color="1F4E79"/>
              <w:start w:val="single" w:sz="2" w:space="0" w:color="1F4E79"/>
              <w:bottom w:val="single" w:sz="2" w:space="0" w:color="1F4E79"/>
              <w:end w:val="single" w:sz="2" w:space="0" w:color="1F4E79"/>
            </w:tcBorders>
            <w:shd w:fill="F2F7FB" w:val="clear"/>
            <w:vAlign w:val="center"/>
          </w:tcPr>
          <w:p>
            <w:pPr>
              <w:pStyle w:val="Normal"/>
              <w:spacing w:before="40" w:after="40"/>
              <w:jc w:val="start"/>
              <w:rPr/>
            </w:pPr>
            <w:r>
              <w:rPr>
                <w:rFonts w:eastAsia="Arial" w:cs="Arial"/>
                <w:b w:val="false"/>
                <w:bCs w:val="false"/>
                <w:color w:val="1A1A1A"/>
                <w:sz w:val="17"/>
                <w:szCs w:val="17"/>
              </w:rPr>
              <w:t>VN equities focus</w:t>
            </w:r>
          </w:p>
        </w:tc>
        <w:tc>
          <w:tcPr>
            <w:tcW w:w="900" w:type="dxa"/>
            <w:tcBorders>
              <w:top w:val="single" w:sz="2" w:space="0" w:color="1F4E79"/>
              <w:start w:val="single" w:sz="2" w:space="0" w:color="1F4E79"/>
              <w:bottom w:val="single" w:sz="2" w:space="0" w:color="1F4E79"/>
              <w:end w:val="single" w:sz="2" w:space="0" w:color="1F4E79"/>
            </w:tcBorders>
            <w:shd w:fill="F2F7FB" w:val="clear"/>
            <w:vAlign w:val="center"/>
          </w:tcPr>
          <w:p>
            <w:pPr>
              <w:pStyle w:val="Normal"/>
              <w:spacing w:before="40" w:after="40"/>
              <w:jc w:val="start"/>
              <w:rPr/>
            </w:pPr>
            <w:r>
              <w:rPr>
                <w:rFonts w:eastAsia="Arial" w:cs="Arial"/>
                <w:b w:val="false"/>
                <w:bCs w:val="false"/>
                <w:color w:val="1A1A1A"/>
                <w:sz w:val="17"/>
                <w:szCs w:val="17"/>
              </w:rPr>
              <w:t>Market news</w:t>
            </w:r>
          </w:p>
        </w:tc>
        <w:tc>
          <w:tcPr>
            <w:tcW w:w="900" w:type="dxa"/>
            <w:tcBorders>
              <w:top w:val="single" w:sz="2" w:space="0" w:color="1F4E79"/>
              <w:start w:val="single" w:sz="2" w:space="0" w:color="1F4E79"/>
              <w:bottom w:val="single" w:sz="2" w:space="0" w:color="1F4E79"/>
              <w:end w:val="single" w:sz="2" w:space="0" w:color="1F4E79"/>
            </w:tcBorders>
            <w:shd w:fill="F2F7FB" w:val="clear"/>
            <w:vAlign w:val="center"/>
          </w:tcPr>
          <w:p>
            <w:pPr>
              <w:pStyle w:val="Normal"/>
              <w:spacing w:before="40" w:after="40"/>
              <w:jc w:val="start"/>
              <w:rPr/>
            </w:pPr>
            <w:r>
              <w:rPr>
                <w:rFonts w:eastAsia="Arial" w:cs="Arial"/>
                <w:b w:val="false"/>
                <w:bCs w:val="false"/>
                <w:color w:val="1A1A1A"/>
                <w:sz w:val="17"/>
                <w:szCs w:val="17"/>
              </w:rPr>
              <w:t>Varies</w:t>
            </w:r>
          </w:p>
        </w:tc>
        <w:tc>
          <w:tcPr>
            <w:tcW w:w="2528" w:type="dxa"/>
            <w:tcBorders>
              <w:top w:val="single" w:sz="2" w:space="0" w:color="1F4E79"/>
              <w:start w:val="single" w:sz="2" w:space="0" w:color="1F4E79"/>
              <w:bottom w:val="single" w:sz="2" w:space="0" w:color="1F4E79"/>
              <w:end w:val="single" w:sz="2" w:space="0" w:color="1F4E79"/>
            </w:tcBorders>
            <w:shd w:fill="F2F7FB" w:val="clear"/>
            <w:vAlign w:val="center"/>
          </w:tcPr>
          <w:p>
            <w:pPr>
              <w:pStyle w:val="Normal"/>
              <w:spacing w:before="40" w:after="40"/>
              <w:jc w:val="start"/>
              <w:rPr/>
            </w:pPr>
            <w:r>
              <w:rPr>
                <w:rFonts w:eastAsia="Arial" w:cs="Arial"/>
                <w:b w:val="false"/>
                <w:bCs w:val="false"/>
                <w:color w:val="1A1A1A"/>
                <w:sz w:val="17"/>
                <w:szCs w:val="17"/>
              </w:rPr>
              <w:t>Local broker portals</w:t>
            </w:r>
          </w:p>
        </w:tc>
      </w:tr>
      <w:tr>
        <w:trPr/>
        <w:tc>
          <w:tcPr>
            <w:tcW w:w="1500"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before="40" w:after="40"/>
              <w:jc w:val="start"/>
              <w:rPr/>
            </w:pPr>
            <w:r>
              <w:rPr>
                <w:rFonts w:eastAsia="Arial" w:cs="Arial"/>
                <w:b w:val="false"/>
                <w:bCs w:val="false"/>
                <w:color w:val="1A1A1A"/>
                <w:sz w:val="17"/>
                <w:szCs w:val="17"/>
              </w:rPr>
              <w:t>Google Sheets trackers</w:t>
            </w:r>
          </w:p>
        </w:tc>
        <w:tc>
          <w:tcPr>
            <w:tcW w:w="900"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before="40" w:after="40"/>
              <w:jc w:val="start"/>
              <w:rPr/>
            </w:pPr>
            <w:r>
              <w:rPr>
                <w:rFonts w:eastAsia="Arial" w:cs="Arial"/>
                <w:b w:val="false"/>
                <w:bCs w:val="false"/>
                <w:color w:val="1A1A1A"/>
                <w:sz w:val="17"/>
                <w:szCs w:val="17"/>
              </w:rPr>
              <w:t>Manual</w:t>
            </w:r>
          </w:p>
        </w:tc>
        <w:tc>
          <w:tcPr>
            <w:tcW w:w="1000"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before="40" w:after="40"/>
              <w:jc w:val="start"/>
              <w:rPr/>
            </w:pPr>
            <w:r>
              <w:rPr>
                <w:rFonts w:eastAsia="Arial" w:cs="Arial"/>
                <w:b w:val="false"/>
                <w:bCs w:val="false"/>
                <w:color w:val="1A1A1A"/>
                <w:sz w:val="17"/>
                <w:szCs w:val="17"/>
              </w:rPr>
              <w:t>Manual</w:t>
            </w:r>
          </w:p>
        </w:tc>
        <w:tc>
          <w:tcPr>
            <w:tcW w:w="1298"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before="40" w:after="40"/>
              <w:jc w:val="start"/>
              <w:rPr/>
            </w:pPr>
            <w:r>
              <w:rPr>
                <w:rFonts w:eastAsia="Arial" w:cs="Arial"/>
                <w:b w:val="false"/>
                <w:bCs w:val="false"/>
                <w:color w:val="1A1A1A"/>
                <w:sz w:val="17"/>
                <w:szCs w:val="17"/>
              </w:rPr>
              <w:t>If user builds it</w:t>
            </w:r>
          </w:p>
        </w:tc>
        <w:tc>
          <w:tcPr>
            <w:tcW w:w="900"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before="40" w:after="40"/>
              <w:jc w:val="start"/>
              <w:rPr/>
            </w:pPr>
            <w:r>
              <w:rPr>
                <w:rFonts w:eastAsia="Arial" w:cs="Arial"/>
                <w:b w:val="false"/>
                <w:bCs w:val="false"/>
                <w:color w:val="1A1A1A"/>
                <w:sz w:val="17"/>
                <w:szCs w:val="17"/>
              </w:rPr>
              <w:t>No</w:t>
            </w:r>
          </w:p>
        </w:tc>
        <w:tc>
          <w:tcPr>
            <w:tcW w:w="900"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before="40" w:after="40"/>
              <w:jc w:val="start"/>
              <w:rPr/>
            </w:pPr>
            <w:r>
              <w:rPr>
                <w:rFonts w:eastAsia="Arial" w:cs="Arial"/>
                <w:b w:val="false"/>
                <w:bCs w:val="false"/>
                <w:color w:val="1A1A1A"/>
                <w:sz w:val="17"/>
                <w:szCs w:val="17"/>
              </w:rPr>
              <w:t>No</w:t>
            </w:r>
          </w:p>
        </w:tc>
        <w:tc>
          <w:tcPr>
            <w:tcW w:w="2528" w:type="dxa"/>
            <w:tcBorders>
              <w:top w:val="single" w:sz="2" w:space="0" w:color="1F4E79"/>
              <w:start w:val="single" w:sz="2" w:space="0" w:color="1F4E79"/>
              <w:bottom w:val="single" w:sz="2" w:space="0" w:color="1F4E79"/>
              <w:end w:val="single" w:sz="2" w:space="0" w:color="1F4E79"/>
            </w:tcBorders>
            <w:shd w:fill="FFFFFF" w:val="clear"/>
            <w:vAlign w:val="center"/>
          </w:tcPr>
          <w:p>
            <w:pPr>
              <w:pStyle w:val="Normal"/>
              <w:spacing w:before="40" w:after="40"/>
              <w:jc w:val="start"/>
              <w:rPr/>
            </w:pPr>
            <w:r>
              <w:rPr>
                <w:rFonts w:eastAsia="Arial" w:cs="Arial"/>
                <w:b w:val="false"/>
                <w:bCs w:val="false"/>
                <w:color w:val="1A1A1A"/>
                <w:sz w:val="17"/>
                <w:szCs w:val="17"/>
              </w:rPr>
              <w:t>DIY spreadsheet</w:t>
            </w:r>
          </w:p>
        </w:tc>
      </w:tr>
      <w:tr>
        <w:trPr/>
        <w:tc>
          <w:tcPr>
            <w:tcW w:w="1500" w:type="dxa"/>
            <w:tcBorders>
              <w:top w:val="single" w:sz="2" w:space="0" w:color="1F4E79"/>
              <w:start w:val="single" w:sz="2" w:space="0" w:color="1F4E79"/>
              <w:bottom w:val="single" w:sz="2" w:space="0" w:color="1F4E79"/>
              <w:end w:val="single" w:sz="2" w:space="0" w:color="1F4E79"/>
            </w:tcBorders>
            <w:shd w:fill="F2F7FB" w:val="clear"/>
            <w:vAlign w:val="center"/>
          </w:tcPr>
          <w:p>
            <w:pPr>
              <w:pStyle w:val="Normal"/>
              <w:spacing w:before="40" w:after="40"/>
              <w:jc w:val="start"/>
              <w:rPr/>
            </w:pPr>
            <w:r>
              <w:rPr>
                <w:rFonts w:eastAsia="Arial" w:cs="Arial"/>
                <w:b w:val="false"/>
                <w:bCs w:val="false"/>
                <w:color w:val="1A1A1A"/>
                <w:sz w:val="17"/>
                <w:szCs w:val="17"/>
              </w:rPr>
              <w:t>OpenPortfo (this work)</w:t>
            </w:r>
          </w:p>
        </w:tc>
        <w:tc>
          <w:tcPr>
            <w:tcW w:w="900" w:type="dxa"/>
            <w:tcBorders>
              <w:top w:val="single" w:sz="2" w:space="0" w:color="1F4E79"/>
              <w:start w:val="single" w:sz="2" w:space="0" w:color="1F4E79"/>
              <w:bottom w:val="single" w:sz="2" w:space="0" w:color="1F4E79"/>
              <w:end w:val="single" w:sz="2" w:space="0" w:color="1F4E79"/>
            </w:tcBorders>
            <w:shd w:fill="F2F7FB" w:val="clear"/>
            <w:vAlign w:val="center"/>
          </w:tcPr>
          <w:p>
            <w:pPr>
              <w:pStyle w:val="Normal"/>
              <w:spacing w:before="40" w:after="40"/>
              <w:jc w:val="start"/>
              <w:rPr/>
            </w:pPr>
            <w:r>
              <w:rPr>
                <w:rFonts w:eastAsia="Arial" w:cs="Arial"/>
                <w:b w:val="false"/>
                <w:bCs w:val="false"/>
                <w:color w:val="1A1A1A"/>
                <w:sz w:val="17"/>
                <w:szCs w:val="17"/>
              </w:rPr>
              <w:t>Yes (CoinGecko)</w:t>
            </w:r>
          </w:p>
        </w:tc>
        <w:tc>
          <w:tcPr>
            <w:tcW w:w="1000" w:type="dxa"/>
            <w:tcBorders>
              <w:top w:val="single" w:sz="2" w:space="0" w:color="1F4E79"/>
              <w:start w:val="single" w:sz="2" w:space="0" w:color="1F4E79"/>
              <w:bottom w:val="single" w:sz="2" w:space="0" w:color="1F4E79"/>
              <w:end w:val="single" w:sz="2" w:space="0" w:color="1F4E79"/>
            </w:tcBorders>
            <w:shd w:fill="F2F7FB" w:val="clear"/>
            <w:vAlign w:val="center"/>
          </w:tcPr>
          <w:p>
            <w:pPr>
              <w:pStyle w:val="Normal"/>
              <w:spacing w:before="40" w:after="40"/>
              <w:jc w:val="start"/>
              <w:rPr/>
            </w:pPr>
            <w:r>
              <w:rPr>
                <w:rFonts w:eastAsia="Arial" w:cs="Arial"/>
                <w:b w:val="false"/>
                <w:bCs w:val="false"/>
                <w:color w:val="1A1A1A"/>
                <w:sz w:val="17"/>
                <w:szCs w:val="17"/>
              </w:rPr>
              <w:t>Yes (vnstock)</w:t>
            </w:r>
          </w:p>
        </w:tc>
        <w:tc>
          <w:tcPr>
            <w:tcW w:w="1298" w:type="dxa"/>
            <w:tcBorders>
              <w:top w:val="single" w:sz="2" w:space="0" w:color="1F4E79"/>
              <w:start w:val="single" w:sz="2" w:space="0" w:color="1F4E79"/>
              <w:bottom w:val="single" w:sz="2" w:space="0" w:color="1F4E79"/>
              <w:end w:val="single" w:sz="2" w:space="0" w:color="1F4E79"/>
            </w:tcBorders>
            <w:shd w:fill="F2F7FB" w:val="clear"/>
            <w:vAlign w:val="center"/>
          </w:tcPr>
          <w:p>
            <w:pPr>
              <w:pStyle w:val="Normal"/>
              <w:spacing w:before="40" w:after="40"/>
              <w:jc w:val="start"/>
              <w:rPr/>
            </w:pPr>
            <w:r>
              <w:rPr>
                <w:rFonts w:eastAsia="Arial" w:cs="Arial"/>
                <w:b w:val="false"/>
                <w:bCs w:val="false"/>
                <w:color w:val="1A1A1A"/>
                <w:sz w:val="17"/>
                <w:szCs w:val="17"/>
              </w:rPr>
              <w:t>Yes (crypto + VN)</w:t>
            </w:r>
          </w:p>
        </w:tc>
        <w:tc>
          <w:tcPr>
            <w:tcW w:w="900" w:type="dxa"/>
            <w:tcBorders>
              <w:top w:val="single" w:sz="2" w:space="0" w:color="1F4E79"/>
              <w:start w:val="single" w:sz="2" w:space="0" w:color="1F4E79"/>
              <w:bottom w:val="single" w:sz="2" w:space="0" w:color="1F4E79"/>
              <w:end w:val="single" w:sz="2" w:space="0" w:color="1F4E79"/>
            </w:tcBorders>
            <w:shd w:fill="F2F7FB" w:val="clear"/>
            <w:vAlign w:val="center"/>
          </w:tcPr>
          <w:p>
            <w:pPr>
              <w:pStyle w:val="Normal"/>
              <w:spacing w:before="40" w:after="40"/>
              <w:jc w:val="start"/>
              <w:rPr/>
            </w:pPr>
            <w:r>
              <w:rPr>
                <w:rFonts w:eastAsia="Arial" w:cs="Arial"/>
                <w:b w:val="false"/>
                <w:bCs w:val="false"/>
                <w:color w:val="1A1A1A"/>
                <w:sz w:val="17"/>
                <w:szCs w:val="17"/>
              </w:rPr>
              <w:t>RSS + keywords</w:t>
            </w:r>
          </w:p>
        </w:tc>
        <w:tc>
          <w:tcPr>
            <w:tcW w:w="900" w:type="dxa"/>
            <w:tcBorders>
              <w:top w:val="single" w:sz="2" w:space="0" w:color="1F4E79"/>
              <w:start w:val="single" w:sz="2" w:space="0" w:color="1F4E79"/>
              <w:bottom w:val="single" w:sz="2" w:space="0" w:color="1F4E79"/>
              <w:end w:val="single" w:sz="2" w:space="0" w:color="1F4E79"/>
            </w:tcBorders>
            <w:shd w:fill="F2F7FB" w:val="clear"/>
            <w:vAlign w:val="center"/>
          </w:tcPr>
          <w:p>
            <w:pPr>
              <w:pStyle w:val="Normal"/>
              <w:spacing w:before="40" w:after="40"/>
              <w:jc w:val="start"/>
              <w:rPr/>
            </w:pPr>
            <w:r>
              <w:rPr>
                <w:rFonts w:eastAsia="Arial" w:cs="Arial"/>
                <w:b w:val="false"/>
                <w:bCs w:val="false"/>
                <w:color w:val="1A1A1A"/>
                <w:sz w:val="17"/>
                <w:szCs w:val="17"/>
              </w:rPr>
              <w:t>Daily SES</w:t>
            </w:r>
          </w:p>
        </w:tc>
        <w:tc>
          <w:tcPr>
            <w:tcW w:w="2528" w:type="dxa"/>
            <w:tcBorders>
              <w:top w:val="single" w:sz="2" w:space="0" w:color="1F4E79"/>
              <w:start w:val="single" w:sz="2" w:space="0" w:color="1F4E79"/>
              <w:bottom w:val="single" w:sz="2" w:space="0" w:color="1F4E79"/>
              <w:end w:val="single" w:sz="2" w:space="0" w:color="1F4E79"/>
            </w:tcBorders>
            <w:shd w:fill="F2F7FB" w:val="clear"/>
            <w:vAlign w:val="center"/>
          </w:tcPr>
          <w:p>
            <w:pPr>
              <w:pStyle w:val="Normal"/>
              <w:spacing w:before="40" w:after="40"/>
              <w:jc w:val="start"/>
              <w:rPr/>
            </w:pPr>
            <w:r>
              <w:rPr>
                <w:rFonts w:eastAsia="Arial" w:cs="Arial"/>
                <w:b w:val="false"/>
                <w:bCs w:val="false"/>
                <w:color w:val="1A1A1A"/>
                <w:sz w:val="17"/>
                <w:szCs w:val="17"/>
              </w:rPr>
              <w:t>AWS self-deploy ≤ $50</w:t>
            </w:r>
          </w:p>
        </w:tc>
      </w:tr>
    </w:tbl>
    <w:p>
      <w:pPr>
        <w:pStyle w:val="Normal"/>
        <w:spacing w:lineRule="auto" w:line="276" w:before="80" w:after="80"/>
        <w:jc w:val="center"/>
        <w:rPr/>
      </w:pPr>
      <w:r>
        <w:rPr>
          <w:rFonts w:eastAsia="Arial" w:cs="Arial"/>
          <w:b/>
          <w:bCs/>
          <w:i w:val="false"/>
          <w:iCs w:val="false"/>
          <w:sz w:val="20"/>
          <w:szCs w:val="20"/>
        </w:rPr>
        <w:t>Table 2. Comparison of related products and OpenPortfo.</w:t>
      </w:r>
    </w:p>
    <w:p>
      <w:pPr>
        <w:pStyle w:val="Normal"/>
        <w:spacing w:before="0" w:after="160"/>
        <w:rPr/>
      </w:pPr>
      <w:r>
        <w:rPr/>
      </w:r>
    </w:p>
    <w:p>
      <w:pPr>
        <w:pStyle w:val="Normal"/>
        <w:spacing w:lineRule="auto" w:line="276" w:before="0" w:after="120"/>
        <w:rPr/>
      </w:pPr>
      <w:r>
        <w:rPr>
          <w:rFonts w:eastAsia="Arial" w:cs="Arial"/>
          <w:b w:val="false"/>
          <w:bCs w:val="false"/>
          <w:i w:val="false"/>
          <w:iCs w:val="false"/>
          <w:sz w:val="22"/>
          <w:szCs w:val="22"/>
        </w:rPr>
        <w:t>CoinMarketCap and Delta-class applications excel at crypto tracking and mobile convenience but do not natively cover Vietnam broker holdings. Yahoo Finance offers broad multi-asset coverage for major global markets, yet Vietnam symbols and free automated portfolio email digests are not its strength for this use case. Domestic tools such as CafeF or TCBS portals are strong for HOSE/HNX data and local news, but they do not unify crypto wallets and international crypto prices. Spreadsheet trackers remain flexible but require manual maintenance and lack integrated news pipelines.</w:t>
      </w:r>
    </w:p>
    <w:p>
      <w:pPr>
        <w:pStyle w:val="Normal"/>
        <w:spacing w:lineRule="auto" w:line="276" w:before="0" w:after="120"/>
        <w:rPr/>
      </w:pPr>
      <w:r>
        <w:rPr>
          <w:rFonts w:eastAsia="Arial" w:cs="Arial"/>
          <w:b w:val="false"/>
          <w:bCs w:val="false"/>
          <w:i w:val="false"/>
          <w:iCs w:val="false"/>
          <w:sz w:val="22"/>
          <w:szCs w:val="22"/>
        </w:rPr>
        <w:t>OpenPortfo is positioned as a lightweight multi-asset (crypto + Vietnam stocks) cloud demonstration: not a full brokerage, not a production fintech product, but a complete end-to-end AWS system that solves the fragmented-holdings problem for individual investors under a strict cost cap. Its differentiators for Assessment 3 are the dual external data integrations, the clear split between Beanstalk user APIs and Lambda schedules, admin-managed RSS and email settings, and Athena-ready portfolio snapshots.</w:t>
      </w:r>
    </w:p>
    <w:p>
      <w:pPr>
        <w:pStyle w:val="Heading1"/>
        <w:spacing w:before="320" w:after="180"/>
        <w:rPr/>
      </w:pPr>
      <w:bookmarkStart w:id="12" w:name="__RefHeading___Toc278_384320648"/>
      <w:bookmarkEnd w:id="12"/>
      <w:r>
        <w:rPr>
          <w:rFonts w:eastAsia="Arial" w:cs="Arial"/>
          <w:b/>
          <w:bCs/>
          <w:color w:val="1F4E79"/>
          <w:sz w:val="32"/>
          <w:szCs w:val="32"/>
        </w:rPr>
        <w:t>5. Limitations and Further Improvement</w:t>
      </w:r>
    </w:p>
    <w:p>
      <w:pPr>
        <w:pStyle w:val="Heading2"/>
        <w:spacing w:before="260" w:after="140"/>
        <w:rPr/>
      </w:pPr>
      <w:bookmarkStart w:id="13" w:name="__RefHeading___Toc280_384320648"/>
      <w:bookmarkEnd w:id="13"/>
      <w:r>
        <w:rPr>
          <w:rFonts w:eastAsia="Arial" w:cs="Arial"/>
          <w:b/>
          <w:bCs/>
          <w:color w:val="2E75B6"/>
          <w:sz w:val="26"/>
          <w:szCs w:val="26"/>
        </w:rPr>
        <w:t>5.1 Current limitations</w:t>
      </w:r>
    </w:p>
    <w:p>
      <w:pPr>
        <w:pStyle w:val="Normal"/>
        <w:spacing w:lineRule="auto" w:line="276" w:before="0" w:after="120"/>
        <w:rPr/>
      </w:pPr>
      <w:r>
        <w:rPr>
          <w:rFonts w:eastAsia="Arial" w:cs="Arial"/>
          <w:b w:val="false"/>
          <w:bCs w:val="false"/>
          <w:i w:val="false"/>
          <w:iCs w:val="false"/>
          <w:sz w:val="22"/>
          <w:szCs w:val="22"/>
        </w:rPr>
        <w:t>The proposed system is intentionally scoped as a demonstration-grade cloud application. The following limitations should be understood by stakeholders and markers.</w:t>
      </w:r>
    </w:p>
    <w:p>
      <w:pPr>
        <w:pStyle w:val="ListParagraph"/>
        <w:numPr>
          <w:ilvl w:val="0"/>
          <w:numId w:val="2"/>
        </w:numPr>
        <w:spacing w:lineRule="auto" w:line="276" w:before="0" w:after="80"/>
        <w:rPr/>
      </w:pPr>
      <w:r>
        <w:rPr>
          <w:rFonts w:eastAsia="Arial" w:cs="Arial"/>
          <w:b/>
          <w:bCs/>
          <w:sz w:val="22"/>
          <w:szCs w:val="22"/>
        </w:rPr>
        <w:t xml:space="preserve">Free API rate limits. </w:t>
      </w:r>
      <w:r>
        <w:rPr>
          <w:rFonts w:eastAsia="Arial" w:cs="Arial"/>
          <w:sz w:val="22"/>
          <w:szCs w:val="22"/>
        </w:rPr>
        <w:t>CoinGecko free or demo tiers impose request-per-minute and monthly call ceilings. Aggressive caching (TTL configurable via admin) is mandatory; bursty multi-user refresh behaviour may still hit limits.</w:t>
      </w:r>
    </w:p>
    <w:p>
      <w:pPr>
        <w:pStyle w:val="ListParagraph"/>
        <w:numPr>
          <w:ilvl w:val="0"/>
          <w:numId w:val="2"/>
        </w:numPr>
        <w:spacing w:lineRule="auto" w:line="276" w:before="0" w:after="80"/>
        <w:rPr/>
      </w:pPr>
      <w:r>
        <w:rPr>
          <w:rFonts w:eastAsia="Arial" w:cs="Arial"/>
          <w:b/>
          <w:bCs/>
          <w:sz w:val="22"/>
          <w:szCs w:val="22"/>
        </w:rPr>
        <w:t xml:space="preserve">vnstock / public Vietnam data risk. </w:t>
      </w:r>
      <w:r>
        <w:rPr>
          <w:rFonts w:eastAsia="Arial" w:cs="Arial"/>
          <w:sz w:val="22"/>
          <w:szCs w:val="22"/>
        </w:rPr>
        <w:t>vnstock relies on unofficial or public broker endpoints. Symbol coverage, field names, or availability may change without notice; the system should fall back to last-known cache prices when live fetch fails.</w:t>
      </w:r>
    </w:p>
    <w:p>
      <w:pPr>
        <w:pStyle w:val="ListParagraph"/>
        <w:numPr>
          <w:ilvl w:val="0"/>
          <w:numId w:val="2"/>
        </w:numPr>
        <w:spacing w:lineRule="auto" w:line="276" w:before="0" w:after="80"/>
        <w:rPr/>
      </w:pPr>
      <w:r>
        <w:rPr>
          <w:rFonts w:eastAsia="Arial" w:cs="Arial"/>
          <w:b/>
          <w:bCs/>
          <w:sz w:val="22"/>
          <w:szCs w:val="22"/>
        </w:rPr>
        <w:t xml:space="preserve">No real-time streaming. </w:t>
      </w:r>
      <w:r>
        <w:rPr>
          <w:rFonts w:eastAsia="Arial" w:cs="Arial"/>
          <w:sz w:val="22"/>
          <w:szCs w:val="22"/>
        </w:rPr>
        <w:t>Prices are on-demand or periodically batch-updated. The product is unsuitable for day-trading or tick-level monitoring.</w:t>
      </w:r>
    </w:p>
    <w:p>
      <w:pPr>
        <w:pStyle w:val="ListParagraph"/>
        <w:numPr>
          <w:ilvl w:val="0"/>
          <w:numId w:val="2"/>
        </w:numPr>
        <w:spacing w:lineRule="auto" w:line="276" w:before="0" w:after="80"/>
        <w:rPr/>
      </w:pPr>
      <w:r>
        <w:rPr>
          <w:rFonts w:eastAsia="Arial" w:cs="Arial"/>
          <w:b/>
          <w:bCs/>
          <w:sz w:val="22"/>
          <w:szCs w:val="22"/>
        </w:rPr>
        <w:t xml:space="preserve">SES sandbox constraints. </w:t>
      </w:r>
      <w:r>
        <w:rPr>
          <w:rFonts w:eastAsia="Arial" w:cs="Arial"/>
          <w:sz w:val="22"/>
          <w:szCs w:val="22"/>
        </w:rPr>
        <w:t>In AWS SES sandbox, email recipients must be verified. Production bulk mailing requires account exit from sandbox and careful bounce handling.</w:t>
      </w:r>
    </w:p>
    <w:p>
      <w:pPr>
        <w:pStyle w:val="ListParagraph"/>
        <w:numPr>
          <w:ilvl w:val="0"/>
          <w:numId w:val="2"/>
        </w:numPr>
        <w:spacing w:lineRule="auto" w:line="276" w:before="0" w:after="80"/>
        <w:rPr/>
      </w:pPr>
      <w:r>
        <w:rPr>
          <w:rFonts w:eastAsia="Arial" w:cs="Arial"/>
          <w:b/>
          <w:bCs/>
          <w:sz w:val="22"/>
          <w:szCs w:val="22"/>
        </w:rPr>
        <w:t xml:space="preserve">Single-region deployment. </w:t>
      </w:r>
      <w:r>
        <w:rPr>
          <w:rFonts w:eastAsia="Arial" w:cs="Arial"/>
          <w:sz w:val="22"/>
          <w:szCs w:val="22"/>
        </w:rPr>
        <w:t>For cost and simplicity, the stack targets one AWS region. Disaster recovery and multi-region latency optimisation are out of scope.</w:t>
      </w:r>
    </w:p>
    <w:p>
      <w:pPr>
        <w:pStyle w:val="ListParagraph"/>
        <w:numPr>
          <w:ilvl w:val="0"/>
          <w:numId w:val="2"/>
        </w:numPr>
        <w:spacing w:lineRule="auto" w:line="276" w:before="0" w:after="80"/>
        <w:rPr/>
      </w:pPr>
      <w:r>
        <w:rPr>
          <w:rFonts w:eastAsia="Arial" w:cs="Arial"/>
          <w:b/>
          <w:bCs/>
          <w:sz w:val="22"/>
          <w:szCs w:val="22"/>
        </w:rPr>
        <w:t xml:space="preserve">Simple keyword news relevance. </w:t>
      </w:r>
      <w:r>
        <w:rPr>
          <w:rFonts w:eastAsia="Arial" w:cs="Arial"/>
          <w:sz w:val="22"/>
          <w:szCs w:val="22"/>
        </w:rPr>
        <w:t>News filtering uses keyword/symbol matching rather than machine learning. Irrelevant items may appear; important nuance may be missed.</w:t>
      </w:r>
    </w:p>
    <w:p>
      <w:pPr>
        <w:pStyle w:val="ListParagraph"/>
        <w:numPr>
          <w:ilvl w:val="0"/>
          <w:numId w:val="2"/>
        </w:numPr>
        <w:spacing w:lineRule="auto" w:line="276" w:before="0" w:after="80"/>
        <w:rPr/>
      </w:pPr>
      <w:r>
        <w:rPr>
          <w:rFonts w:eastAsia="Arial" w:cs="Arial"/>
          <w:b/>
          <w:bCs/>
          <w:sz w:val="22"/>
          <w:szCs w:val="22"/>
        </w:rPr>
        <w:t xml:space="preserve">Admin schedule simplicity. </w:t>
      </w:r>
      <w:r>
        <w:rPr>
          <w:rFonts w:eastAsia="Arial" w:cs="Arial"/>
          <w:sz w:val="22"/>
          <w:szCs w:val="22"/>
        </w:rPr>
        <w:t>Updating email time may be implemented as Lambda hourly checks against admin settings rather than dynamic EventBridge rule rewriting, which is simpler for a student demo but less precise.</w:t>
      </w:r>
    </w:p>
    <w:p>
      <w:pPr>
        <w:pStyle w:val="ListParagraph"/>
        <w:numPr>
          <w:ilvl w:val="0"/>
          <w:numId w:val="2"/>
        </w:numPr>
        <w:spacing w:lineRule="auto" w:line="276" w:before="0" w:after="80"/>
        <w:rPr/>
      </w:pPr>
      <w:r>
        <w:rPr>
          <w:rFonts w:eastAsia="Arial" w:cs="Arial"/>
          <w:b/>
          <w:bCs/>
          <w:sz w:val="22"/>
          <w:szCs w:val="22"/>
        </w:rPr>
        <w:t xml:space="preserve">Rough currency conversion. </w:t>
      </w:r>
      <w:r>
        <w:rPr>
          <w:rFonts w:eastAsia="Arial" w:cs="Arial"/>
          <w:sz w:val="22"/>
          <w:szCs w:val="22"/>
        </w:rPr>
        <w:t>USD and VND display may use approximate FX rates rather than institutional FX feeds.</w:t>
      </w:r>
    </w:p>
    <w:p>
      <w:pPr>
        <w:pStyle w:val="ListParagraph"/>
        <w:numPr>
          <w:ilvl w:val="0"/>
          <w:numId w:val="2"/>
        </w:numPr>
        <w:spacing w:lineRule="auto" w:line="276" w:before="0" w:after="80"/>
        <w:rPr/>
      </w:pPr>
      <w:r>
        <w:rPr>
          <w:rFonts w:eastAsia="Arial" w:cs="Arial"/>
          <w:b/>
          <w:bCs/>
          <w:sz w:val="22"/>
          <w:szCs w:val="22"/>
        </w:rPr>
        <w:t xml:space="preserve">Scale for demo, not production. </w:t>
      </w:r>
      <w:r>
        <w:rPr>
          <w:rFonts w:eastAsia="Arial" w:cs="Arial"/>
          <w:sz w:val="22"/>
          <w:szCs w:val="22"/>
        </w:rPr>
        <w:t>Single small Beanstalk instance, on-demand DynamoDB, and free APIs are appropriate for assessment demos, not for high concurrency or regulated financial advice.</w:t>
      </w:r>
    </w:p>
    <w:p>
      <w:pPr>
        <w:pStyle w:val="Heading2"/>
        <w:spacing w:before="260" w:after="140"/>
        <w:rPr/>
      </w:pPr>
      <w:bookmarkStart w:id="14" w:name="__RefHeading___Toc282_384320648"/>
      <w:bookmarkEnd w:id="14"/>
      <w:r>
        <w:rPr>
          <w:rFonts w:eastAsia="Arial" w:cs="Arial"/>
          <w:b/>
          <w:bCs/>
          <w:color w:val="2E75B6"/>
          <w:sz w:val="26"/>
          <w:szCs w:val="26"/>
        </w:rPr>
        <w:t>5.2 Further improvement</w:t>
      </w:r>
    </w:p>
    <w:p>
      <w:pPr>
        <w:pStyle w:val="Normal"/>
        <w:spacing w:lineRule="auto" w:line="276" w:before="0" w:after="120"/>
        <w:rPr/>
      </w:pPr>
      <w:r>
        <w:rPr>
          <w:rFonts w:eastAsia="Arial" w:cs="Arial"/>
          <w:b w:val="false"/>
          <w:bCs w:val="false"/>
          <w:i w:val="false"/>
          <w:iCs w:val="false"/>
          <w:sz w:val="22"/>
          <w:szCs w:val="22"/>
        </w:rPr>
        <w:t>Beyond the Assessment 3 MVP, the following extensions would increase analytical value and user experience while remaining compatible with the same cloud foundation.</w:t>
      </w:r>
    </w:p>
    <w:p>
      <w:pPr>
        <w:pStyle w:val="ListParagraph"/>
        <w:numPr>
          <w:ilvl w:val="0"/>
          <w:numId w:val="2"/>
        </w:numPr>
        <w:spacing w:lineRule="auto" w:line="276" w:before="0" w:after="80"/>
        <w:rPr/>
      </w:pPr>
      <w:r>
        <w:rPr>
          <w:rFonts w:eastAsia="Arial" w:cs="Arial"/>
          <w:b/>
          <w:bCs/>
          <w:sz w:val="22"/>
          <w:szCs w:val="22"/>
        </w:rPr>
        <w:t xml:space="preserve">AI Chatbot helper. </w:t>
      </w:r>
      <w:r>
        <w:rPr>
          <w:rFonts w:eastAsia="Arial" w:cs="Arial"/>
          <w:sz w:val="22"/>
          <w:szCs w:val="22"/>
        </w:rPr>
        <w:t>A conversational assistant that answers portfolio questions (for example, allocation breakdown, largest positions, PnL over a period) using structured holdings and snapshot data as context.</w:t>
      </w:r>
    </w:p>
    <w:p>
      <w:pPr>
        <w:pStyle w:val="ListParagraph"/>
        <w:numPr>
          <w:ilvl w:val="0"/>
          <w:numId w:val="2"/>
        </w:numPr>
        <w:spacing w:lineRule="auto" w:line="276" w:before="0" w:after="80"/>
        <w:rPr/>
      </w:pPr>
      <w:r>
        <w:rPr>
          <w:rFonts w:eastAsia="Arial" w:cs="Arial"/>
          <w:b/>
          <w:bCs/>
          <w:sz w:val="22"/>
          <w:szCs w:val="22"/>
        </w:rPr>
        <w:t xml:space="preserve">RSS RAG Chatbot. </w:t>
      </w:r>
      <w:r>
        <w:rPr>
          <w:rFonts w:eastAsia="Arial" w:cs="Arial"/>
          <w:sz w:val="22"/>
          <w:szCs w:val="22"/>
        </w:rPr>
        <w:t>Retrieve relevant news chunks from stored RSS articles (vector index or hybrid search) and generate grounded LLM answers with citations to source URLs.</w:t>
      </w:r>
    </w:p>
    <w:p>
      <w:pPr>
        <w:pStyle w:val="ListParagraph"/>
        <w:numPr>
          <w:ilvl w:val="0"/>
          <w:numId w:val="2"/>
        </w:numPr>
        <w:spacing w:lineRule="auto" w:line="276" w:before="0" w:after="80"/>
        <w:rPr/>
      </w:pPr>
      <w:r>
        <w:rPr>
          <w:rFonts w:eastAsia="Arial" w:cs="Arial"/>
          <w:b/>
          <w:bCs/>
          <w:sz w:val="22"/>
          <w:szCs w:val="22"/>
        </w:rPr>
        <w:t xml:space="preserve">Analyzer module. </w:t>
      </w:r>
      <w:r>
        <w:rPr>
          <w:rFonts w:eastAsia="Arial" w:cs="Arial"/>
          <w:sz w:val="22"/>
          <w:szCs w:val="22"/>
        </w:rPr>
        <w:t>Risk and allocation insights (concentration by asset class or symbol), simple anomaly alerts (large day-over-day moves), and optional rebalancing suggestions without executing trades.</w:t>
      </w:r>
    </w:p>
    <w:p>
      <w:pPr>
        <w:pStyle w:val="ListParagraph"/>
        <w:numPr>
          <w:ilvl w:val="0"/>
          <w:numId w:val="2"/>
        </w:numPr>
        <w:spacing w:lineRule="auto" w:line="276" w:before="0" w:after="80"/>
        <w:rPr/>
      </w:pPr>
      <w:r>
        <w:rPr>
          <w:rFonts w:eastAsia="Arial" w:cs="Arial"/>
          <w:b/>
          <w:bCs/>
          <w:sz w:val="22"/>
          <w:szCs w:val="22"/>
        </w:rPr>
        <w:t xml:space="preserve">Better NLP relevance. </w:t>
      </w:r>
      <w:r>
        <w:rPr>
          <w:rFonts w:eastAsia="Arial" w:cs="Arial"/>
          <w:sz w:val="22"/>
          <w:szCs w:val="22"/>
        </w:rPr>
        <w:t>Replace pure keyword filters with embeddings or classifier-based relevance scoring for news.</w:t>
      </w:r>
    </w:p>
    <w:p>
      <w:pPr>
        <w:pStyle w:val="ListParagraph"/>
        <w:numPr>
          <w:ilvl w:val="0"/>
          <w:numId w:val="2"/>
        </w:numPr>
        <w:spacing w:lineRule="auto" w:line="276" w:before="0" w:after="80"/>
        <w:rPr/>
      </w:pPr>
      <w:r>
        <w:rPr>
          <w:rFonts w:eastAsia="Arial" w:cs="Arial"/>
          <w:b/>
          <w:bCs/>
          <w:sz w:val="22"/>
          <w:szCs w:val="22"/>
        </w:rPr>
        <w:t xml:space="preserve">Multi-currency FX. </w:t>
      </w:r>
      <w:r>
        <w:rPr>
          <w:rFonts w:eastAsia="Arial" w:cs="Arial"/>
          <w:sz w:val="22"/>
          <w:szCs w:val="22"/>
        </w:rPr>
        <w:t>Integrate a reliable FX source for accurate USD/VND conversion and multi-currency cost basis.</w:t>
      </w:r>
    </w:p>
    <w:p>
      <w:pPr>
        <w:pStyle w:val="ListParagraph"/>
        <w:numPr>
          <w:ilvl w:val="0"/>
          <w:numId w:val="2"/>
        </w:numPr>
        <w:spacing w:lineRule="auto" w:line="276" w:before="0" w:after="80"/>
        <w:rPr/>
      </w:pPr>
      <w:r>
        <w:rPr>
          <w:rFonts w:eastAsia="Arial" w:cs="Arial"/>
          <w:b/>
          <w:bCs/>
          <w:sz w:val="22"/>
          <w:szCs w:val="22"/>
        </w:rPr>
        <w:t xml:space="preserve">Mobile application. </w:t>
      </w:r>
      <w:r>
        <w:rPr>
          <w:rFonts w:eastAsia="Arial" w:cs="Arial"/>
          <w:sz w:val="22"/>
          <w:szCs w:val="22"/>
        </w:rPr>
        <w:t>A thin mobile client consuming the same FastAPI backend.</w:t>
      </w:r>
    </w:p>
    <w:p>
      <w:pPr>
        <w:pStyle w:val="ListParagraph"/>
        <w:numPr>
          <w:ilvl w:val="0"/>
          <w:numId w:val="2"/>
        </w:numPr>
        <w:spacing w:lineRule="auto" w:line="276" w:before="0" w:after="80"/>
        <w:rPr/>
      </w:pPr>
      <w:r>
        <w:rPr>
          <w:rFonts w:eastAsia="Arial" w:cs="Arial"/>
          <w:b/>
          <w:bCs/>
          <w:sz w:val="22"/>
          <w:szCs w:val="22"/>
        </w:rPr>
        <w:t xml:space="preserve">Amazon Cognito. </w:t>
      </w:r>
      <w:r>
        <w:rPr>
          <w:rFonts w:eastAsia="Arial" w:cs="Arial"/>
          <w:sz w:val="22"/>
          <w:szCs w:val="22"/>
        </w:rPr>
        <w:t>Managed authentication, MFA, and social identity providers instead of a custom auth table.</w:t>
      </w:r>
    </w:p>
    <w:p>
      <w:pPr>
        <w:pStyle w:val="ListParagraph"/>
        <w:numPr>
          <w:ilvl w:val="0"/>
          <w:numId w:val="2"/>
        </w:numPr>
        <w:spacing w:lineRule="auto" w:line="276" w:before="0" w:after="80"/>
        <w:rPr/>
      </w:pPr>
      <w:r>
        <w:rPr>
          <w:rFonts w:eastAsia="Arial" w:cs="Arial"/>
          <w:b/>
          <w:bCs/>
          <w:sz w:val="22"/>
          <w:szCs w:val="22"/>
        </w:rPr>
        <w:t xml:space="preserve">More markets. </w:t>
      </w:r>
      <w:r>
        <w:rPr>
          <w:rFonts w:eastAsia="Arial" w:cs="Arial"/>
          <w:sz w:val="22"/>
          <w:szCs w:val="22"/>
        </w:rPr>
        <w:t>Extend beyond crypto and Vietnam stocks to additional ASEAN equities or traditional commodities where free APIs allow.</w:t>
      </w:r>
    </w:p>
    <w:p>
      <w:pPr>
        <w:pStyle w:val="Normal"/>
        <w:spacing w:lineRule="auto" w:line="276" w:before="0" w:after="120"/>
        <w:rPr/>
      </w:pPr>
      <w:r>
        <w:rPr>
          <w:rFonts w:eastAsia="Arial" w:cs="Arial"/>
          <w:b w:val="false"/>
          <w:bCs w:val="false"/>
          <w:i w:val="false"/>
          <w:iCs w:val="false"/>
          <w:sz w:val="22"/>
          <w:szCs w:val="22"/>
        </w:rPr>
        <w:t>These improvements are intentionally deferred so that Assessment 3 can focus on a complete, deployable AWS architecture: static front end, Beanstalk API, DynamoDB data model, S3/Athena analytics path, and EventBridge–Lambda automation under the fifty-dollar budget.</w:t>
      </w:r>
    </w:p>
    <w:p>
      <w:pPr>
        <w:pStyle w:val="Heading1"/>
        <w:spacing w:before="320" w:after="180"/>
        <w:rPr/>
      </w:pPr>
      <w:bookmarkStart w:id="15" w:name="__RefHeading___Toc284_384320648"/>
      <w:bookmarkEnd w:id="15"/>
      <w:r>
        <w:rPr>
          <w:rFonts w:eastAsia="Arial" w:cs="Arial"/>
          <w:b/>
          <w:bCs/>
          <w:color w:val="1F4E79"/>
          <w:sz w:val="32"/>
          <w:szCs w:val="32"/>
        </w:rPr>
        <w:t>6. Conclusion</w:t>
      </w:r>
    </w:p>
    <w:p>
      <w:pPr>
        <w:pStyle w:val="Normal"/>
        <w:spacing w:lineRule="auto" w:line="276" w:before="0" w:after="120"/>
        <w:rPr/>
      </w:pPr>
      <w:r>
        <w:rPr>
          <w:rFonts w:eastAsia="Arial" w:cs="Arial"/>
          <w:b w:val="false"/>
          <w:bCs w:val="false"/>
          <w:i w:val="false"/>
          <w:iCs w:val="false"/>
          <w:sz w:val="22"/>
          <w:szCs w:val="22"/>
        </w:rPr>
        <w:t>OpenPortfo addresses the difficulty of managing holdings across crypto and Vietnam stock sources by unifying watchlist, holdings, on-demand portfolio valuation, keyword-matched news, and optional daily email on AWS: Next.js on S3/CloudFront, FastAPI on Elastic Beanstalk, DynamoDB/S3/Athena for data, EventBridge-triggered Lambda for scheduled jobs, and CoinGecko plus vnstock for market data—feasible under a USD $50 budget and ready for Assessment 3 implementation and demo.</w:t>
      </w:r>
    </w:p>
    <w:p>
      <w:pPr>
        <w:pStyle w:val="Heading1"/>
        <w:spacing w:before="320" w:after="180"/>
        <w:rPr/>
      </w:pPr>
      <w:bookmarkStart w:id="16" w:name="__RefHeading___Toc286_384320648"/>
      <w:bookmarkEnd w:id="16"/>
      <w:r>
        <w:rPr>
          <w:rFonts w:eastAsia="Arial" w:cs="Arial"/>
          <w:b/>
          <w:bCs/>
          <w:color w:val="1F4E79"/>
          <w:sz w:val="32"/>
          <w:szCs w:val="32"/>
        </w:rPr>
        <w:t>7. References</w:t>
      </w:r>
    </w:p>
    <w:p>
      <w:pPr>
        <w:pStyle w:val="Normal"/>
        <w:spacing w:lineRule="auto" w:line="276" w:before="0" w:after="100"/>
        <w:rPr/>
      </w:pPr>
      <w:r>
        <w:rPr>
          <w:rFonts w:eastAsia="Arial" w:cs="Arial"/>
          <w:b w:val="false"/>
          <w:bCs w:val="false"/>
          <w:i w:val="false"/>
          <w:iCs w:val="false"/>
          <w:sz w:val="20"/>
          <w:szCs w:val="20"/>
        </w:rPr>
        <w:t>[1] CoinGecko API documentation. https://www.coingecko.com/en/api/documentation</w:t>
      </w:r>
    </w:p>
    <w:p>
      <w:pPr>
        <w:pStyle w:val="Normal"/>
        <w:spacing w:lineRule="auto" w:line="276" w:before="0" w:after="100"/>
        <w:rPr/>
      </w:pPr>
      <w:r>
        <w:rPr>
          <w:rFonts w:eastAsia="Arial" w:cs="Arial"/>
          <w:b w:val="false"/>
          <w:bCs w:val="false"/>
          <w:i w:val="false"/>
          <w:iCs w:val="false"/>
          <w:sz w:val="20"/>
          <w:szCs w:val="20"/>
        </w:rPr>
        <w:t>[2] AWS Elastic Beanstalk Developer Guide. https://docs.aws.amazon.com/elasticbeanstalk/latest/dg/Welcome.html</w:t>
      </w:r>
    </w:p>
    <w:p>
      <w:pPr>
        <w:pStyle w:val="Normal"/>
        <w:spacing w:lineRule="auto" w:line="276" w:before="0" w:after="100"/>
        <w:rPr/>
      </w:pPr>
      <w:r>
        <w:rPr>
          <w:rFonts w:eastAsia="Arial" w:cs="Arial"/>
          <w:b w:val="false"/>
          <w:bCs w:val="false"/>
          <w:i w:val="false"/>
          <w:iCs w:val="false"/>
          <w:sz w:val="20"/>
          <w:szCs w:val="20"/>
        </w:rPr>
        <w:t>[3] AWS Lambda Developer Guide. https://docs.aws.amazon.com/lambda/latest/dg/welcome.html</w:t>
      </w:r>
    </w:p>
    <w:p>
      <w:pPr>
        <w:pStyle w:val="Normal"/>
        <w:spacing w:lineRule="auto" w:line="276" w:before="0" w:after="100"/>
        <w:rPr/>
      </w:pPr>
      <w:r>
        <w:rPr>
          <w:rFonts w:eastAsia="Arial" w:cs="Arial"/>
          <w:b w:val="false"/>
          <w:bCs w:val="false"/>
          <w:i w:val="false"/>
          <w:iCs w:val="false"/>
          <w:sz w:val="20"/>
          <w:szCs w:val="20"/>
        </w:rPr>
        <w:t>[4] Amazon DynamoDB Developer Guide. https://docs.aws.amazon.com/amazondynamodb/latest/developerguide/Introduction.html</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0" w:bottom="7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1F4E79"/>
      </w:pBdr>
      <w:spacing w:before="0" w:after="120"/>
      <w:rPr/>
    </w:pPr>
    <w:r>
      <w:rPr>
        <w:rFonts w:eastAsia="Arial" w:cs="Arial"/>
        <w:color w:val="595959"/>
        <w:sz w:val="16"/>
        <w:szCs w:val="16"/>
      </w:rPr>
      <w:t>OpenPortfo — Project Proposal  |  RMIT Cloud Computing Assessment 3</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1F4E79"/>
      </w:pBdr>
      <w:spacing w:before="0" w:after="120"/>
      <w:rPr/>
    </w:pPr>
    <w:r>
      <w:rPr>
        <w:rFonts w:eastAsia="Arial" w:cs="Arial"/>
        <w:color w:val="595959"/>
        <w:sz w:val="16"/>
        <w:szCs w:val="16"/>
      </w:rPr>
      <w:t>OpenPortfo — Project Proposal  |  RMIT Cloud Computing Assessment 3</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74"/>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80"/>
      <w:outlineLvl w:val="0"/>
    </w:pPr>
    <w:rPr>
      <w:rFonts w:ascii="Arial" w:hAnsi="Arial" w:eastAsia="Arial" w:cs="Arial"/>
      <w:b/>
      <w:bCs/>
      <w:color w:val="1F4E79"/>
      <w:sz w:val="32"/>
      <w:szCs w:val="32"/>
    </w:rPr>
  </w:style>
  <w:style w:type="paragraph" w:styleId="Heading2">
    <w:name w:val="heading 2"/>
    <w:basedOn w:val="Heading"/>
    <w:qFormat/>
    <w:pPr>
      <w:spacing w:before="260" w:after="140"/>
      <w:outlineLvl w:val="1"/>
    </w:pPr>
    <w:rPr>
      <w:rFonts w:ascii="Arial" w:hAnsi="Arial" w:eastAsia="Arial" w:cs="Arial"/>
      <w:b/>
      <w:bCs/>
      <w:color w:val="2E75B6"/>
      <w:sz w:val="26"/>
      <w:szCs w:val="26"/>
    </w:rPr>
  </w:style>
  <w:style w:type="paragraph" w:styleId="Heading3">
    <w:name w:val="heading 3"/>
    <w:basedOn w:val="Heading"/>
    <w:qFormat/>
    <w:pPr>
      <w:spacing w:before="200" w:after="100"/>
      <w:outlineLvl w:val="2"/>
    </w:pPr>
    <w:rPr>
      <w:rFonts w:ascii="Arial" w:hAnsi="Arial" w:eastAsia="Arial" w:cs="Arial"/>
      <w:b/>
      <w:bCs/>
      <w:color w:val="40404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20"/>
        <w:tab w:val="right" w:pos="9026" w:leader="dot"/>
      </w:tabs>
      <w:ind w:hanging="0" w:start="0"/>
    </w:pPr>
    <w:rPr/>
  </w:style>
  <w:style w:type="paragraph" w:styleId="TOC2">
    <w:name w:val="toc 2"/>
    <w:basedOn w:val="Index"/>
    <w:pPr>
      <w:tabs>
        <w:tab w:val="clear" w:pos="720"/>
        <w:tab w:val="right" w:pos="8743" w:leader="dot"/>
      </w:tabs>
      <w:ind w:hanging="0" w:start="283"/>
    </w:pPr>
    <w:rPr/>
  </w:style>
  <w:style w:type="paragraph" w:styleId="TOC3">
    <w:name w:val="toc 3"/>
    <w:basedOn w:val="Index"/>
    <w:pPr>
      <w:tabs>
        <w:tab w:val="clear" w:pos="720"/>
        <w:tab w:val="right" w:pos="8459" w:leader="dot"/>
      </w:tabs>
      <w:ind w:hanging="0" w:star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LibreOffice/26.2.5.2$Windows_X86_64 LibreOffice_project/cd7284b4cbbfeb507e630c1aac019f4157393acb</Application>
  <AppVersion>15.0000</AppVersion>
  <Pages>7</Pages>
  <Words>1784</Words>
  <Characters>10624</Characters>
  <CharactersWithSpaces>12248</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2026-08-07T17:25:45Z</dcterms:created>
  <dc:creator>Un-named</dc:creator>
  <dc:description/>
  <dc:language>en-US</dc:language>
  <cp:lastModifiedBy/>
  <cp:lastPrinted>2026-08-08T00:49:31Z</cp:lastPrinted>
  <dcterms:modified xsi:type="dcterms:W3CDTF">2026-08-08T00:49:36Z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