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0047" w14:textId="77777777" w:rsidR="009C4780" w:rsidRDefault="00000000">
      <w:pPr>
        <w:spacing w:after="120"/>
        <w:jc w:val="center"/>
      </w:pPr>
      <w:r>
        <w:rPr>
          <w:noProof/>
        </w:rPr>
        <w:drawing>
          <wp:inline distT="0" distB="0" distL="0" distR="0" wp14:anchorId="494159CC" wp14:editId="6B1EBD93">
            <wp:extent cx="8096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809625"/>
                    </a:xfrm>
                    <a:prstGeom prst="rect">
                      <a:avLst/>
                    </a:prstGeom>
                  </pic:spPr>
                </pic:pic>
              </a:graphicData>
            </a:graphic>
          </wp:inline>
        </w:drawing>
      </w:r>
    </w:p>
    <w:p w14:paraId="60988A12" w14:textId="66F4F2DF" w:rsidR="009C4780" w:rsidRPr="005F3A42" w:rsidRDefault="00000000">
      <w:pPr>
        <w:spacing w:after="40"/>
        <w:jc w:val="center"/>
        <w:rPr>
          <w:lang w:val="en-GB"/>
        </w:rPr>
      </w:pPr>
      <w:proofErr w:type="spellStart"/>
      <w:r w:rsidRPr="005F3A42">
        <w:rPr>
          <w:color w:val="444444"/>
          <w:sz w:val="22"/>
          <w:szCs w:val="22"/>
          <w:lang w:val="en-GB"/>
        </w:rPr>
        <w:t>AnalystLab</w:t>
      </w:r>
      <w:proofErr w:type="spellEnd"/>
      <w:r w:rsidRPr="005F3A42">
        <w:rPr>
          <w:color w:val="444444"/>
          <w:sz w:val="22"/>
          <w:szCs w:val="22"/>
          <w:lang w:val="en-GB"/>
        </w:rPr>
        <w:t xml:space="preserve"> Africa </w:t>
      </w:r>
      <w:r w:rsidR="005F3A42">
        <w:rPr>
          <w:color w:val="444444"/>
          <w:sz w:val="22"/>
          <w:szCs w:val="22"/>
          <w:lang w:val="en-GB"/>
        </w:rPr>
        <w:t>-</w:t>
      </w:r>
      <w:r w:rsidRPr="005F3A42">
        <w:rPr>
          <w:color w:val="444444"/>
          <w:sz w:val="22"/>
          <w:szCs w:val="22"/>
          <w:lang w:val="en-GB"/>
        </w:rPr>
        <w:t xml:space="preserve"> </w:t>
      </w:r>
      <w:proofErr w:type="spellStart"/>
      <w:r w:rsidRPr="005F3A42">
        <w:rPr>
          <w:color w:val="444444"/>
          <w:sz w:val="22"/>
          <w:szCs w:val="22"/>
          <w:lang w:val="en-GB"/>
        </w:rPr>
        <w:t>HealthConnect</w:t>
      </w:r>
      <w:proofErr w:type="spellEnd"/>
      <w:r w:rsidRPr="005F3A42">
        <w:rPr>
          <w:color w:val="444444"/>
          <w:sz w:val="22"/>
          <w:szCs w:val="22"/>
          <w:lang w:val="en-GB"/>
        </w:rPr>
        <w:t xml:space="preserve"> Experience Lab</w:t>
      </w:r>
    </w:p>
    <w:p w14:paraId="56F5AC0E" w14:textId="77777777" w:rsidR="009C4780" w:rsidRPr="005F3A42" w:rsidRDefault="00000000">
      <w:pPr>
        <w:spacing w:after="300"/>
        <w:jc w:val="center"/>
        <w:rPr>
          <w:lang w:val="en-GB"/>
        </w:rPr>
      </w:pPr>
      <w:r w:rsidRPr="005F3A42">
        <w:rPr>
          <w:b/>
          <w:bCs/>
          <w:sz w:val="26"/>
          <w:szCs w:val="26"/>
          <w:lang w:val="en-GB"/>
        </w:rPr>
        <w:t>Week 7 HC-POD Cross-Track Testing Evidence</w:t>
      </w:r>
    </w:p>
    <w:p w14:paraId="29D674EC" w14:textId="77777777" w:rsidR="009C4780" w:rsidRPr="005F3A42" w:rsidRDefault="00000000">
      <w:pPr>
        <w:spacing w:after="150"/>
        <w:rPr>
          <w:lang w:val="en-GB"/>
        </w:rPr>
      </w:pPr>
      <w:r w:rsidRPr="005F3A42">
        <w:rPr>
          <w:lang w:val="en-GB"/>
        </w:rPr>
        <w:t>This document evidences the mandatory Week 7 HC-POD cross-track testing/validation activity between the Data Science and Data Analytics tracks, structured around the 12 required documentation points, following the cycle: Test → Finding → Action → Retest → Validated Improvement.</w:t>
      </w:r>
    </w:p>
    <w:p w14:paraId="2350416D" w14:textId="77777777" w:rsidR="009C4780" w:rsidRPr="005F3A42" w:rsidRDefault="00000000">
      <w:pPr>
        <w:pStyle w:val="Heading2"/>
        <w:spacing w:before="240" w:after="120"/>
        <w:rPr>
          <w:lang w:val="en-GB"/>
        </w:rPr>
      </w:pPr>
      <w:r w:rsidRPr="005F3A42">
        <w:rPr>
          <w:lang w:val="en-GB"/>
        </w:rPr>
        <w:t>1. Track Collaborated With</w:t>
      </w:r>
    </w:p>
    <w:p w14:paraId="58EAB535" w14:textId="77777777" w:rsidR="009C4780" w:rsidRPr="005F3A42" w:rsidRDefault="00000000">
      <w:pPr>
        <w:spacing w:after="150"/>
        <w:rPr>
          <w:lang w:val="en-GB"/>
        </w:rPr>
      </w:pPr>
      <w:r w:rsidRPr="005F3A42">
        <w:rPr>
          <w:lang w:val="en-GB"/>
        </w:rPr>
        <w:t>Data Analytics (continuing the relationship established during the Week 6 integration exchange).</w:t>
      </w:r>
    </w:p>
    <w:p w14:paraId="3F369E73" w14:textId="77777777" w:rsidR="009C4780" w:rsidRPr="005F3A42" w:rsidRDefault="00000000">
      <w:pPr>
        <w:pStyle w:val="Heading2"/>
        <w:spacing w:before="240" w:after="120"/>
        <w:rPr>
          <w:lang w:val="en-GB"/>
        </w:rPr>
      </w:pPr>
      <w:r w:rsidRPr="005F3A42">
        <w:rPr>
          <w:lang w:val="en-GB"/>
        </w:rPr>
        <w:t>2. Project Dependency</w:t>
      </w:r>
    </w:p>
    <w:p w14:paraId="2D6986B5" w14:textId="77777777" w:rsidR="009C4780" w:rsidRPr="005F3A42" w:rsidRDefault="00000000">
      <w:pPr>
        <w:spacing w:after="150"/>
        <w:rPr>
          <w:lang w:val="en-GB"/>
        </w:rPr>
      </w:pPr>
      <w:r w:rsidRPr="005F3A42">
        <w:rPr>
          <w:lang w:val="en-GB"/>
        </w:rPr>
        <w:t>Data Analytics' own Week 6 findings document posed a direct question to the Data Science track: "Do the model's highest-risk predictions align with the high-risk segments identified during the Data Analytics work?" This created a concrete testing dependency between the two tracks' outputs.</w:t>
      </w:r>
    </w:p>
    <w:p w14:paraId="44619AEE" w14:textId="77777777" w:rsidR="009C4780" w:rsidRPr="005F3A42" w:rsidRDefault="00000000">
      <w:pPr>
        <w:pStyle w:val="Heading2"/>
        <w:spacing w:before="240" w:after="120"/>
        <w:rPr>
          <w:lang w:val="en-GB"/>
        </w:rPr>
      </w:pPr>
      <w:r w:rsidRPr="005F3A42">
        <w:rPr>
          <w:lang w:val="en-GB"/>
        </w:rPr>
        <w:t>3. Component/Output Being Tested</w:t>
      </w:r>
    </w:p>
    <w:p w14:paraId="6F8179BE" w14:textId="77777777" w:rsidR="009C4780" w:rsidRPr="005F3A42" w:rsidRDefault="00000000">
      <w:pPr>
        <w:spacing w:after="150"/>
        <w:rPr>
          <w:lang w:val="en-GB"/>
        </w:rPr>
      </w:pPr>
      <w:r w:rsidRPr="005F3A42">
        <w:rPr>
          <w:lang w:val="en-GB"/>
        </w:rPr>
        <w:t>The Week 6 candidate model's risk predictions (top-quartile predicted no-show probability) on the held-out test set.</w:t>
      </w:r>
    </w:p>
    <w:p w14:paraId="552873B2" w14:textId="77777777" w:rsidR="009C4780" w:rsidRPr="005F3A42" w:rsidRDefault="00000000">
      <w:pPr>
        <w:pStyle w:val="Heading2"/>
        <w:spacing w:before="240" w:after="120"/>
        <w:rPr>
          <w:lang w:val="en-GB"/>
        </w:rPr>
      </w:pPr>
      <w:r w:rsidRPr="005F3A42">
        <w:rPr>
          <w:lang w:val="en-GB"/>
        </w:rPr>
        <w:t>4. Information/Output Received</w:t>
      </w:r>
    </w:p>
    <w:p w14:paraId="0BEB4F4E" w14:textId="77777777" w:rsidR="009C4780" w:rsidRPr="005F3A42" w:rsidRDefault="00000000">
      <w:pPr>
        <w:spacing w:after="150"/>
        <w:rPr>
          <w:lang w:val="en-GB"/>
        </w:rPr>
      </w:pPr>
      <w:r w:rsidRPr="005F3A42">
        <w:rPr>
          <w:lang w:val="en-GB"/>
        </w:rPr>
        <w:t>Data Analytics' independently-validated high-risk segment definitions, originally shared in their Week 6 findings document: patients with 3 or more previous no-shows, appointments booked 31-60 days in advance, and patients travelling 20km or more to the clinic.</w:t>
      </w:r>
    </w:p>
    <w:p w14:paraId="5D4E1C6E" w14:textId="77777777" w:rsidR="009C4780" w:rsidRPr="005F3A42" w:rsidRDefault="00000000">
      <w:pPr>
        <w:pStyle w:val="Heading2"/>
        <w:spacing w:before="240" w:after="120"/>
        <w:rPr>
          <w:lang w:val="en-GB"/>
        </w:rPr>
      </w:pPr>
      <w:r w:rsidRPr="005F3A42">
        <w:rPr>
          <w:lang w:val="en-GB"/>
        </w:rPr>
        <w:t>5. Information/Output Provided</w:t>
      </w:r>
    </w:p>
    <w:p w14:paraId="18A5918A" w14:textId="77777777" w:rsidR="009C4780" w:rsidRPr="005F3A42" w:rsidRDefault="00000000">
      <w:pPr>
        <w:spacing w:after="150"/>
        <w:rPr>
          <w:lang w:val="en-GB"/>
        </w:rPr>
      </w:pPr>
      <w:r w:rsidRPr="005F3A42">
        <w:rPr>
          <w:lang w:val="en-GB"/>
        </w:rPr>
        <w:t>The result of the alignment test below (Sections 6-7), plus a newly discovered gender fairness gap in the model, shared back with the Data Analytics track intern (Section 9) for their awareness and potential input.</w:t>
      </w:r>
    </w:p>
    <w:p w14:paraId="22CD0BFD" w14:textId="77777777" w:rsidR="009C4780" w:rsidRPr="005F3A42" w:rsidRDefault="00000000">
      <w:pPr>
        <w:pStyle w:val="Heading2"/>
        <w:spacing w:before="240" w:after="120"/>
        <w:rPr>
          <w:lang w:val="en-GB"/>
        </w:rPr>
      </w:pPr>
      <w:r w:rsidRPr="005F3A42">
        <w:rPr>
          <w:lang w:val="en-GB"/>
        </w:rPr>
        <w:t>6. Testing Activity Completed</w:t>
      </w:r>
    </w:p>
    <w:p w14:paraId="2F51ACDF" w14:textId="77777777" w:rsidR="009C4780" w:rsidRPr="005F3A42" w:rsidRDefault="00000000">
      <w:pPr>
        <w:spacing w:after="150"/>
        <w:rPr>
          <w:lang w:val="en-GB"/>
        </w:rPr>
      </w:pPr>
      <w:r w:rsidRPr="005F3A42">
        <w:rPr>
          <w:lang w:val="en-GB"/>
        </w:rPr>
        <w:t>The candidate model was used to score every appointment in the held-out test set. The top quartile of predicted risk scores was taken as the model's own definition of "high-risk." This was compared against Data Analytics' high-risk criteria (Section 4) to compute an overlap/alignment rate.</w:t>
      </w:r>
    </w:p>
    <w:p w14:paraId="6B61B72F" w14:textId="77777777" w:rsidR="009C4780" w:rsidRDefault="00000000">
      <w:pPr>
        <w:pStyle w:val="Heading2"/>
        <w:spacing w:before="240" w:after="120"/>
      </w:pPr>
      <w:r>
        <w:t xml:space="preserve">7. Issue or Finding </w:t>
      </w:r>
      <w:proofErr w:type="spellStart"/>
      <w:r>
        <w:t>Identified</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600"/>
      </w:tblGrid>
      <w:tr w:rsidR="009C4780" w14:paraId="4FFCC592" w14:textId="77777777">
        <w:tblPrEx>
          <w:tblCellMar>
            <w:top w:w="0" w:type="dxa"/>
            <w:bottom w:w="0" w:type="dxa"/>
          </w:tblCellMar>
        </w:tblPrEx>
        <w:trPr>
          <w:tblHeader/>
        </w:trPr>
        <w:tc>
          <w:tcPr>
            <w:tcW w:w="5200" w:type="dxa"/>
            <w:shd w:val="clear" w:color="auto" w:fill="990011"/>
            <w:tcMar>
              <w:top w:w="70" w:type="dxa"/>
              <w:left w:w="90" w:type="dxa"/>
              <w:bottom w:w="70" w:type="dxa"/>
              <w:right w:w="90" w:type="dxa"/>
            </w:tcMar>
            <w:vAlign w:val="center"/>
          </w:tcPr>
          <w:p w14:paraId="1EBD6D8D" w14:textId="77777777" w:rsidR="009C4780" w:rsidRDefault="00000000">
            <w:proofErr w:type="spellStart"/>
            <w:r>
              <w:rPr>
                <w:b/>
                <w:bCs/>
                <w:sz w:val="19"/>
                <w:szCs w:val="19"/>
              </w:rPr>
              <w:t>Metric</w:t>
            </w:r>
            <w:proofErr w:type="spellEnd"/>
          </w:p>
        </w:tc>
        <w:tc>
          <w:tcPr>
            <w:tcW w:w="3600" w:type="dxa"/>
            <w:shd w:val="clear" w:color="auto" w:fill="990011"/>
            <w:tcMar>
              <w:top w:w="70" w:type="dxa"/>
              <w:left w:w="90" w:type="dxa"/>
              <w:bottom w:w="70" w:type="dxa"/>
              <w:right w:w="90" w:type="dxa"/>
            </w:tcMar>
            <w:vAlign w:val="center"/>
          </w:tcPr>
          <w:p w14:paraId="64208E37" w14:textId="77777777" w:rsidR="009C4780" w:rsidRDefault="00000000">
            <w:r>
              <w:rPr>
                <w:b/>
                <w:bCs/>
                <w:sz w:val="19"/>
                <w:szCs w:val="19"/>
              </w:rPr>
              <w:t>Value</w:t>
            </w:r>
          </w:p>
        </w:tc>
      </w:tr>
      <w:tr w:rsidR="009C4780" w14:paraId="7F7E00FA" w14:textId="77777777">
        <w:tblPrEx>
          <w:tblCellMar>
            <w:top w:w="0" w:type="dxa"/>
            <w:bottom w:w="0" w:type="dxa"/>
          </w:tblCellMar>
        </w:tblPrEx>
        <w:tc>
          <w:tcPr>
            <w:tcW w:w="5200" w:type="dxa"/>
            <w:tcMar>
              <w:top w:w="70" w:type="dxa"/>
              <w:left w:w="90" w:type="dxa"/>
              <w:bottom w:w="70" w:type="dxa"/>
              <w:right w:w="90" w:type="dxa"/>
            </w:tcMar>
            <w:vAlign w:val="center"/>
          </w:tcPr>
          <w:p w14:paraId="2F3459F7" w14:textId="77777777" w:rsidR="009C4780" w:rsidRPr="005F3A42" w:rsidRDefault="00000000">
            <w:pPr>
              <w:rPr>
                <w:lang w:val="en-GB"/>
              </w:rPr>
            </w:pPr>
            <w:r w:rsidRPr="005F3A42">
              <w:rPr>
                <w:sz w:val="19"/>
                <w:szCs w:val="19"/>
                <w:lang w:val="en-GB"/>
              </w:rPr>
              <w:t>Model-flagged top-quartile-risk appointments</w:t>
            </w:r>
          </w:p>
        </w:tc>
        <w:tc>
          <w:tcPr>
            <w:tcW w:w="3600" w:type="dxa"/>
            <w:tcMar>
              <w:top w:w="70" w:type="dxa"/>
              <w:left w:w="90" w:type="dxa"/>
              <w:bottom w:w="70" w:type="dxa"/>
              <w:right w:w="90" w:type="dxa"/>
            </w:tcMar>
            <w:vAlign w:val="center"/>
          </w:tcPr>
          <w:p w14:paraId="066C301A" w14:textId="77777777" w:rsidR="009C4780" w:rsidRDefault="00000000">
            <w:r>
              <w:rPr>
                <w:sz w:val="19"/>
                <w:szCs w:val="19"/>
              </w:rPr>
              <w:t>237</w:t>
            </w:r>
          </w:p>
        </w:tc>
      </w:tr>
      <w:tr w:rsidR="009C4780" w14:paraId="578692B7" w14:textId="77777777">
        <w:tblPrEx>
          <w:tblCellMar>
            <w:top w:w="0" w:type="dxa"/>
            <w:bottom w:w="0" w:type="dxa"/>
          </w:tblCellMar>
        </w:tblPrEx>
        <w:tc>
          <w:tcPr>
            <w:tcW w:w="5200" w:type="dxa"/>
            <w:tcMar>
              <w:top w:w="70" w:type="dxa"/>
              <w:left w:w="90" w:type="dxa"/>
              <w:bottom w:w="70" w:type="dxa"/>
              <w:right w:w="90" w:type="dxa"/>
            </w:tcMar>
            <w:vAlign w:val="center"/>
          </w:tcPr>
          <w:p w14:paraId="1FF8651E" w14:textId="77777777" w:rsidR="009C4780" w:rsidRPr="005F3A42" w:rsidRDefault="00000000">
            <w:pPr>
              <w:rPr>
                <w:lang w:val="en-GB"/>
              </w:rPr>
            </w:pPr>
            <w:r w:rsidRPr="005F3A42">
              <w:rPr>
                <w:sz w:val="19"/>
                <w:szCs w:val="19"/>
                <w:lang w:val="en-GB"/>
              </w:rPr>
              <w:t>Also matching a Data Analytics high-risk criterion</w:t>
            </w:r>
          </w:p>
        </w:tc>
        <w:tc>
          <w:tcPr>
            <w:tcW w:w="3600" w:type="dxa"/>
            <w:tcMar>
              <w:top w:w="70" w:type="dxa"/>
              <w:left w:w="90" w:type="dxa"/>
              <w:bottom w:w="70" w:type="dxa"/>
              <w:right w:w="90" w:type="dxa"/>
            </w:tcMar>
            <w:vAlign w:val="center"/>
          </w:tcPr>
          <w:p w14:paraId="174BF1C3" w14:textId="77777777" w:rsidR="009C4780" w:rsidRDefault="00000000">
            <w:r>
              <w:rPr>
                <w:sz w:val="19"/>
                <w:szCs w:val="19"/>
              </w:rPr>
              <w:t>233</w:t>
            </w:r>
          </w:p>
        </w:tc>
      </w:tr>
      <w:tr w:rsidR="009C4780" w14:paraId="426616EC" w14:textId="77777777">
        <w:tblPrEx>
          <w:tblCellMar>
            <w:top w:w="0" w:type="dxa"/>
            <w:bottom w:w="0" w:type="dxa"/>
          </w:tblCellMar>
        </w:tblPrEx>
        <w:tc>
          <w:tcPr>
            <w:tcW w:w="5200" w:type="dxa"/>
            <w:tcMar>
              <w:top w:w="70" w:type="dxa"/>
              <w:left w:w="90" w:type="dxa"/>
              <w:bottom w:w="70" w:type="dxa"/>
              <w:right w:w="90" w:type="dxa"/>
            </w:tcMar>
            <w:vAlign w:val="center"/>
          </w:tcPr>
          <w:p w14:paraId="60B75E41" w14:textId="77777777" w:rsidR="009C4780" w:rsidRDefault="00000000">
            <w:proofErr w:type="spellStart"/>
            <w:r>
              <w:rPr>
                <w:sz w:val="19"/>
                <w:szCs w:val="19"/>
              </w:rPr>
              <w:t>Alignment</w:t>
            </w:r>
            <w:proofErr w:type="spellEnd"/>
            <w:r>
              <w:rPr>
                <w:sz w:val="19"/>
                <w:szCs w:val="19"/>
              </w:rPr>
              <w:t xml:space="preserve"> rate</w:t>
            </w:r>
          </w:p>
        </w:tc>
        <w:tc>
          <w:tcPr>
            <w:tcW w:w="3600" w:type="dxa"/>
            <w:tcMar>
              <w:top w:w="70" w:type="dxa"/>
              <w:left w:w="90" w:type="dxa"/>
              <w:bottom w:w="70" w:type="dxa"/>
              <w:right w:w="90" w:type="dxa"/>
            </w:tcMar>
            <w:vAlign w:val="center"/>
          </w:tcPr>
          <w:p w14:paraId="75A7D367" w14:textId="77777777" w:rsidR="009C4780" w:rsidRDefault="00000000">
            <w:r>
              <w:rPr>
                <w:sz w:val="19"/>
                <w:szCs w:val="19"/>
              </w:rPr>
              <w:t>98.3%</w:t>
            </w:r>
          </w:p>
        </w:tc>
      </w:tr>
    </w:tbl>
    <w:p w14:paraId="618A22FD" w14:textId="77777777" w:rsidR="009C4780" w:rsidRDefault="009C4780">
      <w:pPr>
        <w:spacing w:before="200"/>
      </w:pPr>
    </w:p>
    <w:p w14:paraId="0B6D3A27" w14:textId="78F6E335" w:rsidR="009C4780" w:rsidRPr="005F3A42" w:rsidRDefault="00000000">
      <w:pPr>
        <w:spacing w:after="150"/>
        <w:rPr>
          <w:lang w:val="en-GB"/>
        </w:rPr>
      </w:pPr>
      <w:r w:rsidRPr="005F3A42">
        <w:rPr>
          <w:lang w:val="en-GB"/>
        </w:rPr>
        <w:t xml:space="preserve">Primary finding: a very high, 98.3% alignment a successful validation, not an issue requiring correction. While testing the model more broadly this same week (patient-level split, threshold tuning, subgroup fairness  see the main Week 7 notebook), </w:t>
      </w:r>
      <w:r w:rsidRPr="005F3A42">
        <w:rPr>
          <w:lang w:val="en-GB"/>
        </w:rPr>
        <w:lastRenderedPageBreak/>
        <w:t>a second, genuine issue was identified and is reported here as it was shared with Data Analytics as part of this same testing cycle: a gender-based performance gap.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2800"/>
      </w:tblGrid>
      <w:tr w:rsidR="009C4780" w14:paraId="4380B14C" w14:textId="77777777">
        <w:tblPrEx>
          <w:tblCellMar>
            <w:top w:w="0" w:type="dxa"/>
            <w:bottom w:w="0" w:type="dxa"/>
          </w:tblCellMar>
        </w:tblPrEx>
        <w:trPr>
          <w:tblHeader/>
        </w:trPr>
        <w:tc>
          <w:tcPr>
            <w:tcW w:w="3200" w:type="dxa"/>
            <w:shd w:val="clear" w:color="auto" w:fill="990011"/>
            <w:tcMar>
              <w:top w:w="70" w:type="dxa"/>
              <w:left w:w="90" w:type="dxa"/>
              <w:bottom w:w="70" w:type="dxa"/>
              <w:right w:w="90" w:type="dxa"/>
            </w:tcMar>
            <w:vAlign w:val="center"/>
          </w:tcPr>
          <w:p w14:paraId="785C8F67" w14:textId="77777777" w:rsidR="009C4780" w:rsidRDefault="00000000">
            <w:proofErr w:type="spellStart"/>
            <w:r>
              <w:rPr>
                <w:b/>
                <w:bCs/>
                <w:sz w:val="19"/>
                <w:szCs w:val="19"/>
              </w:rPr>
              <w:t>Subgroup</w:t>
            </w:r>
            <w:proofErr w:type="spellEnd"/>
          </w:p>
        </w:tc>
        <w:tc>
          <w:tcPr>
            <w:tcW w:w="2800" w:type="dxa"/>
            <w:shd w:val="clear" w:color="auto" w:fill="990011"/>
            <w:tcMar>
              <w:top w:w="70" w:type="dxa"/>
              <w:left w:w="90" w:type="dxa"/>
              <w:bottom w:w="70" w:type="dxa"/>
              <w:right w:w="90" w:type="dxa"/>
            </w:tcMar>
            <w:vAlign w:val="center"/>
          </w:tcPr>
          <w:p w14:paraId="11F66D30" w14:textId="77777777" w:rsidR="009C4780" w:rsidRDefault="00000000">
            <w:r>
              <w:rPr>
                <w:b/>
                <w:bCs/>
                <w:sz w:val="19"/>
                <w:szCs w:val="19"/>
              </w:rPr>
              <w:t>n (test set)</w:t>
            </w:r>
          </w:p>
        </w:tc>
        <w:tc>
          <w:tcPr>
            <w:tcW w:w="2800" w:type="dxa"/>
            <w:shd w:val="clear" w:color="auto" w:fill="990011"/>
            <w:tcMar>
              <w:top w:w="70" w:type="dxa"/>
              <w:left w:w="90" w:type="dxa"/>
              <w:bottom w:w="70" w:type="dxa"/>
              <w:right w:w="90" w:type="dxa"/>
            </w:tcMar>
            <w:vAlign w:val="center"/>
          </w:tcPr>
          <w:p w14:paraId="35C78D33" w14:textId="77777777" w:rsidR="009C4780" w:rsidRDefault="00000000">
            <w:r>
              <w:rPr>
                <w:b/>
                <w:bCs/>
                <w:sz w:val="19"/>
                <w:szCs w:val="19"/>
              </w:rPr>
              <w:t>ROC-AUC</w:t>
            </w:r>
          </w:p>
        </w:tc>
      </w:tr>
      <w:tr w:rsidR="009C4780" w14:paraId="580CAF8D" w14:textId="77777777">
        <w:tblPrEx>
          <w:tblCellMar>
            <w:top w:w="0" w:type="dxa"/>
            <w:bottom w:w="0" w:type="dxa"/>
          </w:tblCellMar>
        </w:tblPrEx>
        <w:tc>
          <w:tcPr>
            <w:tcW w:w="3200" w:type="dxa"/>
            <w:tcMar>
              <w:top w:w="70" w:type="dxa"/>
              <w:left w:w="90" w:type="dxa"/>
              <w:bottom w:w="70" w:type="dxa"/>
              <w:right w:w="90" w:type="dxa"/>
            </w:tcMar>
            <w:vAlign w:val="center"/>
          </w:tcPr>
          <w:p w14:paraId="3B1E8D4C" w14:textId="77777777" w:rsidR="009C4780" w:rsidRDefault="00000000">
            <w:r>
              <w:rPr>
                <w:sz w:val="19"/>
                <w:szCs w:val="19"/>
              </w:rPr>
              <w:t>Male</w:t>
            </w:r>
          </w:p>
        </w:tc>
        <w:tc>
          <w:tcPr>
            <w:tcW w:w="2800" w:type="dxa"/>
            <w:tcMar>
              <w:top w:w="70" w:type="dxa"/>
              <w:left w:w="90" w:type="dxa"/>
              <w:bottom w:w="70" w:type="dxa"/>
              <w:right w:w="90" w:type="dxa"/>
            </w:tcMar>
            <w:vAlign w:val="center"/>
          </w:tcPr>
          <w:p w14:paraId="1E1F6A8A" w14:textId="77777777" w:rsidR="009C4780" w:rsidRDefault="00000000">
            <w:r>
              <w:rPr>
                <w:sz w:val="19"/>
                <w:szCs w:val="19"/>
              </w:rPr>
              <w:t>443</w:t>
            </w:r>
          </w:p>
        </w:tc>
        <w:tc>
          <w:tcPr>
            <w:tcW w:w="2800" w:type="dxa"/>
            <w:tcMar>
              <w:top w:w="70" w:type="dxa"/>
              <w:left w:w="90" w:type="dxa"/>
              <w:bottom w:w="70" w:type="dxa"/>
              <w:right w:w="90" w:type="dxa"/>
            </w:tcMar>
            <w:vAlign w:val="center"/>
          </w:tcPr>
          <w:p w14:paraId="3646E003" w14:textId="77777777" w:rsidR="009C4780" w:rsidRDefault="00000000">
            <w:r>
              <w:rPr>
                <w:sz w:val="19"/>
                <w:szCs w:val="19"/>
              </w:rPr>
              <w:t>0.725</w:t>
            </w:r>
          </w:p>
        </w:tc>
      </w:tr>
      <w:tr w:rsidR="009C4780" w14:paraId="68FEB0EA" w14:textId="77777777">
        <w:tblPrEx>
          <w:tblCellMar>
            <w:top w:w="0" w:type="dxa"/>
            <w:bottom w:w="0" w:type="dxa"/>
          </w:tblCellMar>
        </w:tblPrEx>
        <w:tc>
          <w:tcPr>
            <w:tcW w:w="3200" w:type="dxa"/>
            <w:tcMar>
              <w:top w:w="70" w:type="dxa"/>
              <w:left w:w="90" w:type="dxa"/>
              <w:bottom w:w="70" w:type="dxa"/>
              <w:right w:w="90" w:type="dxa"/>
            </w:tcMar>
            <w:vAlign w:val="center"/>
          </w:tcPr>
          <w:p w14:paraId="79B7939A" w14:textId="77777777" w:rsidR="009C4780" w:rsidRDefault="00000000">
            <w:r>
              <w:rPr>
                <w:sz w:val="19"/>
                <w:szCs w:val="19"/>
              </w:rPr>
              <w:t>Female</w:t>
            </w:r>
          </w:p>
        </w:tc>
        <w:tc>
          <w:tcPr>
            <w:tcW w:w="2800" w:type="dxa"/>
            <w:tcMar>
              <w:top w:w="70" w:type="dxa"/>
              <w:left w:w="90" w:type="dxa"/>
              <w:bottom w:w="70" w:type="dxa"/>
              <w:right w:w="90" w:type="dxa"/>
            </w:tcMar>
            <w:vAlign w:val="center"/>
          </w:tcPr>
          <w:p w14:paraId="12A683EB" w14:textId="77777777" w:rsidR="009C4780" w:rsidRDefault="00000000">
            <w:r>
              <w:rPr>
                <w:sz w:val="19"/>
                <w:szCs w:val="19"/>
              </w:rPr>
              <w:t>485</w:t>
            </w:r>
          </w:p>
        </w:tc>
        <w:tc>
          <w:tcPr>
            <w:tcW w:w="2800" w:type="dxa"/>
            <w:tcMar>
              <w:top w:w="70" w:type="dxa"/>
              <w:left w:w="90" w:type="dxa"/>
              <w:bottom w:w="70" w:type="dxa"/>
              <w:right w:w="90" w:type="dxa"/>
            </w:tcMar>
            <w:vAlign w:val="center"/>
          </w:tcPr>
          <w:p w14:paraId="191F8359" w14:textId="77777777" w:rsidR="009C4780" w:rsidRDefault="00000000">
            <w:r>
              <w:rPr>
                <w:sz w:val="19"/>
                <w:szCs w:val="19"/>
              </w:rPr>
              <w:t>0.639</w:t>
            </w:r>
          </w:p>
        </w:tc>
      </w:tr>
      <w:tr w:rsidR="009C4780" w14:paraId="455DC107" w14:textId="77777777">
        <w:tblPrEx>
          <w:tblCellMar>
            <w:top w:w="0" w:type="dxa"/>
            <w:bottom w:w="0" w:type="dxa"/>
          </w:tblCellMar>
        </w:tblPrEx>
        <w:tc>
          <w:tcPr>
            <w:tcW w:w="3200" w:type="dxa"/>
            <w:tcMar>
              <w:top w:w="70" w:type="dxa"/>
              <w:left w:w="90" w:type="dxa"/>
              <w:bottom w:w="70" w:type="dxa"/>
              <w:right w:w="90" w:type="dxa"/>
            </w:tcMar>
            <w:vAlign w:val="center"/>
          </w:tcPr>
          <w:p w14:paraId="0DD5FB12" w14:textId="77777777" w:rsidR="009C4780" w:rsidRDefault="00000000">
            <w:proofErr w:type="spellStart"/>
            <w:r>
              <w:rPr>
                <w:sz w:val="19"/>
                <w:szCs w:val="19"/>
              </w:rPr>
              <w:t>Prefer</w:t>
            </w:r>
            <w:proofErr w:type="spellEnd"/>
            <w:r>
              <w:rPr>
                <w:sz w:val="19"/>
                <w:szCs w:val="19"/>
              </w:rPr>
              <w:t xml:space="preserve"> not to </w:t>
            </w:r>
            <w:proofErr w:type="spellStart"/>
            <w:r>
              <w:rPr>
                <w:sz w:val="19"/>
                <w:szCs w:val="19"/>
              </w:rPr>
              <w:t>say</w:t>
            </w:r>
            <w:proofErr w:type="spellEnd"/>
          </w:p>
        </w:tc>
        <w:tc>
          <w:tcPr>
            <w:tcW w:w="2800" w:type="dxa"/>
            <w:tcMar>
              <w:top w:w="70" w:type="dxa"/>
              <w:left w:w="90" w:type="dxa"/>
              <w:bottom w:w="70" w:type="dxa"/>
              <w:right w:w="90" w:type="dxa"/>
            </w:tcMar>
            <w:vAlign w:val="center"/>
          </w:tcPr>
          <w:p w14:paraId="650D90E4" w14:textId="77777777" w:rsidR="009C4780" w:rsidRDefault="00000000">
            <w:r>
              <w:rPr>
                <w:sz w:val="19"/>
                <w:szCs w:val="19"/>
              </w:rPr>
              <w:t>20</w:t>
            </w:r>
          </w:p>
        </w:tc>
        <w:tc>
          <w:tcPr>
            <w:tcW w:w="2800" w:type="dxa"/>
            <w:tcMar>
              <w:top w:w="70" w:type="dxa"/>
              <w:left w:w="90" w:type="dxa"/>
              <w:bottom w:w="70" w:type="dxa"/>
              <w:right w:w="90" w:type="dxa"/>
            </w:tcMar>
            <w:vAlign w:val="center"/>
          </w:tcPr>
          <w:p w14:paraId="547C733D" w14:textId="77777777" w:rsidR="009C4780" w:rsidRDefault="00000000">
            <w:r>
              <w:rPr>
                <w:sz w:val="19"/>
                <w:szCs w:val="19"/>
              </w:rPr>
              <w:t>0.845 (</w:t>
            </w:r>
            <w:proofErr w:type="spellStart"/>
            <w:r>
              <w:rPr>
                <w:sz w:val="19"/>
                <w:szCs w:val="19"/>
              </w:rPr>
              <w:t>small</w:t>
            </w:r>
            <w:proofErr w:type="spellEnd"/>
            <w:r>
              <w:rPr>
                <w:sz w:val="19"/>
                <w:szCs w:val="19"/>
              </w:rPr>
              <w:t xml:space="preserve"> </w:t>
            </w:r>
            <w:proofErr w:type="spellStart"/>
            <w:r>
              <w:rPr>
                <w:sz w:val="19"/>
                <w:szCs w:val="19"/>
              </w:rPr>
              <w:t>sample</w:t>
            </w:r>
            <w:proofErr w:type="spellEnd"/>
            <w:r>
              <w:rPr>
                <w:sz w:val="19"/>
                <w:szCs w:val="19"/>
              </w:rPr>
              <w:t>, not conclusive)</w:t>
            </w:r>
          </w:p>
        </w:tc>
      </w:tr>
    </w:tbl>
    <w:p w14:paraId="38C30987" w14:textId="77777777" w:rsidR="009C4780" w:rsidRDefault="009C4780">
      <w:pPr>
        <w:spacing w:before="200"/>
      </w:pPr>
    </w:p>
    <w:p w14:paraId="2D514DAC" w14:textId="77777777" w:rsidR="009C4780" w:rsidRDefault="00000000">
      <w:pPr>
        <w:pStyle w:val="Heading2"/>
        <w:spacing w:before="240" w:after="120"/>
      </w:pPr>
      <w:r>
        <w:t xml:space="preserve">8. </w:t>
      </w:r>
      <w:proofErr w:type="spellStart"/>
      <w:r>
        <w:t>Refinement</w:t>
      </w:r>
      <w:proofErr w:type="spellEnd"/>
      <w:r>
        <w:t>/Action Taken</w:t>
      </w:r>
    </w:p>
    <w:p w14:paraId="231D79DB" w14:textId="3277586C" w:rsidR="009C4780" w:rsidRPr="005F3A42" w:rsidRDefault="00000000">
      <w:pPr>
        <w:spacing w:after="150"/>
        <w:rPr>
          <w:lang w:val="en-GB"/>
        </w:rPr>
      </w:pPr>
      <w:r w:rsidRPr="005F3A42">
        <w:rPr>
          <w:lang w:val="en-GB"/>
        </w:rPr>
        <w:t>For the alignment finding: none needed  successful validation. For the gender fairness finding: engineered two interaction features (female × booking lead days, female × distance to clinic), intended to let the model learn gender-specific relationships for its two strongest predictors, and retrained the candidate model with them included.</w:t>
      </w:r>
    </w:p>
    <w:p w14:paraId="3CD88D24" w14:textId="77777777" w:rsidR="009C4780" w:rsidRDefault="00000000">
      <w:pPr>
        <w:pStyle w:val="Heading2"/>
        <w:spacing w:before="240" w:after="120"/>
      </w:pPr>
      <w:r>
        <w:t xml:space="preserve">9. </w:t>
      </w:r>
      <w:proofErr w:type="spellStart"/>
      <w:r>
        <w:t>Retest</w:t>
      </w:r>
      <w:proofErr w:type="spellEnd"/>
      <w:r>
        <w:t xml:space="preserve"> Result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2800"/>
      </w:tblGrid>
      <w:tr w:rsidR="009C4780" w14:paraId="1E001637" w14:textId="77777777">
        <w:tblPrEx>
          <w:tblCellMar>
            <w:top w:w="0" w:type="dxa"/>
            <w:bottom w:w="0" w:type="dxa"/>
          </w:tblCellMar>
        </w:tblPrEx>
        <w:trPr>
          <w:tblHeader/>
        </w:trPr>
        <w:tc>
          <w:tcPr>
            <w:tcW w:w="3200" w:type="dxa"/>
            <w:shd w:val="clear" w:color="auto" w:fill="990011"/>
            <w:tcMar>
              <w:top w:w="70" w:type="dxa"/>
              <w:left w:w="90" w:type="dxa"/>
              <w:bottom w:w="70" w:type="dxa"/>
              <w:right w:w="90" w:type="dxa"/>
            </w:tcMar>
            <w:vAlign w:val="center"/>
          </w:tcPr>
          <w:p w14:paraId="5AAB7BF6" w14:textId="77777777" w:rsidR="009C4780" w:rsidRDefault="00000000">
            <w:proofErr w:type="spellStart"/>
            <w:r>
              <w:rPr>
                <w:b/>
                <w:bCs/>
                <w:sz w:val="19"/>
                <w:szCs w:val="19"/>
              </w:rPr>
              <w:t>Subgroup</w:t>
            </w:r>
            <w:proofErr w:type="spellEnd"/>
          </w:p>
        </w:tc>
        <w:tc>
          <w:tcPr>
            <w:tcW w:w="2800" w:type="dxa"/>
            <w:shd w:val="clear" w:color="auto" w:fill="990011"/>
            <w:tcMar>
              <w:top w:w="70" w:type="dxa"/>
              <w:left w:w="90" w:type="dxa"/>
              <w:bottom w:w="70" w:type="dxa"/>
              <w:right w:w="90" w:type="dxa"/>
            </w:tcMar>
            <w:vAlign w:val="center"/>
          </w:tcPr>
          <w:p w14:paraId="7FBF7D0E" w14:textId="77777777" w:rsidR="009C4780" w:rsidRDefault="00000000">
            <w:r>
              <w:rPr>
                <w:b/>
                <w:bCs/>
                <w:sz w:val="19"/>
                <w:szCs w:val="19"/>
              </w:rPr>
              <w:t xml:space="preserve">ROC-AUC </w:t>
            </w:r>
            <w:proofErr w:type="spellStart"/>
            <w:r>
              <w:rPr>
                <w:b/>
                <w:bCs/>
                <w:sz w:val="19"/>
                <w:szCs w:val="19"/>
              </w:rPr>
              <w:t>Before</w:t>
            </w:r>
            <w:proofErr w:type="spellEnd"/>
          </w:p>
        </w:tc>
        <w:tc>
          <w:tcPr>
            <w:tcW w:w="2800" w:type="dxa"/>
            <w:shd w:val="clear" w:color="auto" w:fill="990011"/>
            <w:tcMar>
              <w:top w:w="70" w:type="dxa"/>
              <w:left w:w="90" w:type="dxa"/>
              <w:bottom w:w="70" w:type="dxa"/>
              <w:right w:w="90" w:type="dxa"/>
            </w:tcMar>
            <w:vAlign w:val="center"/>
          </w:tcPr>
          <w:p w14:paraId="702D897B" w14:textId="77777777" w:rsidR="009C4780" w:rsidRDefault="00000000">
            <w:r>
              <w:rPr>
                <w:b/>
                <w:bCs/>
                <w:sz w:val="19"/>
                <w:szCs w:val="19"/>
              </w:rPr>
              <w:t xml:space="preserve">ROC-AUC </w:t>
            </w:r>
            <w:proofErr w:type="spellStart"/>
            <w:r>
              <w:rPr>
                <w:b/>
                <w:bCs/>
                <w:sz w:val="19"/>
                <w:szCs w:val="19"/>
              </w:rPr>
              <w:t>After</w:t>
            </w:r>
            <w:proofErr w:type="spellEnd"/>
            <w:r>
              <w:rPr>
                <w:b/>
                <w:bCs/>
                <w:sz w:val="19"/>
                <w:szCs w:val="19"/>
              </w:rPr>
              <w:t xml:space="preserve"> </w:t>
            </w:r>
            <w:proofErr w:type="spellStart"/>
            <w:r>
              <w:rPr>
                <w:b/>
                <w:bCs/>
                <w:sz w:val="19"/>
                <w:szCs w:val="19"/>
              </w:rPr>
              <w:t>Refinement</w:t>
            </w:r>
            <w:proofErr w:type="spellEnd"/>
          </w:p>
        </w:tc>
      </w:tr>
      <w:tr w:rsidR="009C4780" w14:paraId="2BBE2A1B" w14:textId="77777777">
        <w:tblPrEx>
          <w:tblCellMar>
            <w:top w:w="0" w:type="dxa"/>
            <w:bottom w:w="0" w:type="dxa"/>
          </w:tblCellMar>
        </w:tblPrEx>
        <w:tc>
          <w:tcPr>
            <w:tcW w:w="3200" w:type="dxa"/>
            <w:tcMar>
              <w:top w:w="70" w:type="dxa"/>
              <w:left w:w="90" w:type="dxa"/>
              <w:bottom w:w="70" w:type="dxa"/>
              <w:right w:w="90" w:type="dxa"/>
            </w:tcMar>
            <w:vAlign w:val="center"/>
          </w:tcPr>
          <w:p w14:paraId="0461106E" w14:textId="77777777" w:rsidR="009C4780" w:rsidRDefault="00000000">
            <w:r>
              <w:rPr>
                <w:sz w:val="19"/>
                <w:szCs w:val="19"/>
              </w:rPr>
              <w:t>Male</w:t>
            </w:r>
          </w:p>
        </w:tc>
        <w:tc>
          <w:tcPr>
            <w:tcW w:w="2800" w:type="dxa"/>
            <w:tcMar>
              <w:top w:w="70" w:type="dxa"/>
              <w:left w:w="90" w:type="dxa"/>
              <w:bottom w:w="70" w:type="dxa"/>
              <w:right w:w="90" w:type="dxa"/>
            </w:tcMar>
            <w:vAlign w:val="center"/>
          </w:tcPr>
          <w:p w14:paraId="1ABFF446" w14:textId="77777777" w:rsidR="009C4780" w:rsidRDefault="00000000">
            <w:r>
              <w:rPr>
                <w:sz w:val="19"/>
                <w:szCs w:val="19"/>
              </w:rPr>
              <w:t>0.725</w:t>
            </w:r>
          </w:p>
        </w:tc>
        <w:tc>
          <w:tcPr>
            <w:tcW w:w="2800" w:type="dxa"/>
            <w:tcMar>
              <w:top w:w="70" w:type="dxa"/>
              <w:left w:w="90" w:type="dxa"/>
              <w:bottom w:w="70" w:type="dxa"/>
              <w:right w:w="90" w:type="dxa"/>
            </w:tcMar>
            <w:vAlign w:val="center"/>
          </w:tcPr>
          <w:p w14:paraId="510AF0A1" w14:textId="77777777" w:rsidR="009C4780" w:rsidRDefault="00000000">
            <w:r>
              <w:rPr>
                <w:sz w:val="19"/>
                <w:szCs w:val="19"/>
              </w:rPr>
              <w:t>0.723</w:t>
            </w:r>
          </w:p>
        </w:tc>
      </w:tr>
      <w:tr w:rsidR="009C4780" w14:paraId="1A3A232C" w14:textId="77777777">
        <w:tblPrEx>
          <w:tblCellMar>
            <w:top w:w="0" w:type="dxa"/>
            <w:bottom w:w="0" w:type="dxa"/>
          </w:tblCellMar>
        </w:tblPrEx>
        <w:tc>
          <w:tcPr>
            <w:tcW w:w="3200" w:type="dxa"/>
            <w:tcMar>
              <w:top w:w="70" w:type="dxa"/>
              <w:left w:w="90" w:type="dxa"/>
              <w:bottom w:w="70" w:type="dxa"/>
              <w:right w:w="90" w:type="dxa"/>
            </w:tcMar>
            <w:vAlign w:val="center"/>
          </w:tcPr>
          <w:p w14:paraId="39620A93" w14:textId="77777777" w:rsidR="009C4780" w:rsidRDefault="00000000">
            <w:r>
              <w:rPr>
                <w:sz w:val="19"/>
                <w:szCs w:val="19"/>
              </w:rPr>
              <w:t>Female</w:t>
            </w:r>
          </w:p>
        </w:tc>
        <w:tc>
          <w:tcPr>
            <w:tcW w:w="2800" w:type="dxa"/>
            <w:tcMar>
              <w:top w:w="70" w:type="dxa"/>
              <w:left w:w="90" w:type="dxa"/>
              <w:bottom w:w="70" w:type="dxa"/>
              <w:right w:w="90" w:type="dxa"/>
            </w:tcMar>
            <w:vAlign w:val="center"/>
          </w:tcPr>
          <w:p w14:paraId="013C8F29" w14:textId="77777777" w:rsidR="009C4780" w:rsidRDefault="00000000">
            <w:r>
              <w:rPr>
                <w:sz w:val="19"/>
                <w:szCs w:val="19"/>
              </w:rPr>
              <w:t>0.639</w:t>
            </w:r>
          </w:p>
        </w:tc>
        <w:tc>
          <w:tcPr>
            <w:tcW w:w="2800" w:type="dxa"/>
            <w:tcMar>
              <w:top w:w="70" w:type="dxa"/>
              <w:left w:w="90" w:type="dxa"/>
              <w:bottom w:w="70" w:type="dxa"/>
              <w:right w:w="90" w:type="dxa"/>
            </w:tcMar>
            <w:vAlign w:val="center"/>
          </w:tcPr>
          <w:p w14:paraId="0B4CBEA3" w14:textId="77777777" w:rsidR="009C4780" w:rsidRDefault="00000000">
            <w:r>
              <w:rPr>
                <w:sz w:val="19"/>
                <w:szCs w:val="19"/>
              </w:rPr>
              <w:t>0.636</w:t>
            </w:r>
          </w:p>
        </w:tc>
      </w:tr>
    </w:tbl>
    <w:p w14:paraId="4364178D" w14:textId="77777777" w:rsidR="009C4780" w:rsidRDefault="009C4780">
      <w:pPr>
        <w:spacing w:before="200"/>
      </w:pPr>
    </w:p>
    <w:p w14:paraId="71E86622" w14:textId="77777777" w:rsidR="009C4780" w:rsidRDefault="00000000">
      <w:pPr>
        <w:pStyle w:val="Heading2"/>
        <w:spacing w:before="240" w:after="120"/>
      </w:pPr>
      <w:r>
        <w:t xml:space="preserve">10. </w:t>
      </w:r>
      <w:proofErr w:type="spellStart"/>
      <w:r>
        <w:t>What</w:t>
      </w:r>
      <w:proofErr w:type="spellEnd"/>
      <w:r>
        <w:t xml:space="preserve"> </w:t>
      </w:r>
      <w:proofErr w:type="spellStart"/>
      <w:r>
        <w:t>Changed</w:t>
      </w:r>
      <w:proofErr w:type="spellEnd"/>
      <w:r>
        <w:t xml:space="preserve"> as a Result</w:t>
      </w:r>
    </w:p>
    <w:p w14:paraId="7BA309B4" w14:textId="27254D02" w:rsidR="009C4780" w:rsidRPr="005F3A42" w:rsidRDefault="00000000">
      <w:pPr>
        <w:spacing w:after="150"/>
        <w:rPr>
          <w:lang w:val="en-GB"/>
        </w:rPr>
      </w:pPr>
      <w:r w:rsidRPr="005F3A42">
        <w:rPr>
          <w:lang w:val="en-GB"/>
        </w:rPr>
        <w:t>For the alignment test: nothing needed to change  the model's approach was confirmed sound, giving both tracks confidence to proceed without rework. For the fairness test: the refinement attempt did not close the gap, so the model itself did not change, but the project's readiness assessment did change  the model is now presented as suitable only as a prioritisation aid with an explicit, documented fairness caveat, rather than as broadly validated as it was framed at the end of Week 6.</w:t>
      </w:r>
    </w:p>
    <w:p w14:paraId="38B83933" w14:textId="77777777" w:rsidR="009C4780" w:rsidRPr="005F3A42" w:rsidRDefault="00000000">
      <w:pPr>
        <w:pStyle w:val="Heading2"/>
        <w:spacing w:before="240" w:after="120"/>
        <w:rPr>
          <w:lang w:val="en-GB"/>
        </w:rPr>
      </w:pPr>
      <w:r w:rsidRPr="005F3A42">
        <w:rPr>
          <w:lang w:val="en-GB"/>
        </w:rPr>
        <w:t>11. Evidence</w:t>
      </w:r>
    </w:p>
    <w:p w14:paraId="0E772848" w14:textId="77777777" w:rsidR="009C4780" w:rsidRPr="005F3A42" w:rsidRDefault="00000000">
      <w:pPr>
        <w:spacing w:after="150"/>
        <w:rPr>
          <w:lang w:val="en-GB"/>
        </w:rPr>
      </w:pPr>
      <w:r w:rsidRPr="005F3A42">
        <w:rPr>
          <w:lang w:val="en-GB"/>
        </w:rPr>
        <w:t xml:space="preserve">The quantitative alignment computation and the fairness before/after comparison (both reproduced above), the full test code and outputs in </w:t>
      </w:r>
      <w:proofErr w:type="spellStart"/>
      <w:r w:rsidRPr="005F3A42">
        <w:rPr>
          <w:lang w:val="en-GB"/>
        </w:rPr>
        <w:t>HealthConnect_Model_Testing_Refinement.ipynb</w:t>
      </w:r>
      <w:proofErr w:type="spellEnd"/>
      <w:r w:rsidRPr="005F3A42">
        <w:rPr>
          <w:lang w:val="en-GB"/>
        </w:rPr>
        <w:t xml:space="preserve"> (Parts 3, 3b, and 4a), this standalone evidence document, and the message shared with the Data Analytics track intern (Section 12).</w:t>
      </w:r>
    </w:p>
    <w:p w14:paraId="0C5101F7" w14:textId="77777777" w:rsidR="009C4780" w:rsidRPr="005F3A42" w:rsidRDefault="00000000">
      <w:pPr>
        <w:pStyle w:val="Heading2"/>
        <w:spacing w:before="240" w:after="120"/>
        <w:rPr>
          <w:lang w:val="en-GB"/>
        </w:rPr>
      </w:pPr>
      <w:r w:rsidRPr="005F3A42">
        <w:rPr>
          <w:lang w:val="en-GB"/>
        </w:rPr>
        <w:t xml:space="preserve">12. How This Improved the Overall </w:t>
      </w:r>
      <w:proofErr w:type="spellStart"/>
      <w:r w:rsidRPr="005F3A42">
        <w:rPr>
          <w:lang w:val="en-GB"/>
        </w:rPr>
        <w:t>HealthConnect</w:t>
      </w:r>
      <w:proofErr w:type="spellEnd"/>
      <w:r w:rsidRPr="005F3A42">
        <w:rPr>
          <w:lang w:val="en-GB"/>
        </w:rPr>
        <w:t xml:space="preserve"> Solution</w:t>
      </w:r>
    </w:p>
    <w:p w14:paraId="1AC50FDD" w14:textId="0A720C9E" w:rsidR="009C4780" w:rsidRPr="005F3A42" w:rsidRDefault="00000000">
      <w:pPr>
        <w:spacing w:after="150"/>
        <w:rPr>
          <w:lang w:val="en-GB"/>
        </w:rPr>
      </w:pPr>
      <w:r w:rsidRPr="005F3A42">
        <w:rPr>
          <w:lang w:val="en-GB"/>
        </w:rPr>
        <w:t xml:space="preserve">This activity moved the relationship between the Data Science and Data Analytics tracks from Week 6's information exchange to genuine mutual validation: the 98.3% alignment result gives the whole </w:t>
      </w:r>
      <w:proofErr w:type="spellStart"/>
      <w:r w:rsidRPr="005F3A42">
        <w:rPr>
          <w:lang w:val="en-GB"/>
        </w:rPr>
        <w:t>HealthConnect</w:t>
      </w:r>
      <w:proofErr w:type="spellEnd"/>
      <w:r w:rsidRPr="005F3A42">
        <w:rPr>
          <w:lang w:val="en-GB"/>
        </w:rPr>
        <w:t xml:space="preserve"> project concrete, tested evidence that its analytical and predictive workstreams describe the same at-risk population, rather than two untested parallel efforts. Equally important, testing this integration surfaced a real equity risk (the gender fairness gap) that neither track's Week 6 work had identified in isolation  catching this now, before Week 8's final integration and presentation, protects the overall </w:t>
      </w:r>
      <w:proofErr w:type="spellStart"/>
      <w:r w:rsidRPr="005F3A42">
        <w:rPr>
          <w:lang w:val="en-GB"/>
        </w:rPr>
        <w:t>HealthConnect</w:t>
      </w:r>
      <w:proofErr w:type="spellEnd"/>
      <w:r w:rsidRPr="005F3A42">
        <w:rPr>
          <w:lang w:val="en-GB"/>
        </w:rPr>
        <w:t xml:space="preserve"> solution from presenting an unvalidated, potentially inequitable tool as finished. Both outcomes  the successful validation and the honestly-reported unresolved issue </w:t>
      </w:r>
      <w:r w:rsidR="005F3A42">
        <w:rPr>
          <w:lang w:val="en-GB"/>
        </w:rPr>
        <w:t xml:space="preserve"> </w:t>
      </w:r>
      <w:r w:rsidRPr="005F3A42">
        <w:rPr>
          <w:lang w:val="en-GB"/>
        </w:rPr>
        <w:t xml:space="preserve">make the eventual </w:t>
      </w:r>
      <w:proofErr w:type="spellStart"/>
      <w:r w:rsidRPr="005F3A42">
        <w:rPr>
          <w:lang w:val="en-GB"/>
        </w:rPr>
        <w:t>HealthConnect</w:t>
      </w:r>
      <w:proofErr w:type="spellEnd"/>
      <w:r w:rsidRPr="005F3A42">
        <w:rPr>
          <w:lang w:val="en-GB"/>
        </w:rPr>
        <w:t xml:space="preserve"> solution more trustworthy than either track could establish alone.</w:t>
      </w:r>
    </w:p>
    <w:p w14:paraId="14FE4E6E" w14:textId="77777777" w:rsidR="009C4780" w:rsidRPr="005F3A42" w:rsidRDefault="00000000">
      <w:pPr>
        <w:pStyle w:val="Heading2"/>
        <w:spacing w:before="240" w:after="120"/>
        <w:rPr>
          <w:lang w:val="en-GB"/>
        </w:rPr>
      </w:pPr>
      <w:r w:rsidRPr="005F3A42">
        <w:rPr>
          <w:lang w:val="en-GB"/>
        </w:rPr>
        <w:t>13. Message Shared with Data Analytics</w:t>
      </w:r>
    </w:p>
    <w:p w14:paraId="7B138DD3" w14:textId="6F2B96FC" w:rsidR="009C4780" w:rsidRPr="005F3A42" w:rsidRDefault="00000000">
      <w:pPr>
        <w:pBdr>
          <w:left w:val="single" w:sz="12" w:space="0" w:color="990011"/>
        </w:pBdr>
        <w:spacing w:after="150"/>
        <w:ind w:left="360"/>
        <w:rPr>
          <w:lang w:val="en-GB"/>
        </w:rPr>
      </w:pPr>
      <w:r w:rsidRPr="005F3A42">
        <w:rPr>
          <w:i/>
          <w:iCs/>
          <w:lang w:val="en-GB"/>
        </w:rPr>
        <w:t>"Tested whether our model's top-risk predictions align with your defined high-risk segments (3+ previous no-shows, 31-60 day lead time, 20km+ distance)  98.3% alignment on the held-out test set. Strong cross-validation of both our approaches. Separately, I found a fairness gap in the model: it performs noticeably worse for female patients (ROC-</w:t>
      </w:r>
      <w:r w:rsidRPr="005F3A42">
        <w:rPr>
          <w:i/>
          <w:iCs/>
          <w:lang w:val="en-GB"/>
        </w:rPr>
        <w:lastRenderedPageBreak/>
        <w:t>AUC 0.64) than male patients (ROC-AUC 0.73). I tried adding gender-interaction features but it didn't fix the gap wanted to flag in case your segment-level analysis shows anything by gender that could help explain this before Week 8."</w:t>
      </w:r>
    </w:p>
    <w:p w14:paraId="3834DCE0" w14:textId="77777777" w:rsidR="009C4780" w:rsidRDefault="00000000">
      <w:pPr>
        <w:pStyle w:val="Heading2"/>
        <w:spacing w:before="240" w:after="120"/>
      </w:pPr>
      <w:r>
        <w:t xml:space="preserve">14. </w:t>
      </w:r>
      <w:proofErr w:type="spellStart"/>
      <w:r>
        <w:t>Summary</w:t>
      </w:r>
      <w:proofErr w:type="spellEnd"/>
      <w:r>
        <w:t xml:space="preserve">: </w:t>
      </w:r>
      <w:proofErr w:type="spellStart"/>
      <w:r>
        <w:t>Testing</w:t>
      </w:r>
      <w:proofErr w:type="spellEnd"/>
      <w:r>
        <w:t xml:space="preserve"> Cycle </w:t>
      </w:r>
      <w:proofErr w:type="spellStart"/>
      <w:r>
        <w:t>Completed</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00"/>
      </w:tblGrid>
      <w:tr w:rsidR="009C4780" w14:paraId="1EDF5C3F" w14:textId="77777777">
        <w:tblPrEx>
          <w:tblCellMar>
            <w:top w:w="0" w:type="dxa"/>
            <w:bottom w:w="0" w:type="dxa"/>
          </w:tblCellMar>
        </w:tblPrEx>
        <w:trPr>
          <w:tblHeader/>
        </w:trPr>
        <w:tc>
          <w:tcPr>
            <w:tcW w:w="2800" w:type="dxa"/>
            <w:shd w:val="clear" w:color="auto" w:fill="990011"/>
            <w:tcMar>
              <w:top w:w="70" w:type="dxa"/>
              <w:left w:w="90" w:type="dxa"/>
              <w:bottom w:w="70" w:type="dxa"/>
              <w:right w:w="90" w:type="dxa"/>
            </w:tcMar>
            <w:vAlign w:val="center"/>
          </w:tcPr>
          <w:p w14:paraId="5F0A55B7" w14:textId="77777777" w:rsidR="009C4780" w:rsidRDefault="00000000">
            <w:r>
              <w:rPr>
                <w:b/>
                <w:bCs/>
                <w:sz w:val="19"/>
                <w:szCs w:val="19"/>
              </w:rPr>
              <w:t>Stage</w:t>
            </w:r>
          </w:p>
        </w:tc>
        <w:tc>
          <w:tcPr>
            <w:tcW w:w="6000" w:type="dxa"/>
            <w:shd w:val="clear" w:color="auto" w:fill="990011"/>
            <w:tcMar>
              <w:top w:w="70" w:type="dxa"/>
              <w:left w:w="90" w:type="dxa"/>
              <w:bottom w:w="70" w:type="dxa"/>
              <w:right w:w="90" w:type="dxa"/>
            </w:tcMar>
            <w:vAlign w:val="center"/>
          </w:tcPr>
          <w:p w14:paraId="2A872D3E" w14:textId="77777777" w:rsidR="009C4780" w:rsidRDefault="00000000">
            <w:r>
              <w:rPr>
                <w:b/>
                <w:bCs/>
                <w:sz w:val="19"/>
                <w:szCs w:val="19"/>
              </w:rPr>
              <w:t>Result</w:t>
            </w:r>
          </w:p>
        </w:tc>
      </w:tr>
      <w:tr w:rsidR="009C4780" w:rsidRPr="005F3A42" w14:paraId="085FDCDF" w14:textId="77777777">
        <w:tblPrEx>
          <w:tblCellMar>
            <w:top w:w="0" w:type="dxa"/>
            <w:bottom w:w="0" w:type="dxa"/>
          </w:tblCellMar>
        </w:tblPrEx>
        <w:tc>
          <w:tcPr>
            <w:tcW w:w="2800" w:type="dxa"/>
            <w:tcMar>
              <w:top w:w="70" w:type="dxa"/>
              <w:left w:w="90" w:type="dxa"/>
              <w:bottom w:w="70" w:type="dxa"/>
              <w:right w:w="90" w:type="dxa"/>
            </w:tcMar>
            <w:vAlign w:val="center"/>
          </w:tcPr>
          <w:p w14:paraId="79E2A39E" w14:textId="77777777" w:rsidR="009C4780" w:rsidRDefault="00000000">
            <w:r>
              <w:rPr>
                <w:sz w:val="19"/>
                <w:szCs w:val="19"/>
              </w:rPr>
              <w:t>Test</w:t>
            </w:r>
          </w:p>
        </w:tc>
        <w:tc>
          <w:tcPr>
            <w:tcW w:w="6000" w:type="dxa"/>
            <w:tcMar>
              <w:top w:w="70" w:type="dxa"/>
              <w:left w:w="90" w:type="dxa"/>
              <w:bottom w:w="70" w:type="dxa"/>
              <w:right w:w="90" w:type="dxa"/>
            </w:tcMar>
            <w:vAlign w:val="center"/>
          </w:tcPr>
          <w:p w14:paraId="06ABD039" w14:textId="77777777" w:rsidR="009C4780" w:rsidRPr="005F3A42" w:rsidRDefault="00000000">
            <w:pPr>
              <w:rPr>
                <w:lang w:val="en-GB"/>
              </w:rPr>
            </w:pPr>
            <w:r w:rsidRPr="005F3A42">
              <w:rPr>
                <w:sz w:val="19"/>
                <w:szCs w:val="19"/>
                <w:lang w:val="en-GB"/>
              </w:rPr>
              <w:t>Model risk predictions vs. Data Analytics high-risk segments</w:t>
            </w:r>
          </w:p>
        </w:tc>
      </w:tr>
      <w:tr w:rsidR="009C4780" w:rsidRPr="005F3A42" w14:paraId="044B6244" w14:textId="77777777">
        <w:tblPrEx>
          <w:tblCellMar>
            <w:top w:w="0" w:type="dxa"/>
            <w:bottom w:w="0" w:type="dxa"/>
          </w:tblCellMar>
        </w:tblPrEx>
        <w:tc>
          <w:tcPr>
            <w:tcW w:w="2800" w:type="dxa"/>
            <w:tcMar>
              <w:top w:w="70" w:type="dxa"/>
              <w:left w:w="90" w:type="dxa"/>
              <w:bottom w:w="70" w:type="dxa"/>
              <w:right w:w="90" w:type="dxa"/>
            </w:tcMar>
            <w:vAlign w:val="center"/>
          </w:tcPr>
          <w:p w14:paraId="60A91966" w14:textId="77777777" w:rsidR="009C4780" w:rsidRDefault="00000000">
            <w:r>
              <w:rPr>
                <w:sz w:val="19"/>
                <w:szCs w:val="19"/>
              </w:rPr>
              <w:t>Finding (validation)</w:t>
            </w:r>
          </w:p>
        </w:tc>
        <w:tc>
          <w:tcPr>
            <w:tcW w:w="6000" w:type="dxa"/>
            <w:tcMar>
              <w:top w:w="70" w:type="dxa"/>
              <w:left w:w="90" w:type="dxa"/>
              <w:bottom w:w="70" w:type="dxa"/>
              <w:right w:w="90" w:type="dxa"/>
            </w:tcMar>
            <w:vAlign w:val="center"/>
          </w:tcPr>
          <w:p w14:paraId="52403558" w14:textId="764C2A5E" w:rsidR="009C4780" w:rsidRPr="005F3A42" w:rsidRDefault="00000000">
            <w:pPr>
              <w:rPr>
                <w:lang w:val="en-GB"/>
              </w:rPr>
            </w:pPr>
            <w:r w:rsidRPr="005F3A42">
              <w:rPr>
                <w:sz w:val="19"/>
                <w:szCs w:val="19"/>
                <w:lang w:val="en-GB"/>
              </w:rPr>
              <w:t>98.3% alignment  successful, no action needed</w:t>
            </w:r>
          </w:p>
        </w:tc>
      </w:tr>
      <w:tr w:rsidR="009C4780" w:rsidRPr="005F3A42" w14:paraId="2302791C" w14:textId="77777777">
        <w:tblPrEx>
          <w:tblCellMar>
            <w:top w:w="0" w:type="dxa"/>
            <w:bottom w:w="0" w:type="dxa"/>
          </w:tblCellMar>
        </w:tblPrEx>
        <w:tc>
          <w:tcPr>
            <w:tcW w:w="2800" w:type="dxa"/>
            <w:tcMar>
              <w:top w:w="70" w:type="dxa"/>
              <w:left w:w="90" w:type="dxa"/>
              <w:bottom w:w="70" w:type="dxa"/>
              <w:right w:w="90" w:type="dxa"/>
            </w:tcMar>
            <w:vAlign w:val="center"/>
          </w:tcPr>
          <w:p w14:paraId="5B057064" w14:textId="77777777" w:rsidR="009C4780" w:rsidRDefault="00000000">
            <w:r>
              <w:rPr>
                <w:sz w:val="19"/>
                <w:szCs w:val="19"/>
              </w:rPr>
              <w:t>Finding (new issue)</w:t>
            </w:r>
          </w:p>
        </w:tc>
        <w:tc>
          <w:tcPr>
            <w:tcW w:w="6000" w:type="dxa"/>
            <w:tcMar>
              <w:top w:w="70" w:type="dxa"/>
              <w:left w:w="90" w:type="dxa"/>
              <w:bottom w:w="70" w:type="dxa"/>
              <w:right w:w="90" w:type="dxa"/>
            </w:tcMar>
            <w:vAlign w:val="center"/>
          </w:tcPr>
          <w:p w14:paraId="7AB5942D" w14:textId="77777777" w:rsidR="009C4780" w:rsidRPr="005F3A42" w:rsidRDefault="00000000">
            <w:pPr>
              <w:rPr>
                <w:lang w:val="en-GB"/>
              </w:rPr>
            </w:pPr>
            <w:r w:rsidRPr="005F3A42">
              <w:rPr>
                <w:sz w:val="19"/>
                <w:szCs w:val="19"/>
                <w:lang w:val="en-GB"/>
              </w:rPr>
              <w:t>Gender fairness gap: 0.725 (M) vs 0.639 (F)</w:t>
            </w:r>
          </w:p>
        </w:tc>
      </w:tr>
      <w:tr w:rsidR="009C4780" w:rsidRPr="005F3A42" w14:paraId="0025E0B3" w14:textId="77777777">
        <w:tblPrEx>
          <w:tblCellMar>
            <w:top w:w="0" w:type="dxa"/>
            <w:bottom w:w="0" w:type="dxa"/>
          </w:tblCellMar>
        </w:tblPrEx>
        <w:tc>
          <w:tcPr>
            <w:tcW w:w="2800" w:type="dxa"/>
            <w:tcMar>
              <w:top w:w="70" w:type="dxa"/>
              <w:left w:w="90" w:type="dxa"/>
              <w:bottom w:w="70" w:type="dxa"/>
              <w:right w:w="90" w:type="dxa"/>
            </w:tcMar>
            <w:vAlign w:val="center"/>
          </w:tcPr>
          <w:p w14:paraId="30ECFD44" w14:textId="77777777" w:rsidR="009C4780" w:rsidRDefault="00000000">
            <w:proofErr w:type="spellStart"/>
            <w:r>
              <w:rPr>
                <w:sz w:val="19"/>
                <w:szCs w:val="19"/>
              </w:rPr>
              <w:t>Refinement</w:t>
            </w:r>
            <w:proofErr w:type="spellEnd"/>
          </w:p>
        </w:tc>
        <w:tc>
          <w:tcPr>
            <w:tcW w:w="6000" w:type="dxa"/>
            <w:tcMar>
              <w:top w:w="70" w:type="dxa"/>
              <w:left w:w="90" w:type="dxa"/>
              <w:bottom w:w="70" w:type="dxa"/>
              <w:right w:w="90" w:type="dxa"/>
            </w:tcMar>
            <w:vAlign w:val="center"/>
          </w:tcPr>
          <w:p w14:paraId="0EBCE83B" w14:textId="77777777" w:rsidR="009C4780" w:rsidRPr="005F3A42" w:rsidRDefault="00000000">
            <w:pPr>
              <w:rPr>
                <w:lang w:val="en-GB"/>
              </w:rPr>
            </w:pPr>
            <w:r w:rsidRPr="005F3A42">
              <w:rPr>
                <w:sz w:val="19"/>
                <w:szCs w:val="19"/>
                <w:lang w:val="en-GB"/>
              </w:rPr>
              <w:t>Gender-interaction features added and retrained</w:t>
            </w:r>
          </w:p>
        </w:tc>
      </w:tr>
      <w:tr w:rsidR="009C4780" w:rsidRPr="005F3A42" w14:paraId="049515DA" w14:textId="77777777">
        <w:tblPrEx>
          <w:tblCellMar>
            <w:top w:w="0" w:type="dxa"/>
            <w:bottom w:w="0" w:type="dxa"/>
          </w:tblCellMar>
        </w:tblPrEx>
        <w:tc>
          <w:tcPr>
            <w:tcW w:w="2800" w:type="dxa"/>
            <w:tcMar>
              <w:top w:w="70" w:type="dxa"/>
              <w:left w:w="90" w:type="dxa"/>
              <w:bottom w:w="70" w:type="dxa"/>
              <w:right w:w="90" w:type="dxa"/>
            </w:tcMar>
            <w:vAlign w:val="center"/>
          </w:tcPr>
          <w:p w14:paraId="4829EE85" w14:textId="77777777" w:rsidR="009C4780" w:rsidRDefault="00000000">
            <w:proofErr w:type="spellStart"/>
            <w:r>
              <w:rPr>
                <w:sz w:val="19"/>
                <w:szCs w:val="19"/>
              </w:rPr>
              <w:t>Re-test</w:t>
            </w:r>
            <w:proofErr w:type="spellEnd"/>
          </w:p>
        </w:tc>
        <w:tc>
          <w:tcPr>
            <w:tcW w:w="6000" w:type="dxa"/>
            <w:tcMar>
              <w:top w:w="70" w:type="dxa"/>
              <w:left w:w="90" w:type="dxa"/>
              <w:bottom w:w="70" w:type="dxa"/>
              <w:right w:w="90" w:type="dxa"/>
            </w:tcMar>
            <w:vAlign w:val="center"/>
          </w:tcPr>
          <w:p w14:paraId="0BB046B4" w14:textId="63025CD8" w:rsidR="009C4780" w:rsidRPr="005F3A42" w:rsidRDefault="00000000">
            <w:pPr>
              <w:rPr>
                <w:lang w:val="en-GB"/>
              </w:rPr>
            </w:pPr>
            <w:r w:rsidRPr="005F3A42">
              <w:rPr>
                <w:sz w:val="19"/>
                <w:szCs w:val="19"/>
                <w:lang w:val="en-GB"/>
              </w:rPr>
              <w:t>Gap unchanged (0.723 vs 0.636)  refinement unsuccessful</w:t>
            </w:r>
          </w:p>
        </w:tc>
      </w:tr>
      <w:tr w:rsidR="009C4780" w:rsidRPr="005F3A42" w14:paraId="1A15345A" w14:textId="77777777">
        <w:tblPrEx>
          <w:tblCellMar>
            <w:top w:w="0" w:type="dxa"/>
            <w:bottom w:w="0" w:type="dxa"/>
          </w:tblCellMar>
        </w:tblPrEx>
        <w:tc>
          <w:tcPr>
            <w:tcW w:w="2800" w:type="dxa"/>
            <w:tcMar>
              <w:top w:w="70" w:type="dxa"/>
              <w:left w:w="90" w:type="dxa"/>
              <w:bottom w:w="70" w:type="dxa"/>
              <w:right w:w="90" w:type="dxa"/>
            </w:tcMar>
            <w:vAlign w:val="center"/>
          </w:tcPr>
          <w:p w14:paraId="6673F0FC" w14:textId="77777777" w:rsidR="009C4780" w:rsidRDefault="00000000">
            <w:proofErr w:type="spellStart"/>
            <w:r>
              <w:rPr>
                <w:sz w:val="19"/>
                <w:szCs w:val="19"/>
              </w:rPr>
              <w:t>Outcome</w:t>
            </w:r>
            <w:proofErr w:type="spellEnd"/>
          </w:p>
        </w:tc>
        <w:tc>
          <w:tcPr>
            <w:tcW w:w="6000" w:type="dxa"/>
            <w:tcMar>
              <w:top w:w="70" w:type="dxa"/>
              <w:left w:w="90" w:type="dxa"/>
              <w:bottom w:w="70" w:type="dxa"/>
              <w:right w:w="90" w:type="dxa"/>
            </w:tcMar>
            <w:vAlign w:val="center"/>
          </w:tcPr>
          <w:p w14:paraId="08F0D482" w14:textId="77777777" w:rsidR="009C4780" w:rsidRPr="005F3A42" w:rsidRDefault="00000000">
            <w:pPr>
              <w:rPr>
                <w:lang w:val="en-GB"/>
              </w:rPr>
            </w:pPr>
            <w:r w:rsidRPr="005F3A42">
              <w:rPr>
                <w:sz w:val="19"/>
                <w:szCs w:val="19"/>
                <w:lang w:val="en-GB"/>
              </w:rPr>
              <w:t>Issue documented as open; readiness assessment revised</w:t>
            </w:r>
          </w:p>
        </w:tc>
      </w:tr>
    </w:tbl>
    <w:p w14:paraId="3A863238" w14:textId="77777777" w:rsidR="00921891" w:rsidRPr="005F3A42" w:rsidRDefault="00921891">
      <w:pPr>
        <w:rPr>
          <w:lang w:val="en-GB"/>
        </w:rPr>
      </w:pPr>
    </w:p>
    <w:sectPr w:rsidR="00921891" w:rsidRPr="005F3A42">
      <w:pgSz w:w="12240" w:h="15840"/>
      <w:pgMar w:top="135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978A1"/>
    <w:multiLevelType w:val="hybridMultilevel"/>
    <w:tmpl w:val="CE3A000E"/>
    <w:lvl w:ilvl="0" w:tplc="5F3E2A6C">
      <w:start w:val="1"/>
      <w:numFmt w:val="bullet"/>
      <w:lvlText w:val="●"/>
      <w:lvlJc w:val="left"/>
      <w:pPr>
        <w:ind w:left="720" w:hanging="360"/>
      </w:pPr>
    </w:lvl>
    <w:lvl w:ilvl="1" w:tplc="EFCE3420">
      <w:start w:val="1"/>
      <w:numFmt w:val="bullet"/>
      <w:lvlText w:val="○"/>
      <w:lvlJc w:val="left"/>
      <w:pPr>
        <w:ind w:left="1440" w:hanging="360"/>
      </w:pPr>
    </w:lvl>
    <w:lvl w:ilvl="2" w:tplc="1AC441E4">
      <w:start w:val="1"/>
      <w:numFmt w:val="bullet"/>
      <w:lvlText w:val="■"/>
      <w:lvlJc w:val="left"/>
      <w:pPr>
        <w:ind w:left="2160" w:hanging="360"/>
      </w:pPr>
    </w:lvl>
    <w:lvl w:ilvl="3" w:tplc="121622C4">
      <w:start w:val="1"/>
      <w:numFmt w:val="bullet"/>
      <w:lvlText w:val="●"/>
      <w:lvlJc w:val="left"/>
      <w:pPr>
        <w:ind w:left="2880" w:hanging="360"/>
      </w:pPr>
    </w:lvl>
    <w:lvl w:ilvl="4" w:tplc="18561C40">
      <w:start w:val="1"/>
      <w:numFmt w:val="bullet"/>
      <w:lvlText w:val="○"/>
      <w:lvlJc w:val="left"/>
      <w:pPr>
        <w:ind w:left="3600" w:hanging="360"/>
      </w:pPr>
    </w:lvl>
    <w:lvl w:ilvl="5" w:tplc="0C9036B8">
      <w:start w:val="1"/>
      <w:numFmt w:val="bullet"/>
      <w:lvlText w:val="■"/>
      <w:lvlJc w:val="left"/>
      <w:pPr>
        <w:ind w:left="4320" w:hanging="360"/>
      </w:pPr>
    </w:lvl>
    <w:lvl w:ilvl="6" w:tplc="B5760B2E">
      <w:start w:val="1"/>
      <w:numFmt w:val="bullet"/>
      <w:lvlText w:val="●"/>
      <w:lvlJc w:val="left"/>
      <w:pPr>
        <w:ind w:left="5040" w:hanging="360"/>
      </w:pPr>
    </w:lvl>
    <w:lvl w:ilvl="7" w:tplc="59B88034">
      <w:start w:val="1"/>
      <w:numFmt w:val="bullet"/>
      <w:lvlText w:val="●"/>
      <w:lvlJc w:val="left"/>
      <w:pPr>
        <w:ind w:left="5760" w:hanging="360"/>
      </w:pPr>
    </w:lvl>
    <w:lvl w:ilvl="8" w:tplc="E1B47060">
      <w:start w:val="1"/>
      <w:numFmt w:val="bullet"/>
      <w:lvlText w:val="●"/>
      <w:lvlJc w:val="left"/>
      <w:pPr>
        <w:ind w:left="6480" w:hanging="360"/>
      </w:pPr>
    </w:lvl>
  </w:abstractNum>
  <w:num w:numId="1" w16cid:durableId="1031033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0"/>
    <w:rsid w:val="005F3A42"/>
    <w:rsid w:val="00921891"/>
    <w:rsid w:val="009C4780"/>
    <w:rsid w:val="00FD35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2860"/>
  <w15:docId w15:val="{CDEC21C4-95AA-4571-8B5B-8C74EFC9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904</Words>
  <Characters>4974</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2026-09-17T22:47:00Z</dcterms:created>
  <dcterms:modified xsi:type="dcterms:W3CDTF">2026-09-20T16:01:00Z</dcterms:modified>
</cp:coreProperties>
</file>