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6930" w14:textId="77777777" w:rsidR="00110659" w:rsidRDefault="00000000">
      <w:pPr>
        <w:spacing w:after="150"/>
        <w:jc w:val="center"/>
      </w:pPr>
      <w:r>
        <w:rPr>
          <w:noProof/>
        </w:rPr>
        <w:drawing>
          <wp:inline distT="0" distB="0" distL="0" distR="0" wp14:anchorId="34CC937D" wp14:editId="2742E792">
            <wp:extent cx="66675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0B57" w14:textId="77777777" w:rsidR="00110659" w:rsidRPr="009720E4" w:rsidRDefault="00000000">
      <w:pPr>
        <w:spacing w:after="100"/>
        <w:rPr>
          <w:lang w:val="en-GB"/>
        </w:rPr>
      </w:pPr>
      <w:r w:rsidRPr="009720E4">
        <w:rPr>
          <w:b/>
          <w:bCs/>
          <w:sz w:val="32"/>
          <w:szCs w:val="32"/>
          <w:lang w:val="en-GB"/>
        </w:rPr>
        <w:t>HealthConnect Final HC-POD Integration Record</w:t>
      </w:r>
    </w:p>
    <w:p w14:paraId="67A9C538" w14:textId="0DA6F6B8" w:rsidR="00110659" w:rsidRPr="009720E4" w:rsidRDefault="00000000">
      <w:pPr>
        <w:spacing w:after="100"/>
        <w:rPr>
          <w:lang w:val="en-GB"/>
        </w:rPr>
      </w:pPr>
      <w:r w:rsidRPr="009720E4">
        <w:rPr>
          <w:i/>
          <w:iCs/>
          <w:color w:val="555555"/>
          <w:sz w:val="24"/>
          <w:szCs w:val="24"/>
          <w:lang w:val="en-GB"/>
        </w:rPr>
        <w:t xml:space="preserve">Week 8 </w:t>
      </w:r>
      <w:r w:rsidR="009720E4">
        <w:rPr>
          <w:i/>
          <w:iCs/>
          <w:color w:val="555555"/>
          <w:sz w:val="24"/>
          <w:szCs w:val="24"/>
          <w:lang w:val="en-GB"/>
        </w:rPr>
        <w:t>-</w:t>
      </w:r>
      <w:r w:rsidRPr="009720E4">
        <w:rPr>
          <w:i/>
          <w:iCs/>
          <w:color w:val="555555"/>
          <w:sz w:val="24"/>
          <w:szCs w:val="24"/>
          <w:lang w:val="en-GB"/>
        </w:rPr>
        <w:t xml:space="preserve"> Mandatory HC-POD Final Integration (Section 9)</w:t>
      </w:r>
    </w:p>
    <w:p w14:paraId="76FFF385" w14:textId="772762BA" w:rsidR="00110659" w:rsidRPr="009720E4" w:rsidRDefault="00000000">
      <w:pPr>
        <w:spacing w:after="300"/>
        <w:rPr>
          <w:lang w:val="en-GB"/>
        </w:rPr>
      </w:pPr>
      <w:r w:rsidRPr="009720E4">
        <w:rPr>
          <w:color w:val="777777"/>
          <w:lang w:val="en-GB"/>
        </w:rPr>
        <w:t xml:space="preserve">AnalystLab Africa </w:t>
      </w:r>
      <w:r w:rsidR="009720E4">
        <w:rPr>
          <w:color w:val="777777"/>
          <w:lang w:val="en-GB"/>
        </w:rPr>
        <w:t>-</w:t>
      </w:r>
      <w:r w:rsidRPr="009720E4">
        <w:rPr>
          <w:color w:val="777777"/>
          <w:lang w:val="en-GB"/>
        </w:rPr>
        <w:t xml:space="preserve"> Experience Lab Internship Programme  |  Data Science Track</w:t>
      </w:r>
    </w:p>
    <w:p w14:paraId="542E3106" w14:textId="0EBA8C32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This document records the final, evidence-based integration activity between Data Science and Data Analytics for the HealthConnect project, structured around the 9 required documentation points of Section 9. It builds on</w:t>
      </w:r>
      <w:r w:rsidR="009720E4">
        <w:rPr>
          <w:lang w:val="en-GB"/>
        </w:rPr>
        <w:t xml:space="preserve">, </w:t>
      </w:r>
      <w:r w:rsidRPr="009720E4">
        <w:rPr>
          <w:lang w:val="en-GB"/>
        </w:rPr>
        <w:t xml:space="preserve"> and finalises</w:t>
      </w:r>
      <w:r w:rsidR="009720E4">
        <w:rPr>
          <w:lang w:val="en-GB"/>
        </w:rPr>
        <w:t>,</w:t>
      </w:r>
      <w:r w:rsidRPr="009720E4">
        <w:rPr>
          <w:lang w:val="en-GB"/>
        </w:rPr>
        <w:t xml:space="preserve"> the Week 7 cross-track validation, moving from "tested" to "integrated into the final solution."</w:t>
      </w:r>
    </w:p>
    <w:p w14:paraId="0B1B88D4" w14:textId="77777777" w:rsidR="00110659" w:rsidRPr="009720E4" w:rsidRDefault="00000000">
      <w:pPr>
        <w:pStyle w:val="Heading1"/>
        <w:spacing w:before="300" w:after="150"/>
        <w:rPr>
          <w:lang w:val="en-GB"/>
        </w:rPr>
      </w:pPr>
      <w:r w:rsidRPr="009720E4">
        <w:rPr>
          <w:lang w:val="en-GB"/>
        </w:rPr>
        <w:t>1. Track Collaborated With</w:t>
      </w:r>
    </w:p>
    <w:p w14:paraId="3A5CD1BB" w14:textId="77777777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Data Analytics.</w:t>
      </w:r>
    </w:p>
    <w:p w14:paraId="15E6CCED" w14:textId="77777777" w:rsidR="00110659" w:rsidRPr="009720E4" w:rsidRDefault="00000000">
      <w:pPr>
        <w:pStyle w:val="Heading1"/>
        <w:spacing w:before="300" w:after="150"/>
        <w:rPr>
          <w:lang w:val="en-GB"/>
        </w:rPr>
      </w:pPr>
      <w:r w:rsidRPr="009720E4">
        <w:rPr>
          <w:lang w:val="en-GB"/>
        </w:rPr>
        <w:t>2. Dependency</w:t>
      </w:r>
    </w:p>
    <w:p w14:paraId="52505958" w14:textId="77777777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The final HealthConnect solution needs the predictive model's risk flags and the analytics team's descriptive high-risk segments to tell one consistent story for the final presentation, rather than two independently-produced findings that a reader would have to reconcile themselves.</w:t>
      </w:r>
    </w:p>
    <w:p w14:paraId="6F80561D" w14:textId="77777777" w:rsidR="00110659" w:rsidRPr="009720E4" w:rsidRDefault="00000000">
      <w:pPr>
        <w:pStyle w:val="Heading1"/>
        <w:spacing w:before="300" w:after="150"/>
        <w:rPr>
          <w:lang w:val="en-GB"/>
        </w:rPr>
      </w:pPr>
      <w:r w:rsidRPr="009720E4">
        <w:rPr>
          <w:lang w:val="en-GB"/>
        </w:rPr>
        <w:t>3. Output Received</w:t>
      </w:r>
    </w:p>
    <w:p w14:paraId="29748BE0" w14:textId="77777777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Data Analytics' finalised high-risk segment definitions and KPI figures for Week 8 (validated no-show rate by previous-no-show history, by 31–60 day lead-time band, by reminder status, and by distance to clinic), used as the independent reference for the final alignment check.</w:t>
      </w:r>
    </w:p>
    <w:p w14:paraId="7726D53B" w14:textId="77777777" w:rsidR="00110659" w:rsidRPr="009720E4" w:rsidRDefault="00000000">
      <w:pPr>
        <w:pStyle w:val="Heading1"/>
        <w:spacing w:before="300" w:after="150"/>
        <w:rPr>
          <w:lang w:val="en-GB"/>
        </w:rPr>
      </w:pPr>
      <w:r w:rsidRPr="009720E4">
        <w:rPr>
          <w:lang w:val="en-GB"/>
        </w:rPr>
        <w:t>4. Output Provided</w:t>
      </w:r>
    </w:p>
    <w:p w14:paraId="27CF35DE" w14:textId="77777777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The final model's threshold-tuned risk predictions, plus two Week 7 error-analysis findings relevant to Data Analytics' own segment work: (a) the 98.3% alignment result itself, and (b) the newly-discovered lead-time blind spot, which affects how confidently the 31–60 day segment finding should be described as "model-confirmed" versus "analytics-only."</w:t>
      </w:r>
    </w:p>
    <w:p w14:paraId="53523BD2" w14:textId="77777777" w:rsidR="00110659" w:rsidRPr="009720E4" w:rsidRDefault="00000000">
      <w:pPr>
        <w:pStyle w:val="Heading1"/>
        <w:spacing w:before="300" w:after="150"/>
        <w:rPr>
          <w:lang w:val="en-GB"/>
        </w:rPr>
      </w:pPr>
      <w:r w:rsidRPr="009720E4">
        <w:rPr>
          <w:lang w:val="en-GB"/>
        </w:rPr>
        <w:t>5. Final Integration Activity</w:t>
      </w:r>
    </w:p>
    <w:p w14:paraId="14CDCDA5" w14:textId="77777777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Reconciled the Data Science model's risk flags against Data Analytics' independently-validated segments for the final presentation narrative, and confirmed which of Data Analytics' KPI patterns the model's error analysis independently corroborates versus which remain analytics-only findings not yet confirmed at the model level.</w:t>
      </w:r>
    </w:p>
    <w:p w14:paraId="3656EB10" w14:textId="77777777" w:rsidR="00110659" w:rsidRDefault="00000000">
      <w:pPr>
        <w:pStyle w:val="Heading1"/>
        <w:spacing w:before="300" w:after="150"/>
      </w:pPr>
      <w:r>
        <w:t>6. What Changed</w:t>
      </w:r>
    </w:p>
    <w:p w14:paraId="3F84A086" w14:textId="77777777" w:rsidR="00110659" w:rsidRPr="009720E4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9720E4">
        <w:rPr>
          <w:lang w:val="en-GB"/>
        </w:rPr>
        <w:t>The 98.3% alignment finding, provisional in Week 7, is now the finalised, presentation-ready statement of model–analytics agreement.</w:t>
      </w:r>
    </w:p>
    <w:p w14:paraId="5E0F1B1B" w14:textId="46D94522" w:rsidR="00110659" w:rsidRPr="009720E4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9720E4">
        <w:rPr>
          <w:lang w:val="en-GB"/>
        </w:rPr>
        <w:t>The lead-time blind spot is now explicitly cross-referenced against Data Analytics' 31–60 day segment finding, clarifying that Data Analytics' descriptive pattern (elevated no-show rate in that band) and the model's predictive strength in that same band are two independent, mutually-reinforcing pieces of evidence</w:t>
      </w:r>
      <w:r w:rsidR="009720E4">
        <w:rPr>
          <w:lang w:val="en-GB"/>
        </w:rPr>
        <w:t>,</w:t>
      </w:r>
      <w:r w:rsidRPr="009720E4">
        <w:rPr>
          <w:lang w:val="en-GB"/>
        </w:rPr>
        <w:t xml:space="preserve"> not a single finding restated twice.</w:t>
      </w:r>
    </w:p>
    <w:p w14:paraId="048FC044" w14:textId="77777777" w:rsidR="00110659" w:rsidRPr="009720E4" w:rsidRDefault="00000000">
      <w:pPr>
        <w:pStyle w:val="Heading1"/>
        <w:spacing w:before="300" w:after="150"/>
        <w:rPr>
          <w:lang w:val="en-GB"/>
        </w:rPr>
      </w:pPr>
      <w:r w:rsidRPr="009720E4">
        <w:rPr>
          <w:lang w:val="en-GB"/>
        </w:rPr>
        <w:lastRenderedPageBreak/>
        <w:t>7. How the Change Improved the Solution</w:t>
      </w:r>
    </w:p>
    <w:p w14:paraId="19CFA1EF" w14:textId="30D436B8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The final HealthConnect presentation can now state, with two independent forms of evidence, that the 31–60 day lead-time segment is both descriptively elevated in risk (Data Analytics) and the segment the predictive model handles best (Data Science)</w:t>
      </w:r>
      <w:r w:rsidR="009720E4">
        <w:rPr>
          <w:lang w:val="en-GB"/>
        </w:rPr>
        <w:t>,</w:t>
      </w:r>
      <w:r w:rsidRPr="009720E4">
        <w:rPr>
          <w:lang w:val="en-GB"/>
        </w:rPr>
        <w:t xml:space="preserve"> a stronger, more defensible claim than either track could make alone. It also ensures the model's known weakness (short-lead no-shows) is presented consistently across both tracks' final materials, rather than only appearing in the Data Science documentation.</w:t>
      </w:r>
    </w:p>
    <w:p w14:paraId="4D840E43" w14:textId="77777777" w:rsidR="00110659" w:rsidRDefault="00000000">
      <w:pPr>
        <w:pStyle w:val="Heading1"/>
        <w:spacing w:before="300" w:after="150"/>
      </w:pPr>
      <w:r>
        <w:t>8. Evidence</w:t>
      </w:r>
    </w:p>
    <w:p w14:paraId="5E240245" w14:textId="0BDFB71A" w:rsidR="00110659" w:rsidRPr="009720E4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9720E4">
        <w:rPr>
          <w:lang w:val="en-GB"/>
        </w:rPr>
        <w:t>HealthConnect_Model_Testing_Refinement.ipynb</w:t>
      </w:r>
      <w:r w:rsidR="009720E4">
        <w:rPr>
          <w:lang w:val="en-GB"/>
        </w:rPr>
        <w:t>,</w:t>
      </w:r>
      <w:r w:rsidRPr="009720E4">
        <w:rPr>
          <w:lang w:val="en-GB"/>
        </w:rPr>
        <w:t xml:space="preserve"> Part 3a (confusion matrix and error analysis by lead_band) and Part 4a (cross-track alignment test).</w:t>
      </w:r>
    </w:p>
    <w:p w14:paraId="2677FA6B" w14:textId="2507C345" w:rsidR="00110659" w:rsidRPr="009720E4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9720E4">
        <w:rPr>
          <w:lang w:val="en-GB"/>
        </w:rPr>
        <w:t>Week7_CrossTrack_Testing_Evidence.docx</w:t>
      </w:r>
      <w:r w:rsidR="009720E4">
        <w:rPr>
          <w:lang w:val="en-GB"/>
        </w:rPr>
        <w:t>,</w:t>
      </w:r>
      <w:r w:rsidRPr="009720E4">
        <w:rPr>
          <w:lang w:val="en-GB"/>
        </w:rPr>
        <w:t xml:space="preserve"> full 12-point record of the original Week 7 validation activity.</w:t>
      </w:r>
    </w:p>
    <w:p w14:paraId="63CE9D2E" w14:textId="2CD03D54" w:rsidR="00110659" w:rsidRPr="009720E4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9720E4">
        <w:rPr>
          <w:lang w:val="en-GB"/>
        </w:rPr>
        <w:t>Week8_Final_Model_Documentation.docx</w:t>
      </w:r>
      <w:r w:rsidR="009720E4">
        <w:rPr>
          <w:lang w:val="en-GB"/>
        </w:rPr>
        <w:t>,</w:t>
      </w:r>
      <w:r w:rsidRPr="009720E4">
        <w:rPr>
          <w:lang w:val="en-GB"/>
        </w:rPr>
        <w:t xml:space="preserve"> Section 3.3 (Error Analysis Summary) and Section 6 (Cross-Track Contribution).</w:t>
      </w:r>
    </w:p>
    <w:p w14:paraId="0870E467" w14:textId="77777777" w:rsidR="00110659" w:rsidRPr="009720E4" w:rsidRDefault="00000000">
      <w:pPr>
        <w:pStyle w:val="Heading1"/>
        <w:spacing w:before="300" w:after="150"/>
        <w:rPr>
          <w:lang w:val="en-GB"/>
        </w:rPr>
      </w:pPr>
      <w:r w:rsidRPr="009720E4">
        <w:rPr>
          <w:lang w:val="en-GB"/>
        </w:rPr>
        <w:t>9. Contribution to the Final Presentation</w:t>
      </w:r>
    </w:p>
    <w:p w14:paraId="6DF6EC1A" w14:textId="5C7127D5" w:rsidR="00110659" w:rsidRPr="009720E4" w:rsidRDefault="00000000">
      <w:pPr>
        <w:spacing w:after="120"/>
        <w:rPr>
          <w:lang w:val="en-GB"/>
        </w:rPr>
      </w:pPr>
      <w:r w:rsidRPr="009720E4">
        <w:rPr>
          <w:lang w:val="en-GB"/>
        </w:rPr>
        <w:t>This integration record provides the HC-POD's final presentation with a single, reconciled statement about the 31–60 day lead-time segment and the model's fairness/lead-time limitations, supported by evidence from both tracks</w:t>
      </w:r>
      <w:r w:rsidR="009720E4">
        <w:rPr>
          <w:lang w:val="en-GB"/>
        </w:rPr>
        <w:t>,</w:t>
      </w:r>
      <w:r w:rsidRPr="009720E4">
        <w:rPr>
          <w:lang w:val="en-GB"/>
        </w:rPr>
        <w:t xml:space="preserve"> avoiding the risk of the presentation containing two inconsistent or redundant claims about the same underlying pattern.</w:t>
      </w:r>
    </w:p>
    <w:sectPr w:rsidR="00110659" w:rsidRPr="009720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9627B"/>
    <w:multiLevelType w:val="hybridMultilevel"/>
    <w:tmpl w:val="87008D96"/>
    <w:lvl w:ilvl="0" w:tplc="5FB29C60">
      <w:start w:val="1"/>
      <w:numFmt w:val="bullet"/>
      <w:lvlText w:val="●"/>
      <w:lvlJc w:val="left"/>
      <w:pPr>
        <w:ind w:left="720" w:hanging="360"/>
      </w:pPr>
    </w:lvl>
    <w:lvl w:ilvl="1" w:tplc="AF76EBD0">
      <w:start w:val="1"/>
      <w:numFmt w:val="bullet"/>
      <w:lvlText w:val="○"/>
      <w:lvlJc w:val="left"/>
      <w:pPr>
        <w:ind w:left="1440" w:hanging="360"/>
      </w:pPr>
    </w:lvl>
    <w:lvl w:ilvl="2" w:tplc="2598BDA0">
      <w:start w:val="1"/>
      <w:numFmt w:val="bullet"/>
      <w:lvlText w:val="■"/>
      <w:lvlJc w:val="left"/>
      <w:pPr>
        <w:ind w:left="2160" w:hanging="360"/>
      </w:pPr>
    </w:lvl>
    <w:lvl w:ilvl="3" w:tplc="2B56ED10">
      <w:start w:val="1"/>
      <w:numFmt w:val="bullet"/>
      <w:lvlText w:val="●"/>
      <w:lvlJc w:val="left"/>
      <w:pPr>
        <w:ind w:left="2880" w:hanging="360"/>
      </w:pPr>
    </w:lvl>
    <w:lvl w:ilvl="4" w:tplc="1BCCC006">
      <w:start w:val="1"/>
      <w:numFmt w:val="bullet"/>
      <w:lvlText w:val="○"/>
      <w:lvlJc w:val="left"/>
      <w:pPr>
        <w:ind w:left="3600" w:hanging="360"/>
      </w:pPr>
    </w:lvl>
    <w:lvl w:ilvl="5" w:tplc="2432E69A">
      <w:start w:val="1"/>
      <w:numFmt w:val="bullet"/>
      <w:lvlText w:val="■"/>
      <w:lvlJc w:val="left"/>
      <w:pPr>
        <w:ind w:left="4320" w:hanging="360"/>
      </w:pPr>
    </w:lvl>
    <w:lvl w:ilvl="6" w:tplc="5FB660BC">
      <w:start w:val="1"/>
      <w:numFmt w:val="bullet"/>
      <w:lvlText w:val="●"/>
      <w:lvlJc w:val="left"/>
      <w:pPr>
        <w:ind w:left="5040" w:hanging="360"/>
      </w:pPr>
    </w:lvl>
    <w:lvl w:ilvl="7" w:tplc="8654B12C">
      <w:start w:val="1"/>
      <w:numFmt w:val="bullet"/>
      <w:lvlText w:val="●"/>
      <w:lvlJc w:val="left"/>
      <w:pPr>
        <w:ind w:left="5760" w:hanging="360"/>
      </w:pPr>
    </w:lvl>
    <w:lvl w:ilvl="8" w:tplc="665E83FC">
      <w:start w:val="1"/>
      <w:numFmt w:val="bullet"/>
      <w:lvlText w:val="●"/>
      <w:lvlJc w:val="left"/>
      <w:pPr>
        <w:ind w:left="6480" w:hanging="360"/>
      </w:pPr>
    </w:lvl>
  </w:abstractNum>
  <w:num w:numId="1" w16cid:durableId="2078362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59"/>
    <w:rsid w:val="00110659"/>
    <w:rsid w:val="005A0DEB"/>
    <w:rsid w:val="0097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9CD1B"/>
  <w15:docId w15:val="{C46E222F-A221-4380-9BA3-1D64C353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MARIAMA NIANG</cp:lastModifiedBy>
  <cp:revision>2</cp:revision>
  <dcterms:created xsi:type="dcterms:W3CDTF">2026-09-27T19:04:00Z</dcterms:created>
  <dcterms:modified xsi:type="dcterms:W3CDTF">2026-09-27T19:33:00Z</dcterms:modified>
</cp:coreProperties>
</file>