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293B82">
        <w:rPr>
          <w:rFonts w:ascii="Times New Roman" w:eastAsia="Times New Roman" w:hAnsi="Times New Roman" w:cs="Times New Roman"/>
          <w:color w:val="000000" w:themeColor="text1"/>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293B82">
        <w:rPr>
          <w:rFonts w:ascii="Times New Roman" w:eastAsia="Times New Roman" w:hAnsi="Times New Roman" w:cs="Times New Roman"/>
          <w:color w:val="000000" w:themeColor="text1"/>
        </w:rPr>
        <w:t>phyla when comparing between sexes, and core microbiome analysis showed a greater diversity of unique microbial genera</w:t>
      </w:r>
      <w:r w:rsidRPr="00293B82">
        <w:rPr>
          <w:rFonts w:ascii="Times New Roman" w:eastAsia="Times New Roman" w:hAnsi="Times New Roman" w:cs="Times New Roman"/>
          <w:color w:val="FF0000"/>
        </w:rPr>
        <w:t>.</w:t>
      </w:r>
      <w:r>
        <w:rPr>
          <w:rFonts w:ascii="Times New Roman" w:eastAsia="Times New Roman" w:hAnsi="Times New Roman" w:cs="Times New Roman"/>
        </w:rPr>
        <w:t xml:space="preserve"> DESeq2 results showed more unique upregulated </w:t>
      </w:r>
      <w:r w:rsidRPr="00293B82">
        <w:rPr>
          <w:rFonts w:ascii="Times New Roman" w:eastAsia="Times New Roman" w:hAnsi="Times New Roman" w:cs="Times New Roman"/>
          <w:color w:val="000000" w:themeColor="text1"/>
        </w:rPr>
        <w:t>genera</w:t>
      </w:r>
      <w:r w:rsidRPr="00293B82">
        <w:rPr>
          <w:rFonts w:ascii="Times New Roman" w:eastAsia="Times New Roman" w:hAnsi="Times New Roman" w:cs="Times New Roman"/>
          <w:color w:val="FF0000"/>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r w:rsidRPr="00293B82">
        <w:rPr>
          <w:rFonts w:ascii="Times New Roman" w:eastAsia="Times New Roman" w:hAnsi="Times New Roman" w:cs="Times New Roman"/>
          <w:i/>
          <w:iCs/>
        </w:rPr>
        <w:t>Corynebacterium</w:t>
      </w:r>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293B82">
        <w:rPr>
          <w:rFonts w:ascii="Times New Roman" w:eastAsia="Times New Roman" w:hAnsi="Times New Roman" w:cs="Times New Roman"/>
          <w:i/>
          <w:iCs/>
        </w:rPr>
        <w:t>Qipengyuania</w:t>
      </w:r>
      <w:proofErr w:type="spellEnd"/>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Anaerococcus</w:t>
      </w:r>
      <w:proofErr w:type="spellEnd"/>
      <w:r w:rsidRPr="00293B82">
        <w:rPr>
          <w:rFonts w:ascii="Times New Roman" w:eastAsia="Times New Roman" w:hAnsi="Times New Roman" w:cs="Times New Roman"/>
          <w:i/>
          <w:iCs/>
        </w:rPr>
        <w:t xml:space="preserve"> </w:t>
      </w:r>
      <w:r>
        <w:rPr>
          <w:rFonts w:ascii="Times New Roman" w:eastAsia="Times New Roman" w:hAnsi="Times New Roman" w:cs="Times New Roman"/>
        </w:rPr>
        <w:t xml:space="preserve">for females and </w:t>
      </w:r>
      <w:proofErr w:type="spellStart"/>
      <w:r w:rsidRPr="00293B82">
        <w:rPr>
          <w:rFonts w:ascii="Times New Roman" w:eastAsia="Times New Roman" w:hAnsi="Times New Roman" w:cs="Times New Roman"/>
          <w:i/>
          <w:iCs/>
        </w:rPr>
        <w:t>Aggregatibacter</w:t>
      </w:r>
      <w:proofErr w:type="spellEnd"/>
      <w:r>
        <w:rPr>
          <w:rFonts w:ascii="Times New Roman" w:eastAsia="Times New Roman" w:hAnsi="Times New Roman" w:cs="Times New Roman"/>
        </w:rPr>
        <w:t xml:space="preserve"> and </w:t>
      </w:r>
      <w:r w:rsidRPr="00293B82">
        <w:rPr>
          <w:rFonts w:ascii="Times New Roman" w:eastAsia="Times New Roman" w:hAnsi="Times New Roman" w:cs="Times New Roman"/>
          <w:i/>
          <w:iCs/>
        </w:rPr>
        <w:t>Acinetobacter</w:t>
      </w:r>
      <w:r>
        <w:rPr>
          <w:rFonts w:ascii="Times New Roman" w:eastAsia="Times New Roman" w:hAnsi="Times New Roman" w:cs="Times New Roman"/>
        </w:rPr>
        <w:t xml:space="preserve">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47513251"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9">
        <w:r>
          <w:rPr>
            <w:rFonts w:ascii="Times New Roman" w:eastAsia="Times New Roman" w:hAnsi="Times New Roman" w:cs="Times New Roman"/>
          </w:rPr>
          <w:t>(9)</w:t>
        </w:r>
      </w:hyperlink>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293B82">
        <w:rPr>
          <w:rFonts w:ascii="Times New Roman" w:eastAsia="Times New Roman" w:hAnsi="Times New Roman" w:cs="Times New Roman"/>
          <w:color w:val="000000" w:themeColor="text1"/>
        </w:rPr>
        <w:t>The selected metadata category used for this 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r w:rsidR="00614956">
        <w:rPr>
          <w:rFonts w:ascii="Times New Roman" w:eastAsia="Times New Roman" w:hAnsi="Times New Roman" w:cs="Times New Roman"/>
        </w:rPr>
        <w:t xml:space="preserve">Samples </w:t>
      </w:r>
      <w:r>
        <w:rPr>
          <w:rFonts w:ascii="Times New Roman" w:eastAsia="Times New Roman" w:hAnsi="Times New Roman" w:cs="Times New Roman"/>
        </w:rPr>
        <w:t xml:space="preserve">were categorized into two groups based on the sheet washing </w:t>
      </w:r>
      <w:r w:rsidR="00614956">
        <w:rPr>
          <w:rFonts w:ascii="Times New Roman" w:eastAsia="Times New Roman" w:hAnsi="Times New Roman" w:cs="Times New Roman"/>
        </w:rPr>
        <w:t xml:space="preserve">frequency reported </w:t>
      </w:r>
      <w:r w:rsidR="00A44633">
        <w:rPr>
          <w:rFonts w:ascii="Times New Roman" w:eastAsia="Times New Roman" w:hAnsi="Times New Roman" w:cs="Times New Roman"/>
        </w:rPr>
        <w:t>from histogram categorization</w:t>
      </w:r>
      <w:r w:rsidR="002563BA">
        <w:rPr>
          <w:rFonts w:ascii="Times New Roman" w:eastAsia="Times New Roman" w:hAnsi="Times New Roman" w:cs="Times New Roman"/>
        </w:rPr>
        <w:t xml:space="preserve"> prior to collection</w:t>
      </w:r>
      <w:r>
        <w:rPr>
          <w:rFonts w:ascii="Times New Roman" w:eastAsia="Times New Roman" w:hAnsi="Times New Roman" w:cs="Times New Roman"/>
        </w:rPr>
        <w:t>:</w:t>
      </w:r>
      <w:r w:rsidR="00614956">
        <w:rPr>
          <w:rFonts w:ascii="Times New Roman" w:eastAsia="Times New Roman" w:hAnsi="Times New Roman" w:cs="Times New Roman"/>
        </w:rPr>
        <w:t xml:space="preserve"> 28 samples of</w:t>
      </w:r>
      <w:r>
        <w:rPr>
          <w:rFonts w:ascii="Times New Roman" w:eastAsia="Times New Roman" w:hAnsi="Times New Roman" w:cs="Times New Roman"/>
        </w:rPr>
        <w:t xml:space="preserve"> “high” frequency, </w:t>
      </w:r>
      <w:r w:rsidR="00614956">
        <w:rPr>
          <w:rFonts w:ascii="Times New Roman" w:eastAsia="Times New Roman" w:hAnsi="Times New Roman" w:cs="Times New Roman"/>
        </w:rPr>
        <w:t xml:space="preserve">from individuals who washed </w:t>
      </w:r>
      <w:r>
        <w:rPr>
          <w:rFonts w:ascii="Times New Roman" w:eastAsia="Times New Roman" w:hAnsi="Times New Roman" w:cs="Times New Roman"/>
        </w:rPr>
        <w:t xml:space="preserve">sheets every 0 to </w:t>
      </w:r>
      <w:r w:rsidR="00E42E71">
        <w:rPr>
          <w:rFonts w:ascii="Times New Roman" w:eastAsia="Times New Roman" w:hAnsi="Times New Roman" w:cs="Times New Roman"/>
        </w:rPr>
        <w:t>2</w:t>
      </w:r>
      <w:r>
        <w:rPr>
          <w:rFonts w:ascii="Times New Roman" w:eastAsia="Times New Roman" w:hAnsi="Times New Roman" w:cs="Times New Roman"/>
        </w:rPr>
        <w:t xml:space="preserve"> weeks, and</w:t>
      </w:r>
      <w:r w:rsidR="00614956">
        <w:rPr>
          <w:rFonts w:ascii="Times New Roman" w:eastAsia="Times New Roman" w:hAnsi="Times New Roman" w:cs="Times New Roman"/>
        </w:rPr>
        <w:t xml:space="preserve"> 11 samples of</w:t>
      </w:r>
      <w:r>
        <w:rPr>
          <w:rFonts w:ascii="Times New Roman" w:eastAsia="Times New Roman" w:hAnsi="Times New Roman" w:cs="Times New Roman"/>
        </w:rPr>
        <w:t xml:space="preserve"> “low” frequency, </w:t>
      </w:r>
      <w:r w:rsidR="00614956">
        <w:rPr>
          <w:rFonts w:ascii="Times New Roman" w:eastAsia="Times New Roman" w:hAnsi="Times New Roman" w:cs="Times New Roman"/>
        </w:rPr>
        <w:t xml:space="preserve">from individuals who </w:t>
      </w:r>
      <w:r>
        <w:rPr>
          <w:rFonts w:ascii="Times New Roman" w:eastAsia="Times New Roman" w:hAnsi="Times New Roman" w:cs="Times New Roman"/>
        </w:rPr>
        <w:t>washed their sheets more than every 6 weeks.</w:t>
      </w: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female low frequency</w:t>
      </w:r>
      <w:r w:rsidR="00F356B8">
        <w:rPr>
          <w:rFonts w:ascii="Times New Roman" w:eastAsia="Times New Roman" w:hAnsi="Times New Roman" w:cs="Times New Roman"/>
        </w:rPr>
        <w:t xml:space="preserve"> (4 samples).</w:t>
      </w:r>
      <w:r w:rsidR="00233995">
        <w:rPr>
          <w:rFonts w:ascii="Times New Roman" w:eastAsia="Times New Roman" w:hAnsi="Times New Roman" w:cs="Times New Roman"/>
        </w:rPr>
        <w:t xml:space="preserve"> </w:t>
      </w:r>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0">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1">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2">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F7004E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3">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4">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5">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6">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7">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8">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9">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0">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1">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2">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3">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r w:rsidR="00A3746B">
        <w:rPr>
          <w:rFonts w:ascii="Times New Roman" w:eastAsia="Times New Roman" w:hAnsi="Times New Roman" w:cs="Times New Roman"/>
        </w:rPr>
        <w:t>, with 28 and 11 samples, respectively</w:t>
      </w:r>
      <w:r>
        <w:rPr>
          <w:rFonts w:ascii="Times New Roman" w:eastAsia="Times New Roman" w:hAnsi="Times New Roman" w:cs="Times New Roman"/>
        </w:rPr>
        <w:t xml:space="preserve">.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4">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C83B84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Based on two-way ANOVA statistical analyses, no alpha diversity comparisons were found to be significantly different. </w:t>
      </w:r>
      <w:r w:rsidRPr="00293B82">
        <w:rPr>
          <w:rFonts w:ascii="Times New Roman" w:eastAsia="Times New Roman" w:hAnsi="Times New Roman" w:cs="Times New Roman"/>
          <w:color w:val="000000" w:themeColor="text1"/>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2E6C875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fiv</w:t>
      </w:r>
      <w:r w:rsidR="000C7CA6">
        <w:rPr>
          <w:rFonts w:ascii="Times New Roman" w:eastAsia="Times New Roman" w:hAnsi="Times New Roman" w:cs="Times New Roman"/>
        </w:rPr>
        <w:t>e</w:t>
      </w:r>
      <w:r>
        <w:rPr>
          <w:rFonts w:ascii="Times New Roman" w:eastAsia="Times New Roman" w:hAnsi="Times New Roman" w:cs="Times New Roman"/>
        </w:rPr>
        <w:t xml:space="preserve">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r w:rsidR="001225D6">
        <w:rPr>
          <w:rFonts w:ascii="Times New Roman" w:eastAsia="Times New Roman" w:hAnsi="Times New Roman" w:cs="Times New Roman"/>
        </w:rPr>
        <w:t xml:space="preserve"> overall</w:t>
      </w:r>
      <w:r>
        <w:rPr>
          <w:rFonts w:ascii="Times New Roman" w:eastAsia="Times New Roman" w:hAnsi="Times New Roman" w:cs="Times New Roman"/>
        </w:rPr>
        <w:t xml:space="preserve"> relative abundance</w:t>
      </w:r>
      <w:r w:rsidR="0090518E">
        <w:rPr>
          <w:rFonts w:ascii="Times New Roman" w:eastAsia="Times New Roman" w:hAnsi="Times New Roman" w:cs="Times New Roman"/>
        </w:rPr>
        <w:t xml:space="preserve"> percent </w:t>
      </w:r>
      <w:r>
        <w:rPr>
          <w:rFonts w:ascii="Times New Roman" w:eastAsia="Times New Roman" w:hAnsi="Times New Roman" w:cs="Times New Roman"/>
        </w:rPr>
        <w:t xml:space="preserve">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w:t>
      </w:r>
      <w:r w:rsidR="001225D6">
        <w:rPr>
          <w:rFonts w:ascii="Times New Roman" w:eastAsia="Times New Roman" w:hAnsi="Times New Roman" w:cs="Times New Roman"/>
          <w:i/>
        </w:rPr>
        <w:t>revotella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04BE32A4" w14:textId="262F18DA" w:rsidR="006A7391" w:rsidRDefault="00414E73">
      <w:pPr>
        <w:spacing w:line="480" w:lineRule="auto"/>
        <w:rPr>
          <w:rFonts w:ascii="Times New Roman" w:eastAsia="Times New Roman" w:hAnsi="Times New Roman" w:cs="Times New Roman"/>
        </w:rPr>
      </w:pP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r w:rsidRPr="000D131C">
        <w:rPr>
          <w:rFonts w:ascii="Times New Roman" w:eastAsia="Times New Roman" w:hAnsi="Times New Roman" w:cs="Times New Roman"/>
        </w:rPr>
        <w:t xml:space="preserve">. 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293B82">
        <w:rPr>
          <w:rFonts w:ascii="Times New Roman" w:eastAsia="Times New Roman" w:hAnsi="Times New Roman" w:cs="Times New Roman"/>
          <w:iCs/>
        </w:rPr>
        <w:t xml:space="preserve">listed in the same order as Figure </w:t>
      </w:r>
      <w:r w:rsidR="00E05419">
        <w:rPr>
          <w:rFonts w:ascii="Times New Roman" w:eastAsia="Times New Roman" w:hAnsi="Times New Roman" w:cs="Times New Roman"/>
          <w:iCs/>
        </w:rPr>
        <w:t>4</w:t>
      </w:r>
      <w:r w:rsidR="00E05419" w:rsidRPr="00293B82">
        <w:rPr>
          <w:rFonts w:ascii="Times New Roman" w:eastAsia="Times New Roman" w:hAnsi="Times New Roman" w:cs="Times New Roman"/>
          <w:iCs/>
        </w:rPr>
        <w:t>B</w:t>
      </w:r>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r w:rsidRPr="000D131C">
        <w:rPr>
          <w:rFonts w:ascii="Times New Roman" w:eastAsia="Times New Roman" w:hAnsi="Times New Roman" w:cs="Times New Roman"/>
        </w:rPr>
        <w:t>In the high sheet washing frequency group for females, sixteen genera were found to be significantly upregulated, thirteen of 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The </w:t>
      </w:r>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r w:rsidRPr="000D131C">
        <w:rPr>
          <w:rFonts w:ascii="Times New Roman" w:eastAsia="Times New Roman" w:hAnsi="Times New Roman" w:cs="Times New Roman"/>
        </w:rPr>
        <w:t xml:space="preserve">. In the low sheet washing frequency group, there were eleven significantly upregulated genera for </w:t>
      </w:r>
      <w:r w:rsidRPr="000D131C">
        <w:rPr>
          <w:rFonts w:ascii="Times New Roman" w:eastAsia="Times New Roman" w:hAnsi="Times New Roman" w:cs="Times New Roman"/>
        </w:rPr>
        <w:lastRenderedPageBreak/>
        <w:t>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p>
    <w:p w14:paraId="4AEE2D30" w14:textId="77777777" w:rsidR="00486102" w:rsidRDefault="00486102">
      <w:pPr>
        <w:spacing w:line="480" w:lineRule="auto"/>
        <w:rPr>
          <w:rFonts w:ascii="Times New Roman" w:eastAsia="Times New Roman" w:hAnsi="Times New Roman" w:cs="Times New Roman"/>
          <w:b/>
        </w:rPr>
      </w:pPr>
    </w:p>
    <w:p w14:paraId="0FA97BEC" w14:textId="31A61130"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r w:rsidRPr="00293B82">
        <w:rPr>
          <w:rFonts w:ascii="Times New Roman" w:eastAsia="Times New Roman" w:hAnsi="Times New Roman" w:cs="Times New Roman"/>
          <w:bCs/>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5">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6">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7">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381CF857"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293B82">
        <w:rPr>
          <w:rFonts w:ascii="Times New Roman" w:eastAsia="Times New Roman" w:hAnsi="Times New Roman" w:cs="Times New Roman"/>
        </w:rPr>
        <w:t xml:space="preserve">apparent in </w:t>
      </w:r>
      <w:proofErr w:type="spellStart"/>
      <w:r w:rsidRPr="00293B82">
        <w:rPr>
          <w:rFonts w:ascii="Times New Roman" w:eastAsia="Times New Roman" w:hAnsi="Times New Roman" w:cs="Times New Roman"/>
        </w:rPr>
        <w:t>Actinobacteriota</w:t>
      </w:r>
      <w:proofErr w:type="spellEnd"/>
      <w:r w:rsidRPr="00293B82">
        <w:rPr>
          <w:rFonts w:ascii="Times New Roman" w:eastAsia="Times New Roman" w:hAnsi="Times New Roman" w:cs="Times New Roman"/>
        </w:rPr>
        <w:t xml:space="preserve"> and Firmicutes,</w:t>
      </w:r>
      <w:r>
        <w:rPr>
          <w:rFonts w:ascii="Times New Roman" w:eastAsia="Times New Roman" w:hAnsi="Times New Roman" w:cs="Times New Roman"/>
        </w:rPr>
        <w:t xml:space="preserve"> where the difference in relative abundance between males and females is more pronounced in low sheet washing frequency compared to high sheet washing frequency samples </w:t>
      </w:r>
      <w:r w:rsidR="00F6333F">
        <w:rPr>
          <w:rFonts w:ascii="Times New Roman" w:eastAsia="Times New Roman" w:hAnsi="Times New Roman" w:cs="Times New Roman"/>
        </w:rPr>
        <w:t xml:space="preserve">(Figure </w:t>
      </w:r>
      <w:r>
        <w:rPr>
          <w:rFonts w:ascii="Times New Roman" w:eastAsia="Times New Roman" w:hAnsi="Times New Roman" w:cs="Times New Roman"/>
        </w:rPr>
        <w:t>2</w:t>
      </w:r>
      <w:r w:rsidR="00F6333F">
        <w:rPr>
          <w:rFonts w:ascii="Times New Roman" w:eastAsia="Times New Roman" w:hAnsi="Times New Roman" w:cs="Times New Roman"/>
        </w:rPr>
        <w:t xml:space="preserve">B, Figure </w:t>
      </w:r>
      <w:r w:rsidR="00522F71">
        <w:rPr>
          <w:rFonts w:ascii="Times New Roman" w:eastAsia="Times New Roman" w:hAnsi="Times New Roman" w:cs="Times New Roman"/>
        </w:rPr>
        <w:t>2C</w:t>
      </w:r>
      <w:r>
        <w:rPr>
          <w:rFonts w:ascii="Times New Roman" w:eastAsia="Times New Roman" w:hAnsi="Times New Roman" w:cs="Times New Roman"/>
        </w:rPr>
        <w:t xml:space="preserve">).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8">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which is only observed in female low sheet washing frequency samples (Figure</w:t>
      </w:r>
      <w:r w:rsidR="00293B82">
        <w:rPr>
          <w:rFonts w:ascii="Times New Roman" w:eastAsia="Times New Roman" w:hAnsi="Times New Roman" w:cs="Times New Roman"/>
        </w:rPr>
        <w:t xml:space="preserve"> 2A)</w:t>
      </w:r>
      <w:r>
        <w:rPr>
          <w:rFonts w:ascii="Times New Roman" w:eastAsia="Times New Roman" w:hAnsi="Times New Roman" w:cs="Times New Roman"/>
        </w:rPr>
        <w:t xml:space="preserve">.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9">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sidR="007348D6">
        <w:rPr>
          <w:rFonts w:ascii="Times New Roman" w:eastAsia="Times New Roman" w:hAnsi="Times New Roman" w:cs="Times New Roman"/>
          <w:iCs/>
        </w:rPr>
        <w:t xml:space="preserve"> (Figure 2B)</w:t>
      </w:r>
      <w:r>
        <w:rPr>
          <w:rFonts w:ascii="Times New Roman" w:eastAsia="Times New Roman" w:hAnsi="Times New Roman" w:cs="Times New Roman"/>
        </w:rPr>
        <w:t xml:space="preserve"> has a higher relative abundance in males than females in both high and low sheet washing frequency</w:t>
      </w:r>
      <w:r w:rsidR="007348D6">
        <w:rPr>
          <w:rFonts w:ascii="Times New Roman" w:eastAsia="Times New Roman" w:hAnsi="Times New Roman" w:cs="Times New Roman"/>
        </w:rPr>
        <w:t xml:space="preserve"> </w:t>
      </w:r>
      <w:r w:rsidR="007348D6" w:rsidRPr="00293B82">
        <w:rPr>
          <w:rFonts w:ascii="Times New Roman" w:eastAsia="Times New Roman" w:hAnsi="Times New Roman" w:cs="Times New Roman"/>
        </w:rPr>
        <w:t xml:space="preserve">in the </w:t>
      </w:r>
      <w:proofErr w:type="spellStart"/>
      <w:r w:rsidR="007348D6" w:rsidRPr="00293B82">
        <w:rPr>
          <w:rFonts w:ascii="Times New Roman" w:eastAsia="Times New Roman" w:hAnsi="Times New Roman" w:cs="Times New Roman"/>
        </w:rPr>
        <w:t>Actinobacteriota</w:t>
      </w:r>
      <w:proofErr w:type="spellEnd"/>
      <w:r w:rsidR="007348D6" w:rsidRPr="00293B82">
        <w:rPr>
          <w:rFonts w:ascii="Times New Roman" w:eastAsia="Times New Roman" w:hAnsi="Times New Roman" w:cs="Times New Roman"/>
        </w:rPr>
        <w:t xml:space="preserve"> phylum</w:t>
      </w:r>
      <w:r>
        <w:rPr>
          <w:rFonts w:ascii="Times New Roman" w:eastAsia="Times New Roman" w:hAnsi="Times New Roman" w:cs="Times New Roman"/>
        </w:rPr>
        <w:t xml:space="preserve">. These findings are validated by previous research which states that females have higher </w:t>
      </w:r>
      <w:r w:rsidRPr="00BD719E">
        <w:rPr>
          <w:rFonts w:ascii="Times New Roman" w:eastAsia="Times New Roman" w:hAnsi="Times New Roman" w:cs="Times New Roman"/>
        </w:rPr>
        <w:t xml:space="preserve">concentrations of vaginal microbiota, including </w:t>
      </w:r>
      <w:proofErr w:type="spellStart"/>
      <w:r w:rsidRPr="00BD719E">
        <w:rPr>
          <w:rFonts w:ascii="Times New Roman" w:eastAsia="Times New Roman" w:hAnsi="Times New Roman" w:cs="Times New Roman"/>
        </w:rPr>
        <w:t>Eneterbacterales</w:t>
      </w:r>
      <w:proofErr w:type="spellEnd"/>
      <w:r w:rsidRPr="00BD719E">
        <w:rPr>
          <w:rFonts w:ascii="Times New Roman" w:eastAsia="Times New Roman" w:hAnsi="Times New Roman" w:cs="Times New Roman"/>
        </w:rPr>
        <w:t xml:space="preserve"> and </w:t>
      </w:r>
      <w:proofErr w:type="spellStart"/>
      <w:r w:rsidRPr="00BD719E">
        <w:rPr>
          <w:rFonts w:ascii="Times New Roman" w:eastAsia="Times New Roman" w:hAnsi="Times New Roman" w:cs="Times New Roman"/>
        </w:rPr>
        <w:t>Lactobacillaceae</w:t>
      </w:r>
      <w:proofErr w:type="spellEnd"/>
      <w:r w:rsidRPr="00BD719E">
        <w:rPr>
          <w:rFonts w:ascii="Times New Roman" w:eastAsia="Times New Roman" w:hAnsi="Times New Roman" w:cs="Times New Roman"/>
        </w:rPr>
        <w:t xml:space="preserve">, whereas males have higher concentrations of </w:t>
      </w:r>
      <w:proofErr w:type="spellStart"/>
      <w:r w:rsidRPr="00BD719E">
        <w:rPr>
          <w:rFonts w:ascii="Times New Roman" w:eastAsia="Times New Roman" w:hAnsi="Times New Roman" w:cs="Times New Roman"/>
        </w:rPr>
        <w:t>Cutibacterium</w:t>
      </w:r>
      <w:proofErr w:type="spellEnd"/>
      <w:r w:rsidRPr="00BD719E">
        <w:rPr>
          <w:rFonts w:ascii="Times New Roman" w:eastAsia="Times New Roman" w:hAnsi="Times New Roman" w:cs="Times New Roman"/>
        </w:rPr>
        <w:t xml:space="preserve"> and Corynebacterium</w:t>
      </w:r>
      <w:r>
        <w:rPr>
          <w:rFonts w:ascii="Times New Roman" w:eastAsia="Times New Roman" w:hAnsi="Times New Roman" w:cs="Times New Roman"/>
          <w:i/>
        </w:rPr>
        <w:t xml:space="preserve"> </w:t>
      </w:r>
      <w:hyperlink r:id="rId40">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5B06CBB4"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w:t>
      </w:r>
      <w:r>
        <w:rPr>
          <w:rFonts w:ascii="Times New Roman" w:eastAsia="Times New Roman" w:hAnsi="Times New Roman" w:cs="Times New Roman"/>
        </w:rPr>
        <w:lastRenderedPageBreak/>
        <w:t xml:space="preserve">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1">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2">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3">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4">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r w:rsidR="004542FA">
        <w:rPr>
          <w:rFonts w:ascii="Times New Roman" w:eastAsia="Times New Roman" w:hAnsi="Times New Roman" w:cs="Times New Roman"/>
        </w:rPr>
        <w:t xml:space="preserve">unique to this group </w:t>
      </w:r>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w:t>
      </w:r>
      <w:r w:rsidR="004542FA">
        <w:rPr>
          <w:rFonts w:ascii="Times New Roman" w:eastAsia="Times New Roman" w:hAnsi="Times New Roman" w:cs="Times New Roman"/>
        </w:rPr>
        <w:t>5</w:t>
      </w:r>
      <w:r>
        <w:rPr>
          <w:rFonts w:ascii="Times New Roman" w:eastAsia="Times New Roman" w:hAnsi="Times New Roman" w:cs="Times New Roman"/>
        </w:rPr>
        <w:t xml:space="preserve">). Conversely, females with infrequent sheet washing display a core microbiome dominated by </w:t>
      </w:r>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sidR="00866EF6" w:rsidRPr="00293B82">
        <w:rPr>
          <w:rFonts w:ascii="Times New Roman" w:eastAsia="Times New Roman" w:hAnsi="Times New Roman" w:cs="Times New Roman"/>
          <w:iCs/>
        </w:rPr>
        <w:t>, unique to this group</w:t>
      </w:r>
      <w:r>
        <w:rPr>
          <w:rFonts w:ascii="Times New Roman" w:eastAsia="Times New Roman" w:hAnsi="Times New Roman" w:cs="Times New Roman"/>
        </w:rPr>
        <w:t xml:space="preserve"> (Figure S</w:t>
      </w:r>
      <w:r w:rsidR="004542FA">
        <w:rPr>
          <w:rFonts w:ascii="Times New Roman" w:eastAsia="Times New Roman" w:hAnsi="Times New Roman" w:cs="Times New Roman"/>
        </w:rPr>
        <w:t>6</w:t>
      </w:r>
      <w:r>
        <w:rPr>
          <w:rFonts w:ascii="Times New Roman" w:eastAsia="Times New Roman" w:hAnsi="Times New Roman" w:cs="Times New Roman"/>
        </w:rPr>
        <w:t xml:space="preserve">). </w:t>
      </w: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7B207C37" w:rsidR="006A7391" w:rsidRDefault="003025ED"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DESeq2 analysis revealed there were five shared genera between the two sexes for both high and low sheet washing frequency</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w:t>
      </w:r>
      <w:r>
        <w:rPr>
          <w:rFonts w:ascii="Times New Roman" w:eastAsia="Times New Roman" w:hAnsi="Times New Roman" w:cs="Times New Roman"/>
        </w:rPr>
        <w:lastRenderedPageBreak/>
        <w:t>on the skin microbiome</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r w:rsidR="00F6333F">
        <w:rPr>
          <w:rFonts w:ascii="Times New Roman" w:eastAsia="Times New Roman" w:hAnsi="Times New Roman" w:cs="Times New Roman"/>
        </w:rPr>
        <w:t xml:space="preserve"> (Figure 4B, Figure 4D)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r w:rsidR="00F6333F">
        <w:rPr>
          <w:rFonts w:ascii="Times New Roman" w:eastAsia="Times New Roman" w:hAnsi="Times New Roman" w:cs="Times New Roman"/>
        </w:rPr>
        <w:t xml:space="preserve"> (Figure 4B, Figure 4D) </w:t>
      </w:r>
      <w:hyperlink r:id="rId52">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726E45AF"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w:t>
      </w:r>
      <w:r>
        <w:rPr>
          <w:rFonts w:ascii="Times New Roman" w:eastAsia="Times New Roman" w:hAnsi="Times New Roman" w:cs="Times New Roman"/>
        </w:rPr>
        <w:lastRenderedPageBreak/>
        <w:t xml:space="preserve">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 xml:space="preserve">Additionally, the dataset had small sample sizes, particularly for the female low sheet washing frequency group, making it difficult to draw generalizations about this group as well as the others.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w:t>
      </w:r>
      <w:r>
        <w:rPr>
          <w:rFonts w:ascii="Times New Roman" w:eastAsia="Times New Roman" w:hAnsi="Times New Roman" w:cs="Times New Roman"/>
        </w:rPr>
        <w:lastRenderedPageBreak/>
        <w:t>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xml:space="preserve">. Additionally, other sample types could be explored, such as the abiotic surface samples available in the data set. Finally, the study took place in a single college dormitory with </w:t>
      </w:r>
      <w:r>
        <w:rPr>
          <w:rFonts w:ascii="Times New Roman" w:eastAsia="Times New Roman" w:hAnsi="Times New Roman" w:cs="Times New Roman"/>
        </w:rPr>
        <w:lastRenderedPageBreak/>
        <w:t>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lastRenderedPageBreak/>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2"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4405894E"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Observed species diversity (richness) boxplot of groups categorized by sex and sheet washing </w:t>
      </w:r>
      <w:r w:rsidR="006448CA">
        <w:rPr>
          <w:rFonts w:ascii="Times New Roman" w:eastAsia="Times New Roman" w:hAnsi="Times New Roman" w:cs="Times New Roman"/>
        </w:rPr>
        <w:t xml:space="preserve">frequency (p-values of 0.99 for Female Low/High and 0.64 for Male Low/High). (B) Shannon’s diversity boxplot of groups categorized by sex and sheet washing frequency (p-values of 0.99 for Female Low/High and 0.65 for Male Low/High). </w:t>
      </w:r>
      <w:r>
        <w:rPr>
          <w:rFonts w:ascii="Times New Roman" w:eastAsia="Times New Roman" w:hAnsi="Times New Roman" w:cs="Times New Roman"/>
        </w:rPr>
        <w:t xml:space="preserve">Legend specifying groups categorized by sheet wash frequency and sex is shown on the right. Statistical analysis was performed using a two-way </w:t>
      </w:r>
      <w:r w:rsidR="00C72578">
        <w:rPr>
          <w:rFonts w:ascii="Times New Roman" w:eastAsia="Times New Roman" w:hAnsi="Times New Roman" w:cs="Times New Roman"/>
        </w:rPr>
        <w:t xml:space="preserve">ANOVA, </w:t>
      </w:r>
      <w:r w:rsidR="00C72578">
        <w:rPr>
          <w:rFonts w:ascii="Times New Roman" w:eastAsia="Times New Roman" w:hAnsi="Times New Roman" w:cs="Times New Roman"/>
          <w:i/>
        </w:rPr>
        <w:t>*p&lt;0.05</w:t>
      </w:r>
      <w:r>
        <w:rPr>
          <w:rFonts w:ascii="Times New Roman" w:eastAsia="Times New Roman" w:hAnsi="Times New Roman" w:cs="Times New Roman"/>
        </w:rPr>
        <w:t xml:space="preserve">.  </w:t>
      </w:r>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t>
      </w:r>
      <w:r w:rsidRPr="00C72578">
        <w:rPr>
          <w:rFonts w:ascii="Times New Roman" w:eastAsia="Times New Roman" w:hAnsi="Times New Roman" w:cs="Times New Roman"/>
        </w:rPr>
        <w:t xml:space="preserve">which include (B) </w:t>
      </w:r>
      <w:proofErr w:type="spellStart"/>
      <w:r w:rsidRPr="00C72578">
        <w:rPr>
          <w:rFonts w:ascii="Times New Roman" w:eastAsia="Times New Roman" w:hAnsi="Times New Roman" w:cs="Times New Roman"/>
        </w:rPr>
        <w:t>Actinobacteriota</w:t>
      </w:r>
      <w:proofErr w:type="spellEnd"/>
      <w:r w:rsidRPr="00C72578">
        <w:rPr>
          <w:rFonts w:ascii="Times New Roman" w:eastAsia="Times New Roman" w:hAnsi="Times New Roman" w:cs="Times New Roman"/>
        </w:rPr>
        <w:t xml:space="preserve">, (C) Firmicutes, (D) </w:t>
      </w:r>
      <w:proofErr w:type="spellStart"/>
      <w:r w:rsidRPr="00C72578">
        <w:rPr>
          <w:rFonts w:ascii="Times New Roman" w:eastAsia="Times New Roman" w:hAnsi="Times New Roman" w:cs="Times New Roman"/>
        </w:rPr>
        <w:t>Bacteroidota</w:t>
      </w:r>
      <w:proofErr w:type="spellEnd"/>
      <w:r w:rsidRPr="00C72578">
        <w:rPr>
          <w:rFonts w:ascii="Times New Roman" w:eastAsia="Times New Roman" w:hAnsi="Times New Roman" w:cs="Times New Roman"/>
        </w:rPr>
        <w:t xml:space="preserve">, (E) Proteobacteria, and (F) </w:t>
      </w:r>
      <w:proofErr w:type="spellStart"/>
      <w:r w:rsidRPr="00C72578">
        <w:rPr>
          <w:rFonts w:ascii="Times New Roman" w:eastAsia="Times New Roman" w:hAnsi="Times New Roman" w:cs="Times New Roman"/>
        </w:rPr>
        <w:t>Fusobacteriota</w:t>
      </w:r>
      <w:proofErr w:type="spellEnd"/>
      <w:r w:rsidRPr="00C72578">
        <w:rPr>
          <w:rFonts w:ascii="Times New Roman" w:eastAsia="Times New Roman" w:hAnsi="Times New Roman" w:cs="Times New Roman"/>
        </w:rPr>
        <w:t xml:space="preserve">, are further </w:t>
      </w:r>
      <w:r w:rsidRPr="00C72578">
        <w:rPr>
          <w:rFonts w:ascii="Times New Roman" w:eastAsia="Times New Roman" w:hAnsi="Times New Roman" w:cs="Times New Roman"/>
        </w:rPr>
        <w:lastRenderedPageBreak/>
        <w:t>analyzed through taxa bar plots which visualize variation at the genus level of the various</w:t>
      </w:r>
      <w:r>
        <w:rPr>
          <w:rFonts w:ascii="Times New Roman" w:eastAsia="Times New Roman" w:hAnsi="Times New Roman" w:cs="Times New Roman"/>
        </w:rPr>
        <w:t xml:space="preserve">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608CC4D6" w14:textId="77777777" w:rsidR="0016341E" w:rsidRPr="0037532D" w:rsidRDefault="0016341E" w:rsidP="0016341E">
      <w:pPr>
        <w:pStyle w:val="NormalWeb"/>
        <w:spacing w:after="0" w:line="480" w:lineRule="auto"/>
        <w:rPr>
          <w:color w:val="000000"/>
          <w:sz w:val="22"/>
          <w:szCs w:val="22"/>
        </w:rPr>
      </w:pPr>
      <w:r>
        <w:rPr>
          <w:b/>
        </w:rPr>
        <w:t>Figure 4. Across high and low sheet washing frequencies, females have a higher number of upregulated genera than men</w:t>
      </w:r>
      <w:r>
        <w:rPr>
          <w:color w:val="000000"/>
          <w:sz w:val="22"/>
          <w:szCs w:val="22"/>
        </w:rPr>
        <w:t xml:space="preserve">. (A, B) DESeq2 plots representing high sheet washing frequency in females vs. males. (C, D) DESeq2 plots representing low sheet washing frequency in females vs. males. (A, C) DESeq2 analysis showing volcano plot when comparing (A) high and (C) low sheet washing frequency between female and male sexes (p-value of 0.01, log2FoldChange &gt; 2, and </w:t>
      </w:r>
      <w:proofErr w:type="spellStart"/>
      <w:r>
        <w:rPr>
          <w:color w:val="000000"/>
          <w:sz w:val="22"/>
          <w:szCs w:val="22"/>
        </w:rPr>
        <w:t>baseMean</w:t>
      </w:r>
      <w:proofErr w:type="spellEnd"/>
      <w:r>
        <w:rPr>
          <w:color w:val="000000"/>
          <w:sz w:val="22"/>
          <w:szCs w:val="22"/>
        </w:rPr>
        <w:t xml:space="preserve"> &gt; 1). (B, D) Bar plot at the genus level comparing (B) high sheet washing frequency and (D) low sheet washing frequency between females and males. Genera present on the right-hand side (positive Log2FoldChange) are genera that are more abundant in the female group while the genera present on the left-hand side (negative Log2FoldChange) are more abundant in the male group. </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6341E"/>
    <w:rsid w:val="00192186"/>
    <w:rsid w:val="001A56B5"/>
    <w:rsid w:val="001D4665"/>
    <w:rsid w:val="0021217E"/>
    <w:rsid w:val="00233995"/>
    <w:rsid w:val="002563BA"/>
    <w:rsid w:val="00287206"/>
    <w:rsid w:val="00293B82"/>
    <w:rsid w:val="002A2241"/>
    <w:rsid w:val="002C3647"/>
    <w:rsid w:val="002D576C"/>
    <w:rsid w:val="002E61C9"/>
    <w:rsid w:val="002F5385"/>
    <w:rsid w:val="002F53D8"/>
    <w:rsid w:val="002F60D6"/>
    <w:rsid w:val="003025ED"/>
    <w:rsid w:val="003031EC"/>
    <w:rsid w:val="00337B85"/>
    <w:rsid w:val="00370105"/>
    <w:rsid w:val="00375928"/>
    <w:rsid w:val="003A4CA2"/>
    <w:rsid w:val="003A6400"/>
    <w:rsid w:val="003C279D"/>
    <w:rsid w:val="003F0D69"/>
    <w:rsid w:val="00410C1A"/>
    <w:rsid w:val="00414E73"/>
    <w:rsid w:val="004542FA"/>
    <w:rsid w:val="00486102"/>
    <w:rsid w:val="00514629"/>
    <w:rsid w:val="00522F71"/>
    <w:rsid w:val="005564F3"/>
    <w:rsid w:val="00614956"/>
    <w:rsid w:val="006248A0"/>
    <w:rsid w:val="006448CA"/>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7FA"/>
    <w:rsid w:val="008C499E"/>
    <w:rsid w:val="0090518E"/>
    <w:rsid w:val="00A05F59"/>
    <w:rsid w:val="00A3746B"/>
    <w:rsid w:val="00A44633"/>
    <w:rsid w:val="00A93942"/>
    <w:rsid w:val="00AF698A"/>
    <w:rsid w:val="00B057AF"/>
    <w:rsid w:val="00B439ED"/>
    <w:rsid w:val="00B46952"/>
    <w:rsid w:val="00B734BF"/>
    <w:rsid w:val="00B811BE"/>
    <w:rsid w:val="00B91456"/>
    <w:rsid w:val="00BA3EBC"/>
    <w:rsid w:val="00BD719E"/>
    <w:rsid w:val="00C3746D"/>
    <w:rsid w:val="00C72578"/>
    <w:rsid w:val="00CC6C66"/>
    <w:rsid w:val="00E05419"/>
    <w:rsid w:val="00E1675B"/>
    <w:rsid w:val="00E22BC3"/>
    <w:rsid w:val="00E316A9"/>
    <w:rsid w:val="00E42E71"/>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kLvHMx" TargetMode="External"/><Relationship Id="rId21" Type="http://schemas.openxmlformats.org/officeDocument/2006/relationships/hyperlink" Target="https://www.zotero.org/google-docs/?GAscO6" TargetMode="External"/><Relationship Id="rId42" Type="http://schemas.openxmlformats.org/officeDocument/2006/relationships/hyperlink" Target="https://www.zotero.org/google-docs/?IWcEVE"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D4Gu5d" TargetMode="External"/><Relationship Id="rId37" Type="http://schemas.openxmlformats.org/officeDocument/2006/relationships/hyperlink" Target="https://www.zotero.org/google-docs/?1Tst7q"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zw0DGR" TargetMode="External"/><Relationship Id="rId27" Type="http://schemas.openxmlformats.org/officeDocument/2006/relationships/hyperlink" Target="https://www.zotero.org/google-docs/?4ybCFP" TargetMode="External"/><Relationship Id="rId43" Type="http://schemas.openxmlformats.org/officeDocument/2006/relationships/hyperlink" Target="https://www.zotero.org/google-docs/?EZEhsl"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fontTable" Target="fontTable.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EXPwxn" TargetMode="External"/><Relationship Id="rId38" Type="http://schemas.openxmlformats.org/officeDocument/2006/relationships/hyperlink" Target="https://www.zotero.org/google-docs/?53skr5"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15" Type="http://schemas.openxmlformats.org/officeDocument/2006/relationships/hyperlink" Target="https://www.zotero.org/google-docs/?Wgi3Pz" TargetMode="External"/><Relationship Id="rId23" Type="http://schemas.openxmlformats.org/officeDocument/2006/relationships/hyperlink" Target="https://www.zotero.org/google-docs/?crmXAa" TargetMode="External"/><Relationship Id="rId28" Type="http://schemas.openxmlformats.org/officeDocument/2006/relationships/hyperlink" Target="https://www.zotero.org/google-docs/?MqHgmo" TargetMode="External"/><Relationship Id="rId36" Type="http://schemas.openxmlformats.org/officeDocument/2006/relationships/hyperlink" Target="https://www.zotero.org/google-docs/?4kVMxn" TargetMode="External"/><Relationship Id="rId49" Type="http://schemas.openxmlformats.org/officeDocument/2006/relationships/hyperlink" Target="https://www.zotero.org/google-docs/?0gkhQL"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 Id="rId114" Type="http://schemas.openxmlformats.org/officeDocument/2006/relationships/theme" Target="theme/theme1.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iLHCbb" TargetMode="External"/><Relationship Id="rId44" Type="http://schemas.openxmlformats.org/officeDocument/2006/relationships/hyperlink" Target="https://www.zotero.org/google-docs/?GbkmxS"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5xoSaS"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hRxUmZ"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nBWn7s" TargetMode="External"/><Relationship Id="rId24" Type="http://schemas.openxmlformats.org/officeDocument/2006/relationships/hyperlink" Target="https://www.zotero.org/google-docs/?jo4U00" TargetMode="External"/><Relationship Id="rId40" Type="http://schemas.openxmlformats.org/officeDocument/2006/relationships/hyperlink" Target="https://www.zotero.org/google-docs/?sFLidN"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Fngtkj" TargetMode="Externa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9MsBJW" TargetMode="External"/><Relationship Id="rId35" Type="http://schemas.openxmlformats.org/officeDocument/2006/relationships/hyperlink" Target="https://www.zotero.org/google-docs/?8KJ1vb"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Ow49p8"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20" Type="http://schemas.openxmlformats.org/officeDocument/2006/relationships/hyperlink" Target="https://www.zotero.org/google-docs/?le8dYW" TargetMode="External"/><Relationship Id="rId41" Type="http://schemas.openxmlformats.org/officeDocument/2006/relationships/hyperlink" Target="https://www.zotero.org/google-docs/?yfUE17"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8679</Words>
  <Characters>49476</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2024-07-24T21:40:00Z</dcterms:modified>
  <cp:category/>
</cp:coreProperties>
</file>