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000000">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000000"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r>
        <w:rPr>
          <w:rFonts w:ascii="Times New Roman" w:eastAsia="Times New Roman" w:hAnsi="Times New Roman" w:cs="Times New Roman"/>
        </w:rPr>
        <w:t xml:space="preserve">Corynebacterium and </w:t>
      </w:r>
      <w:proofErr w:type="spellStart"/>
      <w:r>
        <w:rPr>
          <w:rFonts w:ascii="Times New Roman" w:eastAsia="Times New Roman" w:hAnsi="Times New Roman" w:cs="Times New Roman"/>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Pr>
          <w:rFonts w:ascii="Times New Roman" w:eastAsia="Times New Roman" w:hAnsi="Times New Roman" w:cs="Times New Roman"/>
        </w:rPr>
        <w:t>Qipengyuania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Anaerococcus</w:t>
      </w:r>
      <w:proofErr w:type="spellEnd"/>
      <w:r>
        <w:rPr>
          <w:rFonts w:ascii="Times New Roman" w:eastAsia="Times New Roman" w:hAnsi="Times New Roman" w:cs="Times New Roman"/>
        </w:rPr>
        <w:t xml:space="preserve"> for females and </w:t>
      </w:r>
      <w:proofErr w:type="spellStart"/>
      <w:r>
        <w:rPr>
          <w:rFonts w:ascii="Times New Roman" w:eastAsia="Times New Roman" w:hAnsi="Times New Roman" w:cs="Times New Roman"/>
        </w:rPr>
        <w:t>Aggregatibacter</w:t>
      </w:r>
      <w:proofErr w:type="spellEnd"/>
      <w:r>
        <w:rPr>
          <w:rFonts w:ascii="Times New Roman" w:eastAsia="Times New Roman" w:hAnsi="Times New Roman" w:cs="Times New Roman"/>
        </w:rPr>
        <w:t xml:space="preserve"> and Acinetobacter for males in the high and low sheet washing </w:t>
      </w:r>
      <w:commentRangeEnd w:id="5"/>
      <w:r w:rsidR="003F0D69">
        <w:rPr>
          <w:rStyle w:val="CommentReference"/>
        </w:rPr>
        <w:commentReference w:id="5"/>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6"/>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7" w:author="Author">
            <w:rPr>
              <w:rFonts w:ascii="Times New Roman" w:eastAsia="Times New Roman" w:hAnsi="Times New Roman" w:cs="Times New Roman"/>
            </w:rPr>
          </w:rPrChange>
        </w:rPr>
        <w:t xml:space="preserve">The selected metadata category used for this </w:t>
      </w:r>
      <w:commentRangeEnd w:id="6"/>
      <w:r w:rsidR="00045D41">
        <w:rPr>
          <w:rStyle w:val="CommentReference"/>
        </w:rPr>
        <w:commentReference w:id="6"/>
      </w:r>
      <w:r w:rsidRPr="00337B85">
        <w:rPr>
          <w:rFonts w:ascii="Times New Roman" w:eastAsia="Times New Roman" w:hAnsi="Times New Roman" w:cs="Times New Roman"/>
          <w:color w:val="000000" w:themeColor="text1"/>
          <w:rPrChange w:id="8"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9"/>
      <w:r>
        <w:rPr>
          <w:rFonts w:ascii="Times New Roman" w:eastAsia="Times New Roman" w:hAnsi="Times New Roman" w:cs="Times New Roman"/>
        </w:rPr>
        <w:t>Participants were categorized into two groups based on their sheet washing frequency: “high” frequency, indicating individuals who washed their sheets every 0 to 2 weeks, and “low” frequency, representing individuals who washed their sheets more than every 6 weeks.</w:t>
      </w:r>
      <w:commentRangeEnd w:id="9"/>
      <w:r w:rsidR="00514629">
        <w:rPr>
          <w:rStyle w:val="CommentReference"/>
        </w:rPr>
        <w:commentReference w:id="9"/>
      </w:r>
    </w:p>
    <w:p w14:paraId="63998D60"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Phyloseq objects were rarefied to a sampling depth of 6223 to be consistent with preliminary QIIME processing rarefactions steps. 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frequencies: high and low. One phyloseq object was filtered for only high sheet washing frequency data and the other for low sheet washing frequency data. </w:t>
      </w:r>
      <w:commentRangeStart w:id="10"/>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10"/>
      <w:r w:rsidR="00B734BF">
        <w:rPr>
          <w:rStyle w:val="CommentReference"/>
        </w:rPr>
        <w:commentReference w:id="10"/>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60D086A4"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11"/>
      <w:r>
        <w:rPr>
          <w:rFonts w:ascii="Times New Roman" w:eastAsia="Times New Roman" w:hAnsi="Times New Roman" w:cs="Times New Roman"/>
        </w:rPr>
        <w:t>Boxplots were used to illustrate the distributions for these metrics (Figure 1, Figure S3).</w:t>
      </w:r>
      <w:commentRangeEnd w:id="11"/>
      <w:r w:rsidR="00514629">
        <w:rPr>
          <w:rStyle w:val="CommentReference"/>
        </w:rPr>
        <w:commentReference w:id="11"/>
      </w:r>
      <w:r>
        <w:rPr>
          <w:rFonts w:ascii="Times New Roman" w:eastAsia="Times New Roman" w:hAnsi="Times New Roman" w:cs="Times New Roman"/>
        </w:rPr>
        <w:t xml:space="preserve"> </w:t>
      </w:r>
      <w:commentRangeStart w:id="12"/>
      <w:r>
        <w:rPr>
          <w:rFonts w:ascii="Times New Roman" w:eastAsia="Times New Roman" w:hAnsi="Times New Roman" w:cs="Times New Roman"/>
        </w:rPr>
        <w:t xml:space="preserve">Based on two-way ANOVA statistical analyses, no alpha diversity comparisons were found to be significantly different. </w:t>
      </w:r>
      <w:commentRangeEnd w:id="12"/>
      <w:r w:rsidR="000F0628">
        <w:rPr>
          <w:rStyle w:val="CommentReference"/>
        </w:rPr>
        <w:commentReference w:id="12"/>
      </w:r>
      <w:r w:rsidRPr="006E6FE0">
        <w:rPr>
          <w:rFonts w:ascii="Times New Roman" w:eastAsia="Times New Roman" w:hAnsi="Times New Roman" w:cs="Times New Roman"/>
          <w:color w:val="000000" w:themeColor="text1"/>
          <w:rPrChange w:id="13"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1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7"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1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9"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20"/>
      <w:commentRangeStart w:id="21"/>
      <w:r>
        <w:rPr>
          <w:rFonts w:ascii="Times New Roman" w:eastAsia="Times New Roman" w:hAnsi="Times New Roman" w:cs="Times New Roman"/>
        </w:rPr>
        <w:t xml:space="preserve">These results indicate that beta diversity of hand microbial communities varies more significantly due to sex </w:t>
      </w:r>
      <w:ins w:id="22"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20"/>
      <w:r w:rsidR="000D30CF">
        <w:rPr>
          <w:rStyle w:val="CommentReference"/>
        </w:rPr>
        <w:commentReference w:id="20"/>
      </w:r>
      <w:commentRangeEnd w:id="21"/>
      <w:r w:rsidR="00686BE4">
        <w:rPr>
          <w:rStyle w:val="CommentReference"/>
        </w:rPr>
        <w:commentReference w:id="21"/>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w:t>
      </w:r>
      <w:commentRangeStart w:id="23"/>
      <w:commentRangeStart w:id="24"/>
      <w:r>
        <w:rPr>
          <w:rFonts w:ascii="Times New Roman" w:eastAsia="Times New Roman" w:hAnsi="Times New Roman" w:cs="Times New Roman"/>
        </w:rPr>
        <w:t>top five abundant phyla depicted in Figure 2A</w:t>
      </w:r>
      <w:commentRangeEnd w:id="23"/>
      <w:r w:rsidR="0021217E">
        <w:rPr>
          <w:rStyle w:val="CommentReference"/>
        </w:rPr>
        <w:commentReference w:id="23"/>
      </w:r>
      <w:commentRangeEnd w:id="24"/>
      <w:r w:rsidR="002D576C">
        <w:rPr>
          <w:rStyle w:val="CommentReference"/>
        </w:rPr>
        <w:commentReference w:id="24"/>
      </w:r>
      <w:r>
        <w:rPr>
          <w:rFonts w:ascii="Times New Roman" w:eastAsia="Times New Roman" w:hAnsi="Times New Roman" w:cs="Times New Roman"/>
        </w:rPr>
        <w:t xml:space="preserve">. </w:t>
      </w:r>
      <w:commentRangeStart w:id="25"/>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 relative abundance of these phyla between males and females.</w:t>
      </w:r>
      <w:commentRangeEnd w:id="25"/>
      <w:r w:rsidR="00FE0E5F">
        <w:rPr>
          <w:rStyle w:val="CommentReference"/>
        </w:rPr>
        <w:commentReference w:id="25"/>
      </w:r>
      <w:r>
        <w:rPr>
          <w:rFonts w:ascii="Times New Roman" w:eastAsia="Times New Roman" w:hAnsi="Times New Roman" w:cs="Times New Roman"/>
        </w:rPr>
        <w:t xml:space="preserve"> </w:t>
      </w:r>
      <w:commentRangeStart w:id="26"/>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26"/>
      <w:r w:rsidR="001A56B5">
        <w:rPr>
          <w:rStyle w:val="CommentReference"/>
        </w:rPr>
        <w:commentReference w:id="26"/>
      </w:r>
      <w:r>
        <w:rPr>
          <w:rFonts w:ascii="Times New Roman" w:eastAsia="Times New Roman" w:hAnsi="Times New Roman" w:cs="Times New Roman"/>
        </w:rPr>
        <w:t xml:space="preserve">In contrast, </w:t>
      </w:r>
      <w:proofErr w:type="gramStart"/>
      <w:r>
        <w:rPr>
          <w:rFonts w:ascii="Times New Roman" w:eastAsia="Times New Roman" w:hAnsi="Times New Roman" w:cs="Times New Roman"/>
        </w:rPr>
        <w:t>Figure</w:t>
      </w:r>
      <w:proofErr w:type="gramEnd"/>
      <w:r>
        <w:rPr>
          <w:rFonts w:ascii="Times New Roman" w:eastAsia="Times New Roman" w:hAnsi="Times New Roman" w:cs="Times New Roman"/>
        </w:rPr>
        <w:t xml:space="preserv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27"/>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28"/>
      <w:proofErr w:type="spellStart"/>
      <w:r>
        <w:rPr>
          <w:rFonts w:ascii="Times New Roman" w:eastAsia="Times New Roman" w:hAnsi="Times New Roman" w:cs="Times New Roman"/>
          <w:i/>
        </w:rPr>
        <w:t>Porphyromonas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28"/>
      <w:proofErr w:type="spellEnd"/>
      <w:r w:rsidR="007D53B0">
        <w:rPr>
          <w:rStyle w:val="CommentReference"/>
        </w:rPr>
        <w:commentReference w:id="28"/>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27"/>
      <w:r w:rsidR="007D53B0">
        <w:rPr>
          <w:rStyle w:val="CommentReference"/>
        </w:rPr>
        <w:commentReference w:id="27"/>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000000" w:rsidP="00B91456">
      <w:pPr>
        <w:spacing w:line="480" w:lineRule="auto"/>
        <w:rPr>
          <w:rFonts w:ascii="Times New Roman" w:eastAsia="Times New Roman" w:hAnsi="Times New Roman" w:cs="Times New Roman"/>
        </w:rPr>
      </w:pPr>
      <w:commentRangeStart w:id="29"/>
      <w:commentRangeStart w:id="30"/>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w:t>
      </w:r>
      <w:commentRangeEnd w:id="29"/>
      <w:r w:rsidR="008C07FF">
        <w:rPr>
          <w:rStyle w:val="CommentReference"/>
        </w:rPr>
        <w:commentReference w:id="29"/>
      </w:r>
      <w:commentRangeStart w:id="31"/>
      <w:r>
        <w:rPr>
          <w:rFonts w:ascii="Times New Roman" w:eastAsia="Times New Roman" w:hAnsi="Times New Roman" w:cs="Times New Roman"/>
        </w:rPr>
        <w:t>To compare differences in ASV abundance between sexes in conjunction with sheet washing, a DESeq2 analysis was run.</w:t>
      </w:r>
      <w:commentRangeEnd w:id="31"/>
      <w:r w:rsidR="00753C37">
        <w:rPr>
          <w:rStyle w:val="CommentReference"/>
        </w:rPr>
        <w:commentReference w:id="31"/>
      </w:r>
      <w:r>
        <w:rPr>
          <w:rFonts w:ascii="Times New Roman" w:eastAsia="Times New Roman" w:hAnsi="Times New Roman" w:cs="Times New Roman"/>
        </w:rPr>
        <w:t xml:space="preserve"> </w:t>
      </w:r>
      <w:commentRangeStart w:id="32"/>
      <w:r>
        <w:rPr>
          <w:rFonts w:ascii="Times New Roman" w:eastAsia="Times New Roman" w:hAnsi="Times New Roman" w:cs="Times New Roman"/>
        </w:rPr>
        <w:t xml:space="preserve">Results showed that more unique genera are abundant in the female group in comparison to the reference male group. </w:t>
      </w:r>
      <w:commentRangeEnd w:id="32"/>
      <w:r w:rsidR="008C07FF">
        <w:rPr>
          <w:rStyle w:val="CommentReference"/>
        </w:rPr>
        <w:commentReference w:id="32"/>
      </w:r>
      <w:r>
        <w:rPr>
          <w:rFonts w:ascii="Times New Roman" w:eastAsia="Times New Roman" w:hAnsi="Times New Roman" w:cs="Times New Roman"/>
        </w:rPr>
        <w:t xml:space="preserve">There are only five shared genera, </w:t>
      </w:r>
      <w:commentRangeStart w:id="33"/>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commentRangeEnd w:id="33"/>
      <w:r w:rsidR="008C07FF">
        <w:rPr>
          <w:rStyle w:val="CommentReference"/>
        </w:rPr>
        <w:commentReference w:id="33"/>
      </w:r>
      <w:r>
        <w:rPr>
          <w:rFonts w:ascii="Times New Roman" w:eastAsia="Times New Roman" w:hAnsi="Times New Roman" w:cs="Times New Roman"/>
        </w:rPr>
        <w:t xml:space="preserve"> </w:t>
      </w:r>
      <w:commentRangeStart w:id="34"/>
      <w:r w:rsidRPr="00FE5A62">
        <w:rPr>
          <w:rFonts w:ascii="Times New Roman" w:eastAsia="Times New Roman" w:hAnsi="Times New Roman" w:cs="Times New Roman"/>
          <w:i/>
          <w:strike/>
          <w:rPrChange w:id="35" w:author="Author">
            <w:rPr>
              <w:rFonts w:ascii="Times New Roman" w:eastAsia="Times New Roman" w:hAnsi="Times New Roman" w:cs="Times New Roman"/>
              <w:i/>
            </w:rPr>
          </w:rPrChange>
        </w:rPr>
        <w:t xml:space="preserve">Corynebacterium </w:t>
      </w:r>
      <w:r w:rsidRPr="00FE5A62">
        <w:rPr>
          <w:rFonts w:ascii="Times New Roman" w:eastAsia="Times New Roman" w:hAnsi="Times New Roman" w:cs="Times New Roman"/>
          <w:strike/>
          <w:rPrChange w:id="36" w:author="Author">
            <w:rPr>
              <w:rFonts w:ascii="Times New Roman" w:eastAsia="Times New Roman" w:hAnsi="Times New Roman" w:cs="Times New Roman"/>
            </w:rPr>
          </w:rPrChange>
        </w:rPr>
        <w:t>and</w:t>
      </w:r>
      <w:r w:rsidRPr="00FE5A62">
        <w:rPr>
          <w:rFonts w:ascii="Times New Roman" w:eastAsia="Times New Roman" w:hAnsi="Times New Roman" w:cs="Times New Roman"/>
          <w:i/>
          <w:strike/>
          <w:rPrChange w:id="37" w:author="Author">
            <w:rPr>
              <w:rFonts w:ascii="Times New Roman" w:eastAsia="Times New Roman" w:hAnsi="Times New Roman" w:cs="Times New Roman"/>
              <w:i/>
            </w:rPr>
          </w:rPrChange>
        </w:rPr>
        <w:t xml:space="preserve"> </w:t>
      </w:r>
      <w:proofErr w:type="spellStart"/>
      <w:r w:rsidRPr="00FE5A62">
        <w:rPr>
          <w:rFonts w:ascii="Times New Roman" w:eastAsia="Times New Roman" w:hAnsi="Times New Roman" w:cs="Times New Roman"/>
          <w:i/>
          <w:strike/>
          <w:rPrChange w:id="38" w:author="Author">
            <w:rPr>
              <w:rFonts w:ascii="Times New Roman" w:eastAsia="Times New Roman" w:hAnsi="Times New Roman" w:cs="Times New Roman"/>
              <w:i/>
            </w:rPr>
          </w:rPrChange>
        </w:rPr>
        <w:t>Prevotella</w:t>
      </w:r>
      <w:proofErr w:type="spellEnd"/>
      <w:r w:rsidRPr="00FE5A62">
        <w:rPr>
          <w:rFonts w:ascii="Times New Roman" w:eastAsia="Times New Roman" w:hAnsi="Times New Roman" w:cs="Times New Roman"/>
          <w:strike/>
          <w:rPrChange w:id="39" w:author="Author">
            <w:rPr>
              <w:rFonts w:ascii="Times New Roman" w:eastAsia="Times New Roman" w:hAnsi="Times New Roman" w:cs="Times New Roman"/>
            </w:rPr>
          </w:rPrChange>
        </w:rPr>
        <w:t>.</w:t>
      </w:r>
      <w:r>
        <w:rPr>
          <w:rFonts w:ascii="Times New Roman" w:eastAsia="Times New Roman" w:hAnsi="Times New Roman" w:cs="Times New Roman"/>
        </w:rPr>
        <w:t xml:space="preserve"> </w:t>
      </w:r>
      <w:commentRangeEnd w:id="34"/>
      <w:r w:rsidR="008C07FF">
        <w:rPr>
          <w:rStyle w:val="CommentReference"/>
        </w:rPr>
        <w:commentReference w:id="34"/>
      </w:r>
      <w:r>
        <w:rPr>
          <w:rFonts w:ascii="Times New Roman" w:eastAsia="Times New Roman" w:hAnsi="Times New Roman" w:cs="Times New Roman"/>
        </w:rPr>
        <w:t xml:space="preserve">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w:t>
      </w:r>
      <w:commentRangeStart w:id="40"/>
      <w:r>
        <w:rPr>
          <w:rFonts w:ascii="Times New Roman" w:eastAsia="Times New Roman" w:hAnsi="Times New Roman" w:cs="Times New Roman"/>
        </w:rPr>
        <w:t xml:space="preserve">, </w:t>
      </w:r>
      <w:r w:rsidR="00192186" w:rsidRPr="00FE5A62">
        <w:rPr>
          <w:rFonts w:ascii="Times New Roman" w:eastAsia="Times New Roman" w:hAnsi="Times New Roman" w:cs="Times New Roman"/>
          <w:strike/>
          <w:rPrChange w:id="41" w:author="Author">
            <w:rPr>
              <w:rFonts w:ascii="Times New Roman" w:eastAsia="Times New Roman" w:hAnsi="Times New Roman" w:cs="Times New Roman"/>
            </w:rPr>
          </w:rPrChange>
        </w:rPr>
        <w:t>eleven</w:t>
      </w:r>
      <w:r>
        <w:rPr>
          <w:rFonts w:ascii="Times New Roman" w:eastAsia="Times New Roman" w:hAnsi="Times New Roman" w:cs="Times New Roman"/>
        </w:rPr>
        <w:t xml:space="preserve"> of </w:t>
      </w:r>
      <w:commentRangeEnd w:id="40"/>
      <w:r w:rsidR="008C499E">
        <w:rPr>
          <w:rStyle w:val="CommentReference"/>
        </w:rPr>
        <w:commentReference w:id="40"/>
      </w:r>
      <w:r>
        <w:rPr>
          <w:rFonts w:ascii="Times New Roman" w:eastAsia="Times New Roman" w:hAnsi="Times New Roman" w:cs="Times New Roman"/>
        </w:rPr>
        <w:t xml:space="preserve">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w:t>
      </w:r>
      <w:commentRangeStart w:id="42"/>
      <w:r>
        <w:rPr>
          <w:rFonts w:ascii="Times New Roman" w:eastAsia="Times New Roman" w:hAnsi="Times New Roman" w:cs="Times New Roman"/>
        </w:rPr>
        <w:t xml:space="preserve">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w:t>
      </w:r>
      <w:commentRangeEnd w:id="42"/>
      <w:r w:rsidR="002A2241">
        <w:rPr>
          <w:rStyle w:val="CommentReference"/>
        </w:rPr>
        <w:commentReference w:id="42"/>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commentRangeEnd w:id="30"/>
      <w:r w:rsidR="00337B85">
        <w:rPr>
          <w:rStyle w:val="CommentReference"/>
        </w:rPr>
        <w:commentReference w:id="30"/>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000000">
      <w:pPr>
        <w:spacing w:line="480" w:lineRule="auto"/>
        <w:rPr>
          <w:ins w:id="43"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44" w:author="Author">
        <w:r w:rsidRPr="00370105">
          <w:rPr>
            <w:rFonts w:ascii="Times New Roman" w:eastAsia="Times New Roman" w:hAnsi="Times New Roman" w:cs="Times New Roman"/>
            <w:bCs/>
            <w:rPrChange w:id="45"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46" w:author="Author"/>
          <w:del w:id="47" w:author="Author"/>
          <w:rFonts w:ascii="Times New Roman" w:eastAsia="Times New Roman" w:hAnsi="Times New Roman" w:cs="Times New Roman"/>
        </w:rPr>
      </w:pPr>
      <w:ins w:id="48" w:author="Author">
        <w:del w:id="49" w:author="Author">
          <w:r w:rsidDel="00410C1A">
            <w:rPr>
              <w:rFonts w:ascii="Times New Roman" w:eastAsia="Times New Roman" w:hAnsi="Times New Roman" w:cs="Times New Roman"/>
              <w:color w:val="FF0000"/>
            </w:rPr>
            <w:lastRenderedPageBreak/>
            <w:delText>Introductory sentence to discussion</w:delText>
          </w:r>
          <w:r w:rsidR="00B91456" w:rsidRPr="00FE5A62" w:rsidDel="00410C1A">
            <w:rPr>
              <w:rFonts w:ascii="Times New Roman" w:eastAsia="Times New Roman" w:hAnsi="Times New Roman" w:cs="Times New Roman"/>
              <w:color w:val="FF0000"/>
              <w:rPrChange w:id="50"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5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5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5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54"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5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56"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57" w:author="Author">
                <w:rPr>
                  <w:rFonts w:ascii="Times New Roman" w:eastAsia="Times New Roman" w:hAnsi="Times New Roman" w:cs="Times New Roman"/>
                </w:rPr>
              </w:rPrChange>
            </w:rPr>
            <w:delText xml:space="preserve">? </w:delText>
          </w:r>
        </w:del>
      </w:ins>
    </w:p>
    <w:p w14:paraId="7403C501" w14:textId="40BB55B8"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1610F10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58"/>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w:t>
      </w:r>
      <w:commentRangeEnd w:id="58"/>
      <w:r w:rsidR="00CC6C66">
        <w:rPr>
          <w:rStyle w:val="CommentReference"/>
        </w:rPr>
        <w:commentReference w:id="58"/>
      </w:r>
      <w:r>
        <w:rPr>
          <w:rFonts w:ascii="Times New Roman" w:eastAsia="Times New Roman" w:hAnsi="Times New Roman" w:cs="Times New Roman"/>
        </w:rPr>
        <w:t>, where the difference in relative abundance between males and females is more pronounced in low sheet washing frequency compared to high sheet washing frequency samples (</w:t>
      </w:r>
      <w:commentRangeStart w:id="59"/>
      <w:r>
        <w:rPr>
          <w:rFonts w:ascii="Times New Roman" w:eastAsia="Times New Roman" w:hAnsi="Times New Roman" w:cs="Times New Roman"/>
        </w:rPr>
        <w:t xml:space="preserve">Figure 2). </w:t>
      </w:r>
      <w:commentRangeEnd w:id="59"/>
      <w:r w:rsidR="00012B68">
        <w:rPr>
          <w:rStyle w:val="CommentReference"/>
        </w:rPr>
        <w:commentReference w:id="59"/>
      </w:r>
      <w:commentRangeStart w:id="60"/>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60"/>
      <w:r w:rsidR="00012B68">
        <w:rPr>
          <w:rStyle w:val="CommentReference"/>
        </w:rPr>
        <w:commentReference w:id="60"/>
      </w:r>
      <w:r>
        <w:rPr>
          <w:rFonts w:ascii="Times New Roman" w:eastAsia="Times New Roman" w:hAnsi="Times New Roman" w:cs="Times New Roman"/>
        </w:rPr>
        <w:t xml:space="preserve">Taxa bar plot analysis also </w:t>
      </w:r>
      <w:r>
        <w:rPr>
          <w:rFonts w:ascii="Times New Roman" w:eastAsia="Times New Roman" w:hAnsi="Times New Roman" w:cs="Times New Roman"/>
        </w:rPr>
        <w:lastRenderedPageBreak/>
        <w:t xml:space="preserve">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61"/>
      <w:r>
        <w:rPr>
          <w:rFonts w:ascii="Times New Roman" w:eastAsia="Times New Roman" w:hAnsi="Times New Roman" w:cs="Times New Roman"/>
        </w:rPr>
        <w:t xml:space="preserve">(Figure </w:t>
      </w:r>
      <w:r w:rsidRPr="00FE5A62">
        <w:rPr>
          <w:rFonts w:ascii="Times New Roman" w:eastAsia="Times New Roman" w:hAnsi="Times New Roman" w:cs="Times New Roman"/>
          <w:strike/>
          <w:rPrChange w:id="62" w:author="Author">
            <w:rPr>
              <w:rFonts w:ascii="Times New Roman" w:eastAsia="Times New Roman" w:hAnsi="Times New Roman" w:cs="Times New Roman"/>
            </w:rPr>
          </w:rPrChange>
        </w:rPr>
        <w:t>2</w:t>
      </w:r>
      <w:r>
        <w:rPr>
          <w:rFonts w:ascii="Times New Roman" w:eastAsia="Times New Roman" w:hAnsi="Times New Roman" w:cs="Times New Roman"/>
        </w:rPr>
        <w:t xml:space="preserve">). </w:t>
      </w:r>
      <w:commentRangeEnd w:id="61"/>
      <w:r w:rsidR="00012B68">
        <w:rPr>
          <w:rStyle w:val="CommentReference"/>
        </w:rPr>
        <w:commentReference w:id="61"/>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63"/>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63"/>
      <w:r w:rsidR="00012B68">
        <w:rPr>
          <w:rStyle w:val="CommentReference"/>
        </w:rPr>
        <w:commentReference w:id="63"/>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64"/>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w:t>
      </w:r>
      <w:commentRangeEnd w:id="64"/>
      <w:r w:rsidR="007A1CE2">
        <w:rPr>
          <w:rStyle w:val="CommentReference"/>
        </w:rPr>
        <w:commentReference w:id="64"/>
      </w:r>
      <w:del w:id="65" w:author="Author">
        <w:r w:rsidDel="007A1CE2">
          <w:rPr>
            <w:rFonts w:ascii="Times New Roman" w:eastAsia="Times New Roman" w:hAnsi="Times New Roman" w:cs="Times New Roman"/>
          </w:rPr>
          <w:delText>Additionally</w:delText>
        </w:r>
      </w:del>
      <w:ins w:id="66"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67"/>
      <w:r>
        <w:rPr>
          <w:rFonts w:ascii="Times New Roman" w:eastAsia="Times New Roman" w:hAnsi="Times New Roman" w:cs="Times New Roman"/>
        </w:rPr>
        <w:t xml:space="preserve">females have a higher relative abundance of </w:t>
      </w:r>
      <w:commentRangeStart w:id="68"/>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t>
      </w:r>
      <w:commentRangeEnd w:id="68"/>
      <w:r w:rsidR="007A1CE2">
        <w:rPr>
          <w:rStyle w:val="CommentReference"/>
        </w:rPr>
        <w:commentReference w:id="68"/>
      </w:r>
      <w:r>
        <w:rPr>
          <w:rFonts w:ascii="Times New Roman" w:eastAsia="Times New Roman" w:hAnsi="Times New Roman" w:cs="Times New Roman"/>
        </w:rPr>
        <w:t>than males at low sheet washing frequency,</w:t>
      </w:r>
      <w:commentRangeEnd w:id="67"/>
      <w:r w:rsidR="007A1CE2">
        <w:rPr>
          <w:rStyle w:val="CommentReference"/>
        </w:rPr>
        <w:commentReference w:id="67"/>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w:t>
      </w:r>
      <w:r>
        <w:rPr>
          <w:rFonts w:ascii="Times New Roman" w:eastAsia="Times New Roman" w:hAnsi="Times New Roman" w:cs="Times New Roman"/>
        </w:rPr>
        <w:lastRenderedPageBreak/>
        <w:t xml:space="preserve">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69"/>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69"/>
      <w:r w:rsidR="003031EC">
        <w:rPr>
          <w:rStyle w:val="CommentReference"/>
        </w:rPr>
        <w:commentReference w:id="69"/>
      </w:r>
      <w:r>
        <w:rPr>
          <w:rFonts w:ascii="Times New Roman" w:eastAsia="Times New Roman" w:hAnsi="Times New Roman" w:cs="Times New Roman"/>
        </w:rPr>
        <w:t xml:space="preserve"> (Figure S7). Conversely, females with infrequent sheet washing display a core microbiome dominated by </w:t>
      </w:r>
      <w:commentRangeStart w:id="70"/>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w:t>
      </w:r>
      <w:commentRangeEnd w:id="70"/>
      <w:r w:rsidR="003031EC">
        <w:rPr>
          <w:rStyle w:val="CommentReference"/>
        </w:rPr>
        <w:commentReference w:id="70"/>
      </w:r>
      <w:r>
        <w:rPr>
          <w:rFonts w:ascii="Times New Roman" w:eastAsia="Times New Roman" w:hAnsi="Times New Roman" w:cs="Times New Roman"/>
        </w:rPr>
        <w:t xml:space="preserve">(Figure S5). </w:t>
      </w:r>
      <w:commentRangeStart w:id="71"/>
      <w:r>
        <w:rPr>
          <w:rFonts w:ascii="Times New Roman" w:eastAsia="Times New Roman" w:hAnsi="Times New Roman" w:cs="Times New Roman"/>
        </w:rPr>
        <w:t xml:space="preserve">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7">
        <w:r>
          <w:rPr>
            <w:rFonts w:ascii="Times New Roman" w:eastAsia="Times New Roman" w:hAnsi="Times New Roman" w:cs="Times New Roman"/>
          </w:rPr>
          <w:t>(4)</w:t>
        </w:r>
      </w:hyperlink>
      <w:r>
        <w:rPr>
          <w:rFonts w:ascii="Times New Roman" w:eastAsia="Times New Roman" w:hAnsi="Times New Roman" w:cs="Times New Roman"/>
        </w:rPr>
        <w:t xml:space="preserve">. </w:t>
      </w:r>
      <w:commentRangeEnd w:id="71"/>
      <w:r w:rsidR="002C3647">
        <w:rPr>
          <w:rStyle w:val="CommentReference"/>
        </w:rPr>
        <w:commentReference w:id="71"/>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8">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9">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50">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000000" w:rsidP="00287206">
      <w:pPr>
        <w:spacing w:line="480" w:lineRule="auto"/>
        <w:ind w:firstLine="720"/>
        <w:rPr>
          <w:rFonts w:ascii="Times New Roman" w:eastAsia="Times New Roman" w:hAnsi="Times New Roman" w:cs="Times New Roman"/>
          <w:color w:val="1F1F1F"/>
          <w:sz w:val="24"/>
          <w:szCs w:val="24"/>
        </w:rPr>
      </w:pPr>
      <w:commentRangeStart w:id="72"/>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1">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52">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3">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4">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w:t>
      </w:r>
      <w:r>
        <w:rPr>
          <w:rFonts w:ascii="Times New Roman" w:eastAsia="Times New Roman" w:hAnsi="Times New Roman" w:cs="Times New Roman"/>
        </w:rPr>
        <w:lastRenderedPageBreak/>
        <w:t xml:space="preserve">humans </w:t>
      </w:r>
      <w:hyperlink r:id="rId55">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7">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72"/>
      <w:r w:rsidR="002C3647">
        <w:rPr>
          <w:rStyle w:val="CommentReference"/>
        </w:rPr>
        <w:commentReference w:id="72"/>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000000">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8">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9">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60">
        <w:r>
          <w:rPr>
            <w:rFonts w:ascii="Times New Roman" w:eastAsia="Times New Roman" w:hAnsi="Times New Roman" w:cs="Times New Roman"/>
          </w:rPr>
          <w:t>(35)</w:t>
        </w:r>
      </w:hyperlink>
      <w:r>
        <w:rPr>
          <w:rFonts w:ascii="Times New Roman" w:eastAsia="Times New Roman" w:hAnsi="Times New Roman" w:cs="Times New Roman"/>
        </w:rPr>
        <w:t xml:space="preserve">. While our results showed that differences in both sex and sheet washing frequency drive variation in microbial composition, our conclusions are specific to the context of our study and cannot be generalized to other age groups and </w:t>
      </w:r>
      <w:r>
        <w:rPr>
          <w:rFonts w:ascii="Times New Roman" w:eastAsia="Times New Roman" w:hAnsi="Times New Roman" w:cs="Times New Roman"/>
        </w:rPr>
        <w:lastRenderedPageBreak/>
        <w:t>environmental settings.</w:t>
      </w:r>
      <w:r w:rsidR="00F93C64">
        <w:rPr>
          <w:rFonts w:ascii="Times New Roman" w:eastAsia="Times New Roman" w:hAnsi="Times New Roman" w:cs="Times New Roman"/>
        </w:rPr>
        <w:t xml:space="preserve"> </w:t>
      </w:r>
      <w:commentRangeStart w:id="73"/>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73"/>
      <w:r w:rsidR="00B439ED">
        <w:rPr>
          <w:rStyle w:val="CommentReference"/>
        </w:rPr>
        <w:commentReference w:id="73"/>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w:t>
      </w:r>
      <w:r>
        <w:rPr>
          <w:rFonts w:ascii="Times New Roman" w:eastAsia="Times New Roman" w:hAnsi="Times New Roman" w:cs="Times New Roman"/>
        </w:rPr>
        <w:lastRenderedPageBreak/>
        <w:t xml:space="preserve">time spent with windows open, time spent outside, and/or roommates. Specifically, previous research on the same dataset has shown that having one or more roommates induces significant changes in the microbiome </w:t>
      </w:r>
      <w:hyperlink r:id="rId61">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2">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3">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Malkowski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Qasem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Meadow JF, Altrichter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Strimling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Luongo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Alm EJ, Arumugam M, Asnicar F, Bai Y, Bisanz JE, Bittinger K, Brejnrod A, Brislawn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Gorlick K, Guo J, Hillmann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Kaehler BD, Kang KB, Keefe CR, Keim P, Kelley ST, Knights D, Koester I, Kosciolek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Marotz C, Martin BD, McDonald D, McIver LJ, Melnik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Petras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Shiffer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lastRenderedPageBreak/>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Caporaso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Callahan BJ, McMurdie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McMurdie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Schliep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Averick M, Bryan J, Chang W, McGowan L, François R, Grolemund G, Hayes A, Henry L, Hester J, Kuhn M, Pedersen T, Miller E, Bache S, Müller K, Ooms J, Robinson D, Seidel D, Spinu V, Takahashi K, Vaughan D, Wilke C, Woo K, Yutani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Scand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Kotz,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Galzote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Bertelsen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t>Dannemiller KC, Weschler CJ, Peccia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Palange P, Vaish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t xml:space="preserve">Könönen E, Gursoy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Bartosik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4"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5"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Strimling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77777777" w:rsidR="006A7391" w:rsidRDefault="00000000">
      <w:pPr>
        <w:spacing w:line="480" w:lineRule="auto"/>
        <w:rPr>
          <w:rFonts w:ascii="Times New Roman" w:eastAsia="Times New Roman" w:hAnsi="Times New Roman" w:cs="Times New Roman"/>
        </w:rPr>
      </w:pPr>
      <w:commentRangeStart w:id="74"/>
      <w:commentRangeStart w:id="75"/>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76"/>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76"/>
      <w:r w:rsidR="000F0628">
        <w:rPr>
          <w:rStyle w:val="CommentReference"/>
        </w:rPr>
        <w:commentReference w:id="76"/>
      </w:r>
      <w:commentRangeEnd w:id="74"/>
      <w:r w:rsidR="00012B68">
        <w:rPr>
          <w:rStyle w:val="CommentReference"/>
        </w:rPr>
        <w:commentReference w:id="74"/>
      </w:r>
      <w:commentRangeEnd w:id="75"/>
      <w:r w:rsidR="00410C1A">
        <w:rPr>
          <w:rStyle w:val="CommentReference"/>
        </w:rPr>
        <w:commentReference w:id="75"/>
      </w:r>
    </w:p>
    <w:p w14:paraId="53661FD7"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present in the various sex-specific sheet washing groups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000000">
      <w:pPr>
        <w:spacing w:line="480" w:lineRule="auto"/>
        <w:rPr>
          <w:rFonts w:ascii="Times New Roman" w:eastAsia="Times New Roman" w:hAnsi="Times New Roman" w:cs="Times New Roman"/>
        </w:rPr>
      </w:pPr>
      <w:commentRangeStart w:id="77"/>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77"/>
      <w:r w:rsidR="00B46952">
        <w:rPr>
          <w:rStyle w:val="CommentReference"/>
        </w:rPr>
        <w:commentReference w:id="77"/>
      </w:r>
      <w:r>
        <w:rPr>
          <w:rFonts w:ascii="Times New Roman" w:eastAsia="Times New Roman" w:hAnsi="Times New Roman" w:cs="Times New Roman"/>
        </w:rPr>
        <w:t xml:space="preserve">. Four-way Venn diagram illustrating the percentage and number of overlapping and unique microbial genera present in females with low sheet </w:t>
      </w:r>
      <w:r>
        <w:rPr>
          <w:rFonts w:ascii="Times New Roman" w:eastAsia="Times New Roman" w:hAnsi="Times New Roman" w:cs="Times New Roman"/>
        </w:rPr>
        <w:lastRenderedPageBreak/>
        <w:t xml:space="preserve">washing frequency, females with high sheet washing frequency, males with low sheet washing frequency, and males with high sheet washing frequency. The diagram has a minimum prevalence threshold of 0.5 (50%) and an abundance threshold of 0.001 (0.1%). </w:t>
      </w:r>
      <w:commentRangeStart w:id="78"/>
      <w:r>
        <w:rPr>
          <w:rFonts w:ascii="Times New Roman" w:eastAsia="Times New Roman" w:hAnsi="Times New Roman" w:cs="Times New Roman"/>
        </w:rPr>
        <w:t xml:space="preserve">The numbers in each circle represent the genera </w:t>
      </w:r>
      <w:commentRangeEnd w:id="78"/>
      <w:r w:rsidR="00B46952">
        <w:rPr>
          <w:rStyle w:val="CommentReference"/>
        </w:rPr>
        <w:commentReference w:id="78"/>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000000">
      <w:pPr>
        <w:spacing w:line="480" w:lineRule="auto"/>
        <w:rPr>
          <w:rFonts w:ascii="Times New Roman" w:eastAsia="Times New Roman" w:hAnsi="Times New Roman" w:cs="Times New Roman"/>
        </w:rPr>
      </w:pPr>
      <w:commentRangeStart w:id="79"/>
      <w:r>
        <w:rPr>
          <w:rFonts w:ascii="Times New Roman" w:eastAsia="Times New Roman" w:hAnsi="Times New Roman" w:cs="Times New Roman"/>
          <w:b/>
        </w:rPr>
        <w:t xml:space="preserve">Figure 4. Across high and low sheet washing frequencies, females have a higher number of upregulated genera than men. </w:t>
      </w:r>
      <w:commentRangeStart w:id="80"/>
      <w:r>
        <w:rPr>
          <w:rFonts w:ascii="Times New Roman" w:eastAsia="Times New Roman" w:hAnsi="Times New Roman" w:cs="Times New Roman"/>
        </w:rPr>
        <w:t>(</w:t>
      </w:r>
      <w:commentRangeEnd w:id="79"/>
      <w:r w:rsidR="008C499E">
        <w:rPr>
          <w:rStyle w:val="CommentReference"/>
        </w:rPr>
        <w:commentReference w:id="79"/>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80"/>
      <w:r w:rsidR="008C499E">
        <w:rPr>
          <w:rStyle w:val="CommentReference"/>
        </w:rPr>
        <w:commentReference w:id="80"/>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5BE0D7" w14:textId="769B5158"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9"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10"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11"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12"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20"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21"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23"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24"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25"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26"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28"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27"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29"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31"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32"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33"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34"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40"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42"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30"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58"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59" w:author="Author" w:initials="A">
    <w:p w14:paraId="65DC5317" w14:textId="562F0CFF"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60"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61"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63"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64"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68"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67"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69"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70"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71"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72"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73"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76"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74"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75"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77"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78"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79"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80"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31B55935" w15:done="0"/>
  <w15:commentEx w15:paraId="3068EDA4" w15:done="0"/>
  <w15:commentEx w15:paraId="1AB7BB41" w15:done="0"/>
  <w15:commentEx w15:paraId="06623BC1" w15:done="0"/>
  <w15:commentEx w15:paraId="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D30CF"/>
    <w:rsid w:val="000D7350"/>
    <w:rsid w:val="000F0628"/>
    <w:rsid w:val="001123FA"/>
    <w:rsid w:val="00192186"/>
    <w:rsid w:val="001A56B5"/>
    <w:rsid w:val="001D4665"/>
    <w:rsid w:val="0021217E"/>
    <w:rsid w:val="00287206"/>
    <w:rsid w:val="002A2241"/>
    <w:rsid w:val="002C3647"/>
    <w:rsid w:val="002D576C"/>
    <w:rsid w:val="002E61C9"/>
    <w:rsid w:val="002F5385"/>
    <w:rsid w:val="003031EC"/>
    <w:rsid w:val="00337B85"/>
    <w:rsid w:val="00370105"/>
    <w:rsid w:val="00375928"/>
    <w:rsid w:val="003A4CA2"/>
    <w:rsid w:val="003C279D"/>
    <w:rsid w:val="003F0D69"/>
    <w:rsid w:val="00410C1A"/>
    <w:rsid w:val="00514629"/>
    <w:rsid w:val="005564F3"/>
    <w:rsid w:val="00667E91"/>
    <w:rsid w:val="00686BE4"/>
    <w:rsid w:val="006A7391"/>
    <w:rsid w:val="006E6FE0"/>
    <w:rsid w:val="00753C37"/>
    <w:rsid w:val="00753E7C"/>
    <w:rsid w:val="0077668E"/>
    <w:rsid w:val="00792B30"/>
    <w:rsid w:val="007A0CD4"/>
    <w:rsid w:val="007A1CE2"/>
    <w:rsid w:val="007C52A8"/>
    <w:rsid w:val="007D53B0"/>
    <w:rsid w:val="008052A2"/>
    <w:rsid w:val="00872937"/>
    <w:rsid w:val="008C07FF"/>
    <w:rsid w:val="008C499E"/>
    <w:rsid w:val="00A05F59"/>
    <w:rsid w:val="00A93942"/>
    <w:rsid w:val="00AF698A"/>
    <w:rsid w:val="00B439ED"/>
    <w:rsid w:val="00B46952"/>
    <w:rsid w:val="00B734BF"/>
    <w:rsid w:val="00B811BE"/>
    <w:rsid w:val="00B91456"/>
    <w:rsid w:val="00BA3EBC"/>
    <w:rsid w:val="00C3746D"/>
    <w:rsid w:val="00CC6C66"/>
    <w:rsid w:val="00E1675B"/>
    <w:rsid w:val="00E22BC3"/>
    <w:rsid w:val="00F12A29"/>
    <w:rsid w:val="00F16C3F"/>
    <w:rsid w:val="00F25822"/>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117" Type="http://schemas.openxmlformats.org/officeDocument/2006/relationships/theme" Target="theme/theme1.xm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VkJ8gJ" TargetMode="External"/><Relationship Id="rId63" Type="http://schemas.openxmlformats.org/officeDocument/2006/relationships/hyperlink" Target="https://www.zotero.org/google-docs/?Fj4eeg"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MBufVF" TargetMode="External"/><Relationship Id="rId58" Type="http://schemas.openxmlformats.org/officeDocument/2006/relationships/hyperlink" Target="https://www.zotero.org/google-docs/?Zw31K6"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FhGo7h"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fAlD0f"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R1jfr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49" Type="http://schemas.openxmlformats.org/officeDocument/2006/relationships/hyperlink" Target="https://www.zotero.org/google-docs/?snR7Vj"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0gkhQL" TargetMode="External"/><Relationship Id="rId60" Type="http://schemas.openxmlformats.org/officeDocument/2006/relationships/hyperlink" Target="https://www.zotero.org/google-docs/?yGJZNS"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wQbLbN" TargetMode="External"/><Relationship Id="rId55" Type="http://schemas.openxmlformats.org/officeDocument/2006/relationships/hyperlink" Target="https://www.zotero.org/google-docs/?B540Ka"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hyperlink" Target="https://www.zotero.org/google-docs/?ZNBSC6" TargetMode="External"/><Relationship Id="rId61" Type="http://schemas.openxmlformats.org/officeDocument/2006/relationships/hyperlink" Target="https://www.zotero.org/google-docs/?m0nip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81V0u9"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CyjRb6"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hnr8S3"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hRxUmZ" TargetMode="External"/><Relationship Id="rId57" Type="http://schemas.openxmlformats.org/officeDocument/2006/relationships/hyperlink" Target="https://www.zotero.org/google-docs/?2FGRW1"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8511</Words>
  <Characters>48515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2024-07-14T04:57:00Z</dcterms:modified>
  <cp:category/>
</cp:coreProperties>
</file>