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argyll-and-bute-gazetteer"/>
    <w:p>
      <w:pPr>
        <w:pStyle w:val="Heading3"/>
      </w:pPr>
      <w:r>
        <w:t xml:space="preserve">Argyll and Bute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Argyll%20and%20Bute-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Argyll%20and%20Bute-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Argyll%20and%20Bute-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Argyll%20and%20Bute-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Argyll%20and%20Bute-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Argyll%20and%20Bute-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Argyll%20and%20Bute-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Argyll%20and%20Bute-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Argyll%20and%20Bute-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Argyll%20and%20Bute-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2022-09-28T08:09:51Z</dcterms:created>
  <dcterms:modified xsi:type="dcterms:W3CDTF">2022-09-28T08:09:51Z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