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UC003 – Colocar pedido no carrinho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Após escolher as marmitas do  kit de marmitas o cliente as coloca no carrinho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Escolher marmitas para o kit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Carrinho aguarda finalização do pedido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 clica em enviar para o carrinho</w:t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recebe os dados do kit com as marmitas e coloca no carrinho (FE-01)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emite mensagem de kit adicionado no carrinho com sucesso (FE-02)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indica no ícone do carrinho que há um kit nele através de um número que corresponde a quantidade de kits no carrinho.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FIM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Restrição: O sistema só habilita o botão “enviar para o carrinho” quando o kit de marmitas estiver                     completo com a quantidade de marmitas </w:t>
            </w:r>
          </w:p>
          <w:p w:rsidR="00000000" w:rsidDel="00000000" w:rsidP="00000000" w:rsidRDefault="00000000" w:rsidRPr="00000000" w14:paraId="0000001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(FA-01) - &lt;Nome do FA-01&gt;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2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(FE-01) – Sistema não consegue receber os dados do kit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0" w:firstLine="0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2. Sistema apresenta mensagem “não foi possível receber os dados do kit escolhido” e mantém o carrinho vazio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Sistema retorna para a tela de escolha de marmitas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FIM FE-01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C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(FE-02) – &lt;Nome do FE-02&gt;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TMEg7SlJia8qgRZy+cXTLIuzWw==">AMUW2mX7TflwHFBtlW8OYSHDRyiljxTIUnklMA4b13bifxXZKR7TJqMiFnB4GP6mmt/7LoPXgkeE1TzqTGkzfSuXQMfC9Ha238GpAGaQv/VvQMWgkDBziSMc42ytH4M9MFqEJ3TH3FnF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