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 007– Visualizar pedidos de venda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exibir os pedidos de venda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Venda registrada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Questiona aprovação do pedido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Aux. Adm clica em visualizar pedidos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monta monta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Carrega os dados dos pedidos pendentes de aprovação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Sistema retorna dados na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Aux. Adm visualiza os pedidos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Fim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sistema não trará pedidos pedidos já aprovados anteriormente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aQ4OaPXj9175YEefhSVG6+JcQ==">AMUW2mUoDBEcR0HGOfmKb86R674HTX3VKzl1F7zefvzBCE973YWjP1BzT2ktNHAu6h5L/wBgX5cHruZWemo1tLbFLDd6aFoWZQxcLXm34aTnDp98t5ki7kvCKZo97an8s6qYFnUBpT/J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