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Daily Screen Time Quartile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Missing n (%)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Q1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511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Q2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457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Q3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577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Q4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11.71 (0.12)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12.07 (0.15)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13.12 (0.16)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13.35 (0.14)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Race/Ethnicity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Mexican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131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(6.9%)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174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136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(46%)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153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(5.0%)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Race - Including Multi-Racial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(6.5%)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Household Poverty Income Ratio (PIR)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Poverty (&lt; 100%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144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167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158 (30%)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Near Poverty (100-130%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Low-Middle Income (131-199%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High-Middle Income (200-350%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Income (&gt; 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Less than High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(27%)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School / Some College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230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256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312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213 (51%)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College Grad or Above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Food Security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High/Marginal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434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397 (90%)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491 (88%)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338 (83%)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Low/Very Low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8–12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350 (64%)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296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287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 (37%)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12–17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161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161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290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233 (63%)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Continuous variables are presented as weighted mean (SE) and categorical variables are presented as unweighted n (weighted %). Abbreviations: NHANES, National Health and Nutrition Examination Survey; SE, Standard Error; PIR, Poverty Income Ratio.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2026-07-28T19:27:51Z</dcterms:created>
  <dcterms:modified xsi:type="dcterms:W3CDTF">2026-07-28T19:27:51Z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