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Inclusion Status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Analytic Sample (Included)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3997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Data (Excluded)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1350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12.48 (0.06)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12.66 (0.08)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RIAGENDR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2,044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1,953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692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384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Income (&lt; 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1,681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 Income (130-350%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1,488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353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2,193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908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3,087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999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330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492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BMXHT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screen_quart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presented as weighted Mean (SE); categorical variables presented as unweighted n (weighted %). P-values calculated using design-adjusted Chi-square tests and t-tests.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2026-07-26T18:38:03Z</dcterms:created>
  <dcterms:modified xsi:type="dcterms:W3CDTF">2026-07-26T18:38:03Z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