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Daily Screen Time Quartile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n (%)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511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457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577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11.71 (0.12)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12.07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13.12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13.35 (0.14)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(6.9%)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(6.5%)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Income (&lt; 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Middle Income (130-350%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256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439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296 (76%)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(7.7%)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(3.4%)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are presented as weighted mean (SE) and categorical variables are presented as unweighted n (weighted %). Abbreviations: NHANES, National Health and Nutrition Examination Survey; SE, Standard Error; PIR, Poverty Income Ratio.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2026-07-26T16:24:01Z</dcterms:created>
  <dcterms:modified xsi:type="dcterms:W3CDTF">2026-07-26T16:24:01Z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