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4613" w:rsidRPr="009E4CEB" w:rsidRDefault="00283854" w:rsidP="009217FD">
      <w:pPr>
        <w:spacing w:before="300"/>
        <w:rPr>
          <w:lang w:val="fr-FR"/>
        </w:rPr>
      </w:pPr>
      <w:r w:rsidRPr="009E4CEB">
        <w:rPr>
          <w:b/>
          <w:bCs/>
          <w:color w:val="1F3A5F"/>
          <w:sz w:val="26"/>
          <w:szCs w:val="26"/>
          <w:lang w:val="fr-FR"/>
        </w:rPr>
        <w:t>1. Contexte</w:t>
      </w:r>
    </w:p>
    <w:p w:rsidR="00184613" w:rsidRPr="009217FD" w:rsidRDefault="00283854">
      <w:pPr>
        <w:spacing w:after="160" w:line="300" w:lineRule="auto"/>
        <w:jc w:val="both"/>
        <w:rPr>
          <w:lang w:val="fr-FR"/>
        </w:rPr>
      </w:pPr>
      <w:r w:rsidRPr="009217FD">
        <w:rPr>
          <w:color w:val="262624"/>
          <w:sz w:val="22"/>
          <w:szCs w:val="22"/>
          <w:lang w:val="fr-FR"/>
        </w:rPr>
        <w:t>L'entreprise emploie des collaborateurs étrangers dont le suivi administratif et financier implique plusieurs intervenants : le fournisseur de services qui gère les ressources mises à disposition (eau, électricité), le service administratif qui constitue les dossiers des employés, le service des ressources humaines qui assure le recrutement et l'accompagnement, le service financier qui gère la paie, et enfin le client pour lequel le collaborateur travaille.</w:t>
      </w:r>
    </w:p>
    <w:p w:rsidR="00184613" w:rsidRPr="009217FD" w:rsidRDefault="00283854">
      <w:pPr>
        <w:spacing w:after="160" w:line="300" w:lineRule="auto"/>
        <w:jc w:val="both"/>
        <w:rPr>
          <w:lang w:val="fr-FR"/>
        </w:rPr>
      </w:pPr>
      <w:r w:rsidRPr="009217FD">
        <w:rPr>
          <w:color w:val="262624"/>
          <w:sz w:val="22"/>
          <w:szCs w:val="22"/>
          <w:lang w:val="fr-FR"/>
        </w:rPr>
        <w:t>Aujourd'hui, la coordination entre ces intervenants repose sur une réunion mensuelle qu</w:t>
      </w:r>
      <w:r w:rsidR="009217FD">
        <w:rPr>
          <w:color w:val="262624"/>
          <w:sz w:val="22"/>
          <w:szCs w:val="22"/>
          <w:lang w:val="fr-FR"/>
        </w:rPr>
        <w:t>i dure généralement plus de dix</w:t>
      </w:r>
      <w:r w:rsidRPr="009217FD">
        <w:rPr>
          <w:color w:val="262624"/>
          <w:sz w:val="22"/>
          <w:szCs w:val="22"/>
          <w:lang w:val="fr-FR"/>
        </w:rPr>
        <w:t xml:space="preserve"> heures. Cette réunion sert essentiellement à faire circuler une information que chaque service détient déjà de son côté, mais qui n'existe nulle part sous une forme centralisée et partagée.</w:t>
      </w:r>
    </w:p>
    <w:p w:rsidR="00184613" w:rsidRPr="009217FD" w:rsidRDefault="00283854">
      <w:pPr>
        <w:pStyle w:val="Heading1"/>
        <w:pBdr>
          <w:bottom w:val="single" w:sz="6" w:space="4" w:color="1F3A5F"/>
        </w:pBdr>
        <w:spacing w:before="360" w:after="160"/>
        <w:rPr>
          <w:lang w:val="fr-FR"/>
        </w:rPr>
      </w:pPr>
      <w:r w:rsidRPr="009217FD">
        <w:rPr>
          <w:b/>
          <w:bCs/>
          <w:color w:val="1F3A5F"/>
          <w:sz w:val="26"/>
          <w:szCs w:val="26"/>
          <w:lang w:val="fr-FR"/>
        </w:rPr>
        <w:t>2. Compréhension du besoin métier</w:t>
      </w:r>
    </w:p>
    <w:p w:rsidR="00184613" w:rsidRPr="009217FD" w:rsidRDefault="00283854">
      <w:pPr>
        <w:spacing w:after="160" w:line="300" w:lineRule="auto"/>
        <w:jc w:val="both"/>
        <w:rPr>
          <w:lang w:val="fr-FR"/>
        </w:rPr>
      </w:pPr>
      <w:r w:rsidRPr="009217FD">
        <w:rPr>
          <w:color w:val="262624"/>
          <w:sz w:val="22"/>
          <w:szCs w:val="22"/>
          <w:lang w:val="fr-FR"/>
        </w:rPr>
        <w:t xml:space="preserve">Le besoin ne consiste pas seulement à digitaliser des fiches </w:t>
      </w:r>
      <w:proofErr w:type="gramStart"/>
      <w:r w:rsidRPr="009217FD">
        <w:rPr>
          <w:color w:val="262624"/>
          <w:sz w:val="22"/>
          <w:szCs w:val="22"/>
          <w:lang w:val="fr-FR"/>
        </w:rPr>
        <w:t>employés</w:t>
      </w:r>
      <w:proofErr w:type="gramEnd"/>
      <w:r w:rsidRPr="009217FD">
        <w:rPr>
          <w:color w:val="262624"/>
          <w:sz w:val="22"/>
          <w:szCs w:val="22"/>
          <w:lang w:val="fr-FR"/>
        </w:rPr>
        <w:t>. Il s'agit de remplacer un mode de coordination synchrone, où tout le monde doit être présent en même temps pour que l'information circule, par un mode asynchrone où chaque intervenant renseigne ce qui le concerne au moment où il le peut, et où le système se charge de rassembler, relancer et consolider.</w:t>
      </w:r>
    </w:p>
    <w:p w:rsidR="00184613" w:rsidRPr="009217FD" w:rsidRDefault="00283854">
      <w:pPr>
        <w:spacing w:after="160" w:line="300" w:lineRule="auto"/>
        <w:jc w:val="both"/>
        <w:rPr>
          <w:lang w:val="fr-FR"/>
        </w:rPr>
      </w:pPr>
      <w:r w:rsidRPr="009217FD">
        <w:rPr>
          <w:color w:val="262624"/>
          <w:sz w:val="22"/>
          <w:szCs w:val="22"/>
          <w:lang w:val="fr-FR"/>
        </w:rPr>
        <w:t>Trois idées structurent la solution :</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Chaque acteur ne voit et ne modifie que les informations qui relèvent de son rôle (ressources, documents, salaire, demandes de changement).</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Toute modification proposée par un acteur est enregistrée comme une « variation » horodatée, avec l'ancienne et la nouvelle valeur, plutôt que d'écraser directement la donnée.</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En fin de période, l'ensemble des variations validées est consolidé en une projection finale unique, qui d</w:t>
      </w:r>
      <w:r>
        <w:rPr>
          <w:color w:val="262624"/>
          <w:sz w:val="22"/>
          <w:szCs w:val="22"/>
          <w:lang w:val="fr-FR"/>
        </w:rPr>
        <w:t xml:space="preserve">evient la référence pour tous </w:t>
      </w:r>
      <w:r w:rsidRPr="009217FD">
        <w:rPr>
          <w:color w:val="262624"/>
          <w:sz w:val="22"/>
          <w:szCs w:val="22"/>
          <w:lang w:val="fr-FR"/>
        </w:rPr>
        <w:t>sans qu'une réunion soit nécessaire pour y parvenir.</w:t>
      </w:r>
    </w:p>
    <w:p w:rsidR="00184613" w:rsidRPr="009217FD" w:rsidRDefault="00283854">
      <w:pPr>
        <w:spacing w:after="160" w:line="300" w:lineRule="auto"/>
        <w:jc w:val="both"/>
        <w:rPr>
          <w:lang w:val="fr-FR"/>
        </w:rPr>
      </w:pPr>
      <w:r w:rsidRPr="009217FD">
        <w:rPr>
          <w:color w:val="262624"/>
          <w:sz w:val="22"/>
          <w:szCs w:val="22"/>
          <w:lang w:val="fr-FR"/>
        </w:rPr>
        <w:t>Un point métier particulier a été signalé : les collaborateurs étrangers bénéficient d'une exonération fiscale. Cette information doit être portée par la fiche employé et prise en compte dans le calcul visible par le collaborateur et par le service financier.</w:t>
      </w:r>
    </w:p>
    <w:p w:rsidR="00184613" w:rsidRPr="009217FD" w:rsidRDefault="00283854">
      <w:pPr>
        <w:pStyle w:val="Heading1"/>
        <w:pBdr>
          <w:bottom w:val="single" w:sz="6" w:space="4" w:color="1F3A5F"/>
        </w:pBdr>
        <w:spacing w:before="360" w:after="160"/>
        <w:rPr>
          <w:lang w:val="fr-FR"/>
        </w:rPr>
      </w:pPr>
      <w:r w:rsidRPr="009217FD">
        <w:rPr>
          <w:b/>
          <w:bCs/>
          <w:color w:val="1F3A5F"/>
          <w:sz w:val="26"/>
          <w:szCs w:val="26"/>
          <w:lang w:val="fr-FR"/>
        </w:rPr>
        <w:t>3. Problématiques identifiées</w:t>
      </w:r>
    </w:p>
    <w:p w:rsidR="00184613" w:rsidRPr="009217FD" w:rsidRDefault="00283854">
      <w:pPr>
        <w:spacing w:after="160" w:line="300" w:lineRule="auto"/>
        <w:jc w:val="both"/>
        <w:rPr>
          <w:lang w:val="fr-FR"/>
        </w:rPr>
      </w:pPr>
      <w:r w:rsidRPr="009217FD">
        <w:rPr>
          <w:color w:val="262624"/>
          <w:sz w:val="22"/>
          <w:szCs w:val="22"/>
          <w:lang w:val="fr-FR"/>
        </w:rPr>
        <w:t>Voici les difficultés concrètes que la plateforme doit résoudre, telles que je les ai comprises :</w:t>
      </w:r>
    </w:p>
    <w:tbl>
      <w:tblPr>
        <w:tblW w:w="95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340"/>
      </w:tblGrid>
      <w:tr w:rsidR="00184613">
        <w:tc>
          <w:tcPr>
            <w:tcW w:w="3200" w:type="dxa"/>
            <w:shd w:val="clear" w:color="auto" w:fill="1F3A5F"/>
            <w:tcMar>
              <w:top w:w="100" w:type="dxa"/>
              <w:left w:w="120" w:type="dxa"/>
              <w:bottom w:w="100" w:type="dxa"/>
              <w:right w:w="120" w:type="dxa"/>
            </w:tcMar>
            <w:vAlign w:val="center"/>
          </w:tcPr>
          <w:p w:rsidR="00184613" w:rsidRDefault="00283854">
            <w:proofErr w:type="spellStart"/>
            <w:r>
              <w:rPr>
                <w:b/>
                <w:bCs/>
                <w:color w:val="FFFFFF"/>
                <w:sz w:val="21"/>
                <w:szCs w:val="21"/>
              </w:rPr>
              <w:t>Problème</w:t>
            </w:r>
            <w:proofErr w:type="spellEnd"/>
          </w:p>
        </w:tc>
        <w:tc>
          <w:tcPr>
            <w:tcW w:w="6340" w:type="dxa"/>
            <w:shd w:val="clear" w:color="auto" w:fill="1F3A5F"/>
            <w:tcMar>
              <w:top w:w="100" w:type="dxa"/>
              <w:left w:w="120" w:type="dxa"/>
              <w:bottom w:w="100" w:type="dxa"/>
              <w:right w:w="120" w:type="dxa"/>
            </w:tcMar>
            <w:vAlign w:val="center"/>
          </w:tcPr>
          <w:p w:rsidR="00184613" w:rsidRDefault="00283854">
            <w:proofErr w:type="spellStart"/>
            <w:r>
              <w:rPr>
                <w:b/>
                <w:bCs/>
                <w:color w:val="FFFFFF"/>
                <w:sz w:val="21"/>
                <w:szCs w:val="21"/>
              </w:rPr>
              <w:t>Conséquence</w:t>
            </w:r>
            <w:proofErr w:type="spellEnd"/>
            <w:r>
              <w:rPr>
                <w:b/>
                <w:bCs/>
                <w:color w:val="FFFFFF"/>
                <w:sz w:val="21"/>
                <w:szCs w:val="21"/>
              </w:rPr>
              <w:t xml:space="preserve"> </w:t>
            </w:r>
            <w:proofErr w:type="spellStart"/>
            <w:r>
              <w:rPr>
                <w:b/>
                <w:bCs/>
                <w:color w:val="FFFFFF"/>
                <w:sz w:val="21"/>
                <w:szCs w:val="21"/>
              </w:rPr>
              <w:t>actuelle</w:t>
            </w:r>
            <w:proofErr w:type="spellEnd"/>
          </w:p>
        </w:tc>
      </w:tr>
      <w:tr w:rsidR="00184613" w:rsidRPr="009E4CEB">
        <w:tc>
          <w:tcPr>
            <w:tcW w:w="320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R</w:t>
            </w:r>
            <w:r w:rsidR="009217FD">
              <w:rPr>
                <w:color w:val="262624"/>
                <w:lang w:val="fr-FR"/>
              </w:rPr>
              <w:t>éunion mensuelle de plus de dix</w:t>
            </w:r>
            <w:r w:rsidRPr="009217FD">
              <w:rPr>
                <w:color w:val="262624"/>
                <w:lang w:val="fr-FR"/>
              </w:rPr>
              <w:t xml:space="preserve"> heures</w:t>
            </w:r>
          </w:p>
        </w:tc>
        <w:tc>
          <w:tcPr>
            <w:tcW w:w="63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Temps perdu pour cinq à six personnes chaque mois, souvent pour partager une information statique.</w:t>
            </w:r>
          </w:p>
        </w:tc>
      </w:tr>
      <w:tr w:rsidR="00184613" w:rsidRPr="009E4CEB">
        <w:tc>
          <w:tcPr>
            <w:tcW w:w="320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Information éclatée entre les services</w:t>
            </w:r>
          </w:p>
        </w:tc>
        <w:tc>
          <w:tcPr>
            <w:tcW w:w="63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Aucune vision globale et à jour d'un collaborateur donné n'existe en dehors de la réunion.</w:t>
            </w:r>
          </w:p>
        </w:tc>
      </w:tr>
      <w:tr w:rsidR="00184613" w:rsidRPr="009E4CEB">
        <w:tc>
          <w:tcPr>
            <w:tcW w:w="320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Modifications faites sur des fichiers Excel partagés par plusieurs personnes</w:t>
            </w:r>
          </w:p>
        </w:tc>
        <w:tc>
          <w:tcPr>
            <w:tcW w:w="63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Risque d'écrasement, de conflits, et absence d'historique de qui a changé quoi.</w:t>
            </w:r>
          </w:p>
        </w:tc>
      </w:tr>
      <w:tr w:rsidR="00184613" w:rsidRPr="009E4CEB">
        <w:tc>
          <w:tcPr>
            <w:tcW w:w="3200" w:type="dxa"/>
            <w:tcMar>
              <w:top w:w="100" w:type="dxa"/>
              <w:left w:w="120" w:type="dxa"/>
              <w:bottom w:w="100" w:type="dxa"/>
              <w:right w:w="120" w:type="dxa"/>
            </w:tcMar>
            <w:vAlign w:val="center"/>
          </w:tcPr>
          <w:p w:rsidR="00184613" w:rsidRDefault="00283854">
            <w:proofErr w:type="spellStart"/>
            <w:r>
              <w:rPr>
                <w:color w:val="262624"/>
              </w:rPr>
              <w:t>Aucune</w:t>
            </w:r>
            <w:proofErr w:type="spellEnd"/>
            <w:r>
              <w:rPr>
                <w:color w:val="262624"/>
              </w:rPr>
              <w:t xml:space="preserve"> </w:t>
            </w:r>
            <w:proofErr w:type="spellStart"/>
            <w:r>
              <w:rPr>
                <w:color w:val="262624"/>
              </w:rPr>
              <w:t>relance</w:t>
            </w:r>
            <w:proofErr w:type="spellEnd"/>
            <w:r>
              <w:rPr>
                <w:color w:val="262624"/>
              </w:rPr>
              <w:t xml:space="preserve"> </w:t>
            </w:r>
            <w:proofErr w:type="spellStart"/>
            <w:r>
              <w:rPr>
                <w:color w:val="262624"/>
              </w:rPr>
              <w:t>automatique</w:t>
            </w:r>
            <w:proofErr w:type="spellEnd"/>
          </w:p>
        </w:tc>
        <w:tc>
          <w:tcPr>
            <w:tcW w:w="63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Un intervenant qui oublie de transmettre une information n'est identifié qu'en réunion, une fois le retard déjà pris.</w:t>
            </w:r>
          </w:p>
        </w:tc>
      </w:tr>
      <w:tr w:rsidR="00184613" w:rsidRPr="009E4CEB">
        <w:tc>
          <w:tcPr>
            <w:tcW w:w="320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Le collaborateur étranger dépend d'un tiers</w:t>
            </w:r>
          </w:p>
        </w:tc>
        <w:tc>
          <w:tcPr>
            <w:tcW w:w="63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Il ne peut pas consulter lui-même son salaire, son statut fiscal ou l'état de ses documents.</w:t>
            </w:r>
          </w:p>
        </w:tc>
      </w:tr>
      <w:tr w:rsidR="00184613" w:rsidRPr="009E4CEB">
        <w:tc>
          <w:tcPr>
            <w:tcW w:w="3200" w:type="dxa"/>
            <w:tcMar>
              <w:top w:w="100" w:type="dxa"/>
              <w:left w:w="120" w:type="dxa"/>
              <w:bottom w:w="100" w:type="dxa"/>
              <w:right w:w="120" w:type="dxa"/>
            </w:tcMar>
            <w:vAlign w:val="center"/>
          </w:tcPr>
          <w:p w:rsidR="00184613" w:rsidRDefault="00283854">
            <w:proofErr w:type="spellStart"/>
            <w:r>
              <w:rPr>
                <w:color w:val="262624"/>
              </w:rPr>
              <w:lastRenderedPageBreak/>
              <w:t>Aucune</w:t>
            </w:r>
            <w:proofErr w:type="spellEnd"/>
            <w:r>
              <w:rPr>
                <w:color w:val="262624"/>
              </w:rPr>
              <w:t xml:space="preserve"> </w:t>
            </w:r>
            <w:proofErr w:type="spellStart"/>
            <w:r>
              <w:rPr>
                <w:color w:val="262624"/>
              </w:rPr>
              <w:t>traçabilité</w:t>
            </w:r>
            <w:proofErr w:type="spellEnd"/>
            <w:r>
              <w:rPr>
                <w:color w:val="262624"/>
              </w:rPr>
              <w:t xml:space="preserve"> des </w:t>
            </w:r>
            <w:proofErr w:type="spellStart"/>
            <w:r>
              <w:rPr>
                <w:color w:val="262624"/>
              </w:rPr>
              <w:t>décisions</w:t>
            </w:r>
            <w:proofErr w:type="spellEnd"/>
          </w:p>
        </w:tc>
        <w:tc>
          <w:tcPr>
            <w:tcW w:w="63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Impossible de retrouver facilement qui a demandé un changement, quand, et qui l'a validé.</w:t>
            </w:r>
          </w:p>
        </w:tc>
      </w:tr>
      <w:tr w:rsidR="00184613" w:rsidRPr="009E4CEB">
        <w:tc>
          <w:tcPr>
            <w:tcW w:w="320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Coût de coordination réparti sur plusieurs personnes</w:t>
            </w:r>
          </w:p>
        </w:tc>
        <w:tc>
          <w:tcPr>
            <w:tcW w:w="63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Le temps de coordination mensuel mobilise plusieurs collaborateurs à la fois, alors qu'une partie de ce travail pourrait être assurée par une ou deux personnes seulement si l'information était centralisée.</w:t>
            </w:r>
          </w:p>
        </w:tc>
      </w:tr>
    </w:tbl>
    <w:p w:rsidR="00184613" w:rsidRPr="009217FD" w:rsidRDefault="00283854" w:rsidP="009217FD">
      <w:pPr>
        <w:spacing w:before="300"/>
        <w:rPr>
          <w:lang w:val="fr-FR"/>
        </w:rPr>
      </w:pPr>
      <w:r w:rsidRPr="009217FD">
        <w:rPr>
          <w:b/>
          <w:bCs/>
          <w:color w:val="1F3A5F"/>
          <w:sz w:val="26"/>
          <w:szCs w:val="26"/>
          <w:lang w:val="fr-FR"/>
        </w:rPr>
        <w:t>4. Solution proposée</w:t>
      </w:r>
    </w:p>
    <w:p w:rsidR="00184613" w:rsidRPr="009217FD" w:rsidRDefault="00283854">
      <w:pPr>
        <w:pStyle w:val="Heading2"/>
        <w:spacing w:before="260" w:after="120"/>
        <w:rPr>
          <w:lang w:val="fr-FR"/>
        </w:rPr>
      </w:pPr>
      <w:r w:rsidRPr="009217FD">
        <w:rPr>
          <w:b/>
          <w:bCs/>
          <w:color w:val="9C6B2E"/>
          <w:sz w:val="22"/>
          <w:szCs w:val="22"/>
          <w:lang w:val="fr-FR"/>
        </w:rPr>
        <w:t>4.1 Principe général</w:t>
      </w:r>
    </w:p>
    <w:p w:rsidR="00184613" w:rsidRPr="009217FD" w:rsidRDefault="00283854">
      <w:pPr>
        <w:spacing w:after="160" w:line="300" w:lineRule="auto"/>
        <w:jc w:val="both"/>
        <w:rPr>
          <w:lang w:val="fr-FR"/>
        </w:rPr>
      </w:pPr>
      <w:r w:rsidRPr="009217FD">
        <w:rPr>
          <w:color w:val="262624"/>
          <w:sz w:val="22"/>
          <w:szCs w:val="22"/>
          <w:lang w:val="fr-FR"/>
        </w:rPr>
        <w:t>La plateforme centralise les informations de chaque collaborateur étranger et attribue à chaque intervenant un espace correspondant à son rôle. Plutôt que de modifier directement une donnée, chaque acteur soumet une variation, qui suit un cycle de validation avant d'être intégrée à la fiche finale du collaborateur.</w:t>
      </w:r>
    </w:p>
    <w:p w:rsidR="00184613" w:rsidRPr="009217FD" w:rsidRDefault="00283854">
      <w:pPr>
        <w:spacing w:after="160" w:line="300" w:lineRule="auto"/>
        <w:jc w:val="both"/>
        <w:rPr>
          <w:lang w:val="fr-FR"/>
        </w:rPr>
      </w:pPr>
      <w:r w:rsidRPr="009217FD">
        <w:rPr>
          <w:color w:val="262624"/>
          <w:sz w:val="22"/>
          <w:szCs w:val="22"/>
          <w:lang w:val="fr-FR"/>
        </w:rPr>
        <w:t>Le fichier Excel n'est pas partagé avec l'ensemble des acteurs. Un seul rôle, le gestionnaire de données, est habilité à l'importer ou à l'exporter ; les autres intervenants passent uniquement par les formulaires de l'application. Cela évite les conflits de modification et garde une trace de chaque import.</w:t>
      </w:r>
    </w:p>
    <w:p w:rsidR="00184613" w:rsidRPr="009217FD" w:rsidRDefault="00283854">
      <w:pPr>
        <w:pStyle w:val="Heading2"/>
        <w:spacing w:before="260" w:after="120"/>
        <w:rPr>
          <w:lang w:val="fr-FR"/>
        </w:rPr>
      </w:pPr>
      <w:r w:rsidRPr="009217FD">
        <w:rPr>
          <w:b/>
          <w:bCs/>
          <w:color w:val="9C6B2E"/>
          <w:sz w:val="22"/>
          <w:szCs w:val="22"/>
          <w:lang w:val="fr-FR"/>
        </w:rPr>
        <w:t>4.2 Scénario par acteur</w:t>
      </w:r>
    </w:p>
    <w:p w:rsidR="00184613" w:rsidRPr="009217FD" w:rsidRDefault="00283854">
      <w:pPr>
        <w:spacing w:after="160" w:line="300" w:lineRule="auto"/>
        <w:jc w:val="both"/>
        <w:rPr>
          <w:lang w:val="fr-FR"/>
        </w:rPr>
      </w:pPr>
      <w:r w:rsidRPr="009217FD">
        <w:rPr>
          <w:color w:val="262624"/>
          <w:sz w:val="22"/>
          <w:szCs w:val="22"/>
          <w:lang w:val="fr-FR"/>
        </w:rPr>
        <w:t>Le déroulé ci-dessous illustre un cycle mensuel type, sans qu'aucune réunion ne soit nécessaire.</w:t>
      </w:r>
    </w:p>
    <w:tbl>
      <w:tblPr>
        <w:tblW w:w="95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7140"/>
      </w:tblGrid>
      <w:tr w:rsidR="00184613">
        <w:tc>
          <w:tcPr>
            <w:tcW w:w="2400" w:type="dxa"/>
            <w:shd w:val="clear" w:color="auto" w:fill="9C6B2E"/>
            <w:tcMar>
              <w:top w:w="100" w:type="dxa"/>
              <w:left w:w="120" w:type="dxa"/>
              <w:bottom w:w="100" w:type="dxa"/>
              <w:right w:w="120" w:type="dxa"/>
            </w:tcMar>
            <w:vAlign w:val="center"/>
          </w:tcPr>
          <w:p w:rsidR="00184613" w:rsidRDefault="00283854">
            <w:proofErr w:type="spellStart"/>
            <w:r>
              <w:rPr>
                <w:b/>
                <w:bCs/>
                <w:color w:val="FFFFFF"/>
                <w:sz w:val="21"/>
                <w:szCs w:val="21"/>
              </w:rPr>
              <w:t>Acteur</w:t>
            </w:r>
            <w:proofErr w:type="spellEnd"/>
          </w:p>
        </w:tc>
        <w:tc>
          <w:tcPr>
            <w:tcW w:w="7140" w:type="dxa"/>
            <w:shd w:val="clear" w:color="auto" w:fill="9C6B2E"/>
            <w:tcMar>
              <w:top w:w="100" w:type="dxa"/>
              <w:left w:w="120" w:type="dxa"/>
              <w:bottom w:w="100" w:type="dxa"/>
              <w:right w:w="120" w:type="dxa"/>
            </w:tcMar>
            <w:vAlign w:val="center"/>
          </w:tcPr>
          <w:p w:rsidR="00184613" w:rsidRDefault="00283854">
            <w:r>
              <w:rPr>
                <w:b/>
                <w:bCs/>
                <w:color w:val="FFFFFF"/>
                <w:sz w:val="21"/>
                <w:szCs w:val="21"/>
              </w:rPr>
              <w:t xml:space="preserve">Action </w:t>
            </w:r>
            <w:proofErr w:type="spellStart"/>
            <w:r>
              <w:rPr>
                <w:b/>
                <w:bCs/>
                <w:color w:val="FFFFFF"/>
                <w:sz w:val="21"/>
                <w:szCs w:val="21"/>
              </w:rPr>
              <w:t>dans</w:t>
            </w:r>
            <w:proofErr w:type="spellEnd"/>
            <w:r>
              <w:rPr>
                <w:b/>
                <w:bCs/>
                <w:color w:val="FFFFFF"/>
                <w:sz w:val="21"/>
                <w:szCs w:val="21"/>
              </w:rPr>
              <w:t xml:space="preserve"> le </w:t>
            </w:r>
            <w:proofErr w:type="spellStart"/>
            <w:r>
              <w:rPr>
                <w:b/>
                <w:bCs/>
                <w:color w:val="FFFFFF"/>
                <w:sz w:val="21"/>
                <w:szCs w:val="21"/>
              </w:rPr>
              <w:t>système</w:t>
            </w:r>
            <w:proofErr w:type="spellEnd"/>
          </w:p>
        </w:tc>
      </w:tr>
      <w:tr w:rsidR="00184613" w:rsidRPr="009E4CEB">
        <w:tc>
          <w:tcPr>
            <w:tcW w:w="2400" w:type="dxa"/>
            <w:tcMar>
              <w:top w:w="100" w:type="dxa"/>
              <w:left w:w="120" w:type="dxa"/>
              <w:bottom w:w="100" w:type="dxa"/>
              <w:right w:w="120" w:type="dxa"/>
            </w:tcMar>
            <w:vAlign w:val="center"/>
          </w:tcPr>
          <w:p w:rsidR="00184613" w:rsidRDefault="00283854">
            <w:proofErr w:type="spellStart"/>
            <w:r>
              <w:rPr>
                <w:color w:val="262624"/>
              </w:rPr>
              <w:t>Administrateur</w:t>
            </w:r>
            <w:proofErr w:type="spellEnd"/>
          </w:p>
        </w:tc>
        <w:tc>
          <w:tcPr>
            <w:tcW w:w="71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Crée les comptes utilisateurs, les départements et les fiches employés initiales.</w:t>
            </w:r>
          </w:p>
        </w:tc>
      </w:tr>
      <w:tr w:rsidR="00184613" w:rsidRPr="009E4CEB">
        <w:tc>
          <w:tcPr>
            <w:tcW w:w="2400" w:type="dxa"/>
            <w:tcMar>
              <w:top w:w="100" w:type="dxa"/>
              <w:left w:w="120" w:type="dxa"/>
              <w:bottom w:w="100" w:type="dxa"/>
              <w:right w:w="120" w:type="dxa"/>
            </w:tcMar>
            <w:vAlign w:val="center"/>
          </w:tcPr>
          <w:p w:rsidR="00184613" w:rsidRDefault="00283854">
            <w:proofErr w:type="spellStart"/>
            <w:r>
              <w:rPr>
                <w:color w:val="262624"/>
              </w:rPr>
              <w:t>Fournisseur</w:t>
            </w:r>
            <w:proofErr w:type="spellEnd"/>
            <w:r>
              <w:rPr>
                <w:color w:val="262624"/>
              </w:rPr>
              <w:t xml:space="preserve"> de services</w:t>
            </w:r>
          </w:p>
        </w:tc>
        <w:tc>
          <w:tcPr>
            <w:tcW w:w="71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Renseigne la consommation mensuelle d'eau et d'électricité pour chaque collaborateur dont il a la charge, directement dans l'application.</w:t>
            </w:r>
          </w:p>
        </w:tc>
      </w:tr>
      <w:tr w:rsidR="00184613" w:rsidRPr="009E4CEB">
        <w:tc>
          <w:tcPr>
            <w:tcW w:w="240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Gestionnaire de données (rôle unique)</w:t>
            </w:r>
          </w:p>
        </w:tc>
        <w:tc>
          <w:tcPr>
            <w:tcW w:w="71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Seul acteur habilité à importer et exporter les données via Excel. Les autres intervenants n'ont pas accès au fichier Excel : ils saisissent leurs informations uniquement via l'application.</w:t>
            </w:r>
          </w:p>
        </w:tc>
      </w:tr>
      <w:tr w:rsidR="00184613" w:rsidRPr="009E4CEB">
        <w:tc>
          <w:tcPr>
            <w:tcW w:w="2400" w:type="dxa"/>
            <w:tcMar>
              <w:top w:w="100" w:type="dxa"/>
              <w:left w:w="120" w:type="dxa"/>
              <w:bottom w:w="100" w:type="dxa"/>
              <w:right w:w="120" w:type="dxa"/>
            </w:tcMar>
            <w:vAlign w:val="center"/>
          </w:tcPr>
          <w:p w:rsidR="00184613" w:rsidRDefault="00283854">
            <w:r>
              <w:rPr>
                <w:color w:val="262624"/>
              </w:rPr>
              <w:t xml:space="preserve">Service </w:t>
            </w:r>
            <w:proofErr w:type="spellStart"/>
            <w:r>
              <w:rPr>
                <w:color w:val="262624"/>
              </w:rPr>
              <w:t>administratif</w:t>
            </w:r>
            <w:proofErr w:type="spellEnd"/>
            <w:r>
              <w:rPr>
                <w:color w:val="262624"/>
              </w:rPr>
              <w:t xml:space="preserve"> (RH)</w:t>
            </w:r>
          </w:p>
        </w:tc>
        <w:tc>
          <w:tcPr>
            <w:tcW w:w="71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Dépose et met à jour les documents officiels : contrat, permis de travail, pièce d'identité.</w:t>
            </w:r>
          </w:p>
        </w:tc>
      </w:tr>
      <w:tr w:rsidR="00184613" w:rsidRPr="009E4CEB">
        <w:tc>
          <w:tcPr>
            <w:tcW w:w="2400" w:type="dxa"/>
            <w:tcMar>
              <w:top w:w="100" w:type="dxa"/>
              <w:left w:w="120" w:type="dxa"/>
              <w:bottom w:w="100" w:type="dxa"/>
              <w:right w:w="120" w:type="dxa"/>
            </w:tcMar>
            <w:vAlign w:val="center"/>
          </w:tcPr>
          <w:p w:rsidR="00184613" w:rsidRDefault="00283854">
            <w:r>
              <w:rPr>
                <w:color w:val="262624"/>
              </w:rPr>
              <w:t>Client</w:t>
            </w:r>
          </w:p>
        </w:tc>
        <w:tc>
          <w:tcPr>
            <w:tcW w:w="71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Soumet une variation lorsqu'un changement est nécessaire (temps de travail, affectation).</w:t>
            </w:r>
          </w:p>
        </w:tc>
      </w:tr>
      <w:tr w:rsidR="00184613" w:rsidRPr="009E4CEB">
        <w:tc>
          <w:tcPr>
            <w:tcW w:w="2400" w:type="dxa"/>
            <w:tcMar>
              <w:top w:w="100" w:type="dxa"/>
              <w:left w:w="120" w:type="dxa"/>
              <w:bottom w:w="100" w:type="dxa"/>
              <w:right w:w="120" w:type="dxa"/>
            </w:tcMar>
            <w:vAlign w:val="center"/>
          </w:tcPr>
          <w:p w:rsidR="00184613" w:rsidRDefault="00283854">
            <w:r>
              <w:rPr>
                <w:color w:val="262624"/>
              </w:rPr>
              <w:t>Service financier</w:t>
            </w:r>
          </w:p>
        </w:tc>
        <w:tc>
          <w:tcPr>
            <w:tcW w:w="71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Examine les variations liées au salaire, tient compte du statut d'exonération fiscale, valide ou refuse.</w:t>
            </w:r>
          </w:p>
        </w:tc>
      </w:tr>
      <w:tr w:rsidR="00184613" w:rsidRPr="009E4CEB">
        <w:tc>
          <w:tcPr>
            <w:tcW w:w="2400" w:type="dxa"/>
            <w:tcMar>
              <w:top w:w="100" w:type="dxa"/>
              <w:left w:w="120" w:type="dxa"/>
              <w:bottom w:w="100" w:type="dxa"/>
              <w:right w:w="120" w:type="dxa"/>
            </w:tcMar>
            <w:vAlign w:val="center"/>
          </w:tcPr>
          <w:p w:rsidR="00184613" w:rsidRDefault="00283854">
            <w:proofErr w:type="spellStart"/>
            <w:r>
              <w:rPr>
                <w:color w:val="262624"/>
              </w:rPr>
              <w:t>Ressources</w:t>
            </w:r>
            <w:proofErr w:type="spellEnd"/>
            <w:r>
              <w:rPr>
                <w:color w:val="262624"/>
              </w:rPr>
              <w:t xml:space="preserve"> </w:t>
            </w:r>
            <w:proofErr w:type="spellStart"/>
            <w:r>
              <w:rPr>
                <w:color w:val="262624"/>
              </w:rPr>
              <w:t>humaines</w:t>
            </w:r>
            <w:proofErr w:type="spellEnd"/>
          </w:p>
        </w:tc>
        <w:tc>
          <w:tcPr>
            <w:tcW w:w="71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Valide les variations liées au contrat, au temps de travail ou aux documents.</w:t>
            </w:r>
          </w:p>
        </w:tc>
      </w:tr>
      <w:tr w:rsidR="00184613" w:rsidRPr="009E4CEB">
        <w:tc>
          <w:tcPr>
            <w:tcW w:w="2400" w:type="dxa"/>
            <w:tcMar>
              <w:top w:w="100" w:type="dxa"/>
              <w:left w:w="120" w:type="dxa"/>
              <w:bottom w:w="100" w:type="dxa"/>
              <w:right w:w="120" w:type="dxa"/>
            </w:tcMar>
            <w:vAlign w:val="center"/>
          </w:tcPr>
          <w:p w:rsidR="00184613" w:rsidRDefault="00283854">
            <w:proofErr w:type="spellStart"/>
            <w:r>
              <w:rPr>
                <w:color w:val="262624"/>
              </w:rPr>
              <w:t>Collaborateur</w:t>
            </w:r>
            <w:proofErr w:type="spellEnd"/>
            <w:r>
              <w:rPr>
                <w:color w:val="262624"/>
              </w:rPr>
              <w:t xml:space="preserve"> </w:t>
            </w:r>
            <w:proofErr w:type="spellStart"/>
            <w:r>
              <w:rPr>
                <w:color w:val="262624"/>
              </w:rPr>
              <w:t>étranger</w:t>
            </w:r>
            <w:proofErr w:type="spellEnd"/>
          </w:p>
        </w:tc>
        <w:tc>
          <w:tcPr>
            <w:tcW w:w="714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Consulte à tout moment son salaire, son statut fiscal, ses documents et l'état de ses demandes, en lecture seule.</w:t>
            </w:r>
          </w:p>
        </w:tc>
      </w:tr>
    </w:tbl>
    <w:p w:rsidR="00184613" w:rsidRPr="009217FD" w:rsidRDefault="00283854">
      <w:pPr>
        <w:pStyle w:val="Heading2"/>
        <w:spacing w:before="260" w:after="120"/>
        <w:rPr>
          <w:lang w:val="fr-FR"/>
        </w:rPr>
      </w:pPr>
      <w:r w:rsidRPr="009217FD">
        <w:rPr>
          <w:b/>
          <w:bCs/>
          <w:color w:val="9C6B2E"/>
          <w:sz w:val="22"/>
          <w:szCs w:val="22"/>
          <w:lang w:val="fr-FR"/>
        </w:rPr>
        <w:t>4.3 Système d'alertes</w:t>
      </w:r>
    </w:p>
    <w:p w:rsidR="00184613" w:rsidRPr="009217FD" w:rsidRDefault="00283854">
      <w:pPr>
        <w:spacing w:after="160" w:line="300" w:lineRule="auto"/>
        <w:jc w:val="both"/>
        <w:rPr>
          <w:lang w:val="fr-FR"/>
        </w:rPr>
      </w:pPr>
      <w:r w:rsidRPr="009217FD">
        <w:rPr>
          <w:color w:val="262624"/>
          <w:sz w:val="22"/>
          <w:szCs w:val="22"/>
          <w:lang w:val="fr-FR"/>
        </w:rPr>
        <w:t>Une tâche planifiée s'exécute chaque jour et vérifie l'état des données attendues pour la période en cours. Si un intervenant n'a pas transmis l'information qui lui incombe avant l'échéance, une alerte lui est envoyée automatiquement, avec une relance supplémentaire en cas de dépassement du délai. C'est ce mécanisme qui remplace le rôle que jouait la réunion pour rappeler les retardataires.</w:t>
      </w:r>
    </w:p>
    <w:p w:rsidR="00184613" w:rsidRPr="009217FD" w:rsidRDefault="00283854">
      <w:pPr>
        <w:pStyle w:val="Heading2"/>
        <w:spacing w:before="260" w:after="120"/>
        <w:rPr>
          <w:lang w:val="fr-FR"/>
        </w:rPr>
      </w:pPr>
      <w:r w:rsidRPr="009217FD">
        <w:rPr>
          <w:b/>
          <w:bCs/>
          <w:color w:val="9C6B2E"/>
          <w:sz w:val="22"/>
          <w:szCs w:val="22"/>
          <w:lang w:val="fr-FR"/>
        </w:rPr>
        <w:t>4.4 Consolidation en projection finale</w:t>
      </w:r>
    </w:p>
    <w:p w:rsidR="00184613" w:rsidRPr="009217FD" w:rsidRDefault="00283854">
      <w:pPr>
        <w:spacing w:after="160" w:line="300" w:lineRule="auto"/>
        <w:jc w:val="both"/>
        <w:rPr>
          <w:lang w:val="fr-FR"/>
        </w:rPr>
      </w:pPr>
      <w:r w:rsidRPr="009217FD">
        <w:rPr>
          <w:color w:val="262624"/>
          <w:sz w:val="22"/>
          <w:szCs w:val="22"/>
          <w:lang w:val="fr-FR"/>
        </w:rPr>
        <w:t xml:space="preserve">Lorsque toutes les variations d'une période ont été traitées, un mécanisme de consolidation regroupe celles qui ont été validées en une fiche de synthèse unique par collaborateur : salaire à jour, statut, ressources </w:t>
      </w:r>
      <w:r w:rsidRPr="009217FD">
        <w:rPr>
          <w:color w:val="262624"/>
          <w:sz w:val="22"/>
          <w:szCs w:val="22"/>
          <w:lang w:val="fr-FR"/>
        </w:rPr>
        <w:lastRenderedPageBreak/>
        <w:t>consommées, documents en règle. C'est cette fiche unique que consultent ensuite le client, les ressources humaines, le service financier et le collaborateur lui-même.</w:t>
      </w:r>
    </w:p>
    <w:p w:rsidR="00184613" w:rsidRDefault="00283854">
      <w:pPr>
        <w:pStyle w:val="Heading1"/>
        <w:pBdr>
          <w:bottom w:val="single" w:sz="6" w:space="4" w:color="1F3A5F"/>
        </w:pBdr>
        <w:spacing w:before="360" w:after="160"/>
      </w:pPr>
      <w:r>
        <w:rPr>
          <w:b/>
          <w:bCs/>
          <w:color w:val="1F3A5F"/>
          <w:sz w:val="26"/>
          <w:szCs w:val="26"/>
        </w:rPr>
        <w:t xml:space="preserve">5. </w:t>
      </w:r>
      <w:proofErr w:type="spellStart"/>
      <w:r>
        <w:rPr>
          <w:b/>
          <w:bCs/>
          <w:color w:val="1F3A5F"/>
          <w:sz w:val="26"/>
          <w:szCs w:val="26"/>
        </w:rPr>
        <w:t>Bénéfices</w:t>
      </w:r>
      <w:proofErr w:type="spellEnd"/>
      <w:r>
        <w:rPr>
          <w:b/>
          <w:bCs/>
          <w:color w:val="1F3A5F"/>
          <w:sz w:val="26"/>
          <w:szCs w:val="26"/>
        </w:rPr>
        <w:t xml:space="preserve"> </w:t>
      </w:r>
      <w:proofErr w:type="spellStart"/>
      <w:r>
        <w:rPr>
          <w:b/>
          <w:bCs/>
          <w:color w:val="1F3A5F"/>
          <w:sz w:val="26"/>
          <w:szCs w:val="26"/>
        </w:rPr>
        <w:t>attendus</w:t>
      </w:r>
      <w:proofErr w:type="spellEnd"/>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Suppression de la réunion mensuelle, ou réduction à un point de validation ponctuel si nécessaire.</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Une seule version de la vérité par collaborateur, accessible à tout moment par les personnes concernées.</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Historique complet des changements : qui a demandé quoi, qui a validé, et quand.</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Réduction des erreurs liées à la saisie libre sur des fichiers Excel partagés.</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Autonomie du collaborateur étranger pour consulter sa propre situation.</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Relances automatiques qui évitent les oublis constatés a posteriori.</w:t>
      </w:r>
    </w:p>
    <w:p w:rsidR="00184613" w:rsidRPr="009217FD" w:rsidRDefault="00283854">
      <w:pPr>
        <w:pStyle w:val="Heading1"/>
        <w:pBdr>
          <w:bottom w:val="single" w:sz="6" w:space="4" w:color="1F3A5F"/>
        </w:pBdr>
        <w:spacing w:before="360" w:after="160"/>
        <w:rPr>
          <w:lang w:val="fr-FR"/>
        </w:rPr>
      </w:pPr>
      <w:r w:rsidRPr="009217FD">
        <w:rPr>
          <w:b/>
          <w:bCs/>
          <w:color w:val="1F3A5F"/>
          <w:sz w:val="26"/>
          <w:szCs w:val="26"/>
          <w:lang w:val="fr-FR"/>
        </w:rPr>
        <w:t>6. Analyse économique : de la perte au gain</w:t>
      </w:r>
    </w:p>
    <w:p w:rsidR="00184613" w:rsidRPr="009217FD" w:rsidRDefault="00283854">
      <w:pPr>
        <w:spacing w:after="160" w:line="300" w:lineRule="auto"/>
        <w:jc w:val="both"/>
        <w:rPr>
          <w:lang w:val="fr-FR"/>
        </w:rPr>
      </w:pPr>
      <w:r w:rsidRPr="009217FD">
        <w:rPr>
          <w:color w:val="262624"/>
          <w:sz w:val="22"/>
          <w:szCs w:val="22"/>
          <w:lang w:val="fr-FR"/>
        </w:rPr>
        <w:t>Au-delà du confort d'usage, la plateforme doit se justifier économiquement. L'objectif est de vérifier que le temps et l'argent investis dans son développement sont récupérés par la réduction du temps de coordination, et non l'inverse.</w:t>
      </w:r>
    </w:p>
    <w:p w:rsidR="00184613" w:rsidRPr="009217FD" w:rsidRDefault="00283854">
      <w:pPr>
        <w:spacing w:after="160" w:line="300" w:lineRule="auto"/>
        <w:jc w:val="both"/>
        <w:rPr>
          <w:lang w:val="fr-FR"/>
        </w:rPr>
      </w:pPr>
      <w:r w:rsidRPr="009217FD">
        <w:rPr>
          <w:color w:val="262624"/>
          <w:sz w:val="22"/>
          <w:szCs w:val="22"/>
          <w:lang w:val="fr-FR"/>
        </w:rPr>
        <w:t>Aujourd'hui, la coordination mensuelle mobilise plusieurs personnes en même temps : chacune y consacre du temps qui pourrait être utilisé ailleurs. Avec la plateforme, ce même travail de coordination peut être assuré en continu par une ou deux personnes qui suivent les alertes et valident les variations, au lieu de réunir l'ensemble des intervenants.</w:t>
      </w:r>
    </w:p>
    <w:tbl>
      <w:tblPr>
        <w:tblW w:w="95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3170"/>
        <w:gridCol w:w="3170"/>
      </w:tblGrid>
      <w:tr w:rsidR="00184613">
        <w:tc>
          <w:tcPr>
            <w:tcW w:w="3200" w:type="dxa"/>
            <w:shd w:val="clear" w:color="auto" w:fill="1F3A5F"/>
            <w:tcMar>
              <w:top w:w="100" w:type="dxa"/>
              <w:left w:w="120" w:type="dxa"/>
              <w:bottom w:w="100" w:type="dxa"/>
              <w:right w:w="120" w:type="dxa"/>
            </w:tcMar>
            <w:vAlign w:val="center"/>
          </w:tcPr>
          <w:p w:rsidR="00184613" w:rsidRDefault="00283854">
            <w:proofErr w:type="spellStart"/>
            <w:r>
              <w:rPr>
                <w:b/>
                <w:bCs/>
                <w:color w:val="FFFFFF"/>
                <w:sz w:val="21"/>
                <w:szCs w:val="21"/>
              </w:rPr>
              <w:t>Indicateur</w:t>
            </w:r>
            <w:proofErr w:type="spellEnd"/>
          </w:p>
        </w:tc>
        <w:tc>
          <w:tcPr>
            <w:tcW w:w="3170" w:type="dxa"/>
            <w:shd w:val="clear" w:color="auto" w:fill="1F3A5F"/>
            <w:tcMar>
              <w:top w:w="100" w:type="dxa"/>
              <w:left w:w="120" w:type="dxa"/>
              <w:bottom w:w="100" w:type="dxa"/>
              <w:right w:w="120" w:type="dxa"/>
            </w:tcMar>
            <w:vAlign w:val="center"/>
          </w:tcPr>
          <w:p w:rsidR="00184613" w:rsidRDefault="00283854">
            <w:r>
              <w:rPr>
                <w:b/>
                <w:bCs/>
                <w:color w:val="FFFFFF"/>
                <w:sz w:val="21"/>
                <w:szCs w:val="21"/>
              </w:rPr>
              <w:t xml:space="preserve">Situation </w:t>
            </w:r>
            <w:proofErr w:type="spellStart"/>
            <w:r>
              <w:rPr>
                <w:b/>
                <w:bCs/>
                <w:color w:val="FFFFFF"/>
                <w:sz w:val="21"/>
                <w:szCs w:val="21"/>
              </w:rPr>
              <w:t>actuelle</w:t>
            </w:r>
            <w:proofErr w:type="spellEnd"/>
          </w:p>
        </w:tc>
        <w:tc>
          <w:tcPr>
            <w:tcW w:w="3170" w:type="dxa"/>
            <w:shd w:val="clear" w:color="auto" w:fill="1F3A5F"/>
            <w:tcMar>
              <w:top w:w="100" w:type="dxa"/>
              <w:left w:w="120" w:type="dxa"/>
              <w:bottom w:w="100" w:type="dxa"/>
              <w:right w:w="120" w:type="dxa"/>
            </w:tcMar>
            <w:vAlign w:val="center"/>
          </w:tcPr>
          <w:p w:rsidR="00184613" w:rsidRDefault="00283854">
            <w:r>
              <w:rPr>
                <w:b/>
                <w:bCs/>
                <w:color w:val="FFFFFF"/>
                <w:sz w:val="21"/>
                <w:szCs w:val="21"/>
              </w:rPr>
              <w:t xml:space="preserve">Avec la </w:t>
            </w:r>
            <w:proofErr w:type="spellStart"/>
            <w:r>
              <w:rPr>
                <w:b/>
                <w:bCs/>
                <w:color w:val="FFFFFF"/>
                <w:sz w:val="21"/>
                <w:szCs w:val="21"/>
              </w:rPr>
              <w:t>plateforme</w:t>
            </w:r>
            <w:proofErr w:type="spellEnd"/>
          </w:p>
        </w:tc>
      </w:tr>
      <w:tr w:rsidR="00184613" w:rsidRPr="009E4CEB">
        <w:tc>
          <w:tcPr>
            <w:tcW w:w="320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Personnes mobilisées pour la coordination</w:t>
            </w:r>
          </w:p>
        </w:tc>
        <w:tc>
          <w:tcPr>
            <w:tcW w:w="317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5 à 6 intervenants, chacun pendant la réunion</w:t>
            </w:r>
          </w:p>
        </w:tc>
        <w:tc>
          <w:tcPr>
            <w:tcW w:w="317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1 à 2 personnes, en suivi continu</w:t>
            </w:r>
          </w:p>
        </w:tc>
      </w:tr>
      <w:tr w:rsidR="00184613" w:rsidRPr="009E4CEB">
        <w:tc>
          <w:tcPr>
            <w:tcW w:w="3200" w:type="dxa"/>
            <w:tcMar>
              <w:top w:w="100" w:type="dxa"/>
              <w:left w:w="120" w:type="dxa"/>
              <w:bottom w:w="100" w:type="dxa"/>
              <w:right w:w="120" w:type="dxa"/>
            </w:tcMar>
            <w:vAlign w:val="center"/>
          </w:tcPr>
          <w:p w:rsidR="00184613" w:rsidRDefault="00283854">
            <w:r>
              <w:rPr>
                <w:color w:val="262624"/>
              </w:rPr>
              <w:t xml:space="preserve">Temps </w:t>
            </w:r>
            <w:proofErr w:type="spellStart"/>
            <w:r>
              <w:rPr>
                <w:color w:val="262624"/>
              </w:rPr>
              <w:t>mobilisé</w:t>
            </w:r>
            <w:proofErr w:type="spellEnd"/>
            <w:r>
              <w:rPr>
                <w:color w:val="262624"/>
              </w:rPr>
              <w:t xml:space="preserve"> par </w:t>
            </w:r>
            <w:proofErr w:type="spellStart"/>
            <w:r>
              <w:rPr>
                <w:color w:val="262624"/>
              </w:rPr>
              <w:t>mois</w:t>
            </w:r>
            <w:proofErr w:type="spellEnd"/>
          </w:p>
        </w:tc>
        <w:tc>
          <w:tcPr>
            <w:tcW w:w="317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Environ 10 à 12 heures-personnes (réunion incluse)</w:t>
            </w:r>
          </w:p>
        </w:tc>
        <w:tc>
          <w:tcPr>
            <w:tcW w:w="317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Quelques heures réparties sur le mois</w:t>
            </w:r>
          </w:p>
        </w:tc>
      </w:tr>
      <w:tr w:rsidR="00184613" w:rsidRPr="009E4CEB">
        <w:tc>
          <w:tcPr>
            <w:tcW w:w="3200" w:type="dxa"/>
            <w:tcMar>
              <w:top w:w="100" w:type="dxa"/>
              <w:left w:w="120" w:type="dxa"/>
              <w:bottom w:w="100" w:type="dxa"/>
              <w:right w:w="120" w:type="dxa"/>
            </w:tcMar>
            <w:vAlign w:val="center"/>
          </w:tcPr>
          <w:p w:rsidR="00184613" w:rsidRDefault="00283854">
            <w:proofErr w:type="spellStart"/>
            <w:r>
              <w:rPr>
                <w:color w:val="262624"/>
              </w:rPr>
              <w:t>Risque</w:t>
            </w:r>
            <w:proofErr w:type="spellEnd"/>
            <w:r>
              <w:rPr>
                <w:color w:val="262624"/>
              </w:rPr>
              <w:t xml:space="preserve"> </w:t>
            </w:r>
            <w:proofErr w:type="spellStart"/>
            <w:r>
              <w:rPr>
                <w:color w:val="262624"/>
              </w:rPr>
              <w:t>d'erreur</w:t>
            </w:r>
            <w:proofErr w:type="spellEnd"/>
          </w:p>
        </w:tc>
        <w:tc>
          <w:tcPr>
            <w:tcW w:w="317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Élevé (Excel partagé, saisie manuelle)</w:t>
            </w:r>
          </w:p>
        </w:tc>
        <w:tc>
          <w:tcPr>
            <w:tcW w:w="317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Réduit (formulaires validés, historique conservé)</w:t>
            </w:r>
          </w:p>
        </w:tc>
      </w:tr>
      <w:tr w:rsidR="00184613" w:rsidRPr="009E4CEB">
        <w:tc>
          <w:tcPr>
            <w:tcW w:w="320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Besoin en personnel si le nombre de collaborateurs augmente</w:t>
            </w:r>
          </w:p>
        </w:tc>
        <w:tc>
          <w:tcPr>
            <w:tcW w:w="317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Croît avec le nombre de collaborateurs à suivre</w:t>
            </w:r>
          </w:p>
        </w:tc>
        <w:tc>
          <w:tcPr>
            <w:tcW w:w="3170" w:type="dxa"/>
            <w:tcMar>
              <w:top w:w="100" w:type="dxa"/>
              <w:left w:w="120" w:type="dxa"/>
              <w:bottom w:w="100" w:type="dxa"/>
              <w:right w:w="120" w:type="dxa"/>
            </w:tcMar>
            <w:vAlign w:val="center"/>
          </w:tcPr>
          <w:p w:rsidR="00184613" w:rsidRPr="009217FD" w:rsidRDefault="00283854">
            <w:pPr>
              <w:rPr>
                <w:lang w:val="fr-FR"/>
              </w:rPr>
            </w:pPr>
            <w:r w:rsidRPr="009217FD">
              <w:rPr>
                <w:color w:val="262624"/>
                <w:lang w:val="fr-FR"/>
              </w:rPr>
              <w:t>Reste stable : la charge supplémentaire est absorbée par le système</w:t>
            </w:r>
          </w:p>
        </w:tc>
      </w:tr>
    </w:tbl>
    <w:p w:rsidR="00184613" w:rsidRPr="009217FD" w:rsidRDefault="00283854">
      <w:pPr>
        <w:spacing w:after="160" w:line="300" w:lineRule="auto"/>
        <w:jc w:val="both"/>
        <w:rPr>
          <w:lang w:val="fr-FR"/>
        </w:rPr>
      </w:pPr>
      <w:r w:rsidRPr="009217FD">
        <w:rPr>
          <w:i/>
          <w:iCs/>
          <w:color w:val="5A5A56"/>
          <w:sz w:val="22"/>
          <w:szCs w:val="22"/>
          <w:lang w:val="fr-FR"/>
        </w:rPr>
        <w:t>Le gain net correspond à la différence entre le coût actuel de coordination (temps cumulé de plusieurs personnes, chaque mois) et le coût futur (temps d'une ou deux personnes assurant le suivi via la plateforme). Ces volumes horaires sont donnés à titre indicatif : je propose de les affiner ensemble avec les chiffres réels de l'entreprise, afin de confirmer que le gain dépasse bien le coût de développement et de maintenance de la plateforme.</w:t>
      </w:r>
    </w:p>
    <w:p w:rsidR="00184613" w:rsidRPr="009217FD" w:rsidRDefault="00283854">
      <w:pPr>
        <w:pStyle w:val="Heading1"/>
        <w:pBdr>
          <w:bottom w:val="single" w:sz="6" w:space="4" w:color="1F3A5F"/>
        </w:pBdr>
        <w:spacing w:before="360" w:after="160"/>
        <w:rPr>
          <w:lang w:val="fr-FR"/>
        </w:rPr>
      </w:pPr>
      <w:r w:rsidRPr="009217FD">
        <w:rPr>
          <w:b/>
          <w:bCs/>
          <w:color w:val="1F3A5F"/>
          <w:sz w:val="26"/>
          <w:szCs w:val="26"/>
          <w:lang w:val="fr-FR"/>
        </w:rPr>
        <w:t>7. Périmètre technique envisagé</w:t>
      </w:r>
    </w:p>
    <w:p w:rsidR="00184613" w:rsidRPr="009217FD" w:rsidRDefault="00283854">
      <w:pPr>
        <w:spacing w:after="160" w:line="300" w:lineRule="auto"/>
        <w:jc w:val="both"/>
        <w:rPr>
          <w:lang w:val="fr-FR"/>
        </w:rPr>
      </w:pPr>
      <w:r w:rsidRPr="009217FD">
        <w:rPr>
          <w:color w:val="262624"/>
          <w:sz w:val="22"/>
          <w:szCs w:val="22"/>
          <w:lang w:val="fr-FR"/>
        </w:rPr>
        <w:t>La solution s'appuiera sur une architecture standard, pensée pour rester simple à maintenir durant le stage tout en respectant les bonnes pratiques d'un environnement de production :</w:t>
      </w:r>
    </w:p>
    <w:p w:rsidR="00184613" w:rsidRDefault="00283854">
      <w:pPr>
        <w:pStyle w:val="ListParagraph"/>
        <w:numPr>
          <w:ilvl w:val="0"/>
          <w:numId w:val="2"/>
        </w:numPr>
        <w:spacing w:after="90" w:line="290" w:lineRule="auto"/>
      </w:pPr>
      <w:r>
        <w:rPr>
          <w:color w:val="262624"/>
          <w:sz w:val="22"/>
          <w:szCs w:val="22"/>
        </w:rPr>
        <w:t>Back-</w:t>
      </w:r>
      <w:proofErr w:type="gramStart"/>
      <w:r>
        <w:rPr>
          <w:color w:val="262624"/>
          <w:sz w:val="22"/>
          <w:szCs w:val="22"/>
        </w:rPr>
        <w:t>end :</w:t>
      </w:r>
      <w:proofErr w:type="gramEnd"/>
      <w:r>
        <w:rPr>
          <w:color w:val="262624"/>
          <w:sz w:val="22"/>
          <w:szCs w:val="22"/>
        </w:rPr>
        <w:t xml:space="preserve"> Spring Boot, Spring Security (</w:t>
      </w:r>
      <w:proofErr w:type="spellStart"/>
      <w:r>
        <w:rPr>
          <w:color w:val="262624"/>
          <w:sz w:val="22"/>
          <w:szCs w:val="22"/>
        </w:rPr>
        <w:t>authentification</w:t>
      </w:r>
      <w:proofErr w:type="spellEnd"/>
      <w:r>
        <w:rPr>
          <w:color w:val="262624"/>
          <w:sz w:val="22"/>
          <w:szCs w:val="22"/>
        </w:rPr>
        <w:t xml:space="preserve"> par </w:t>
      </w:r>
      <w:proofErr w:type="spellStart"/>
      <w:r>
        <w:rPr>
          <w:color w:val="262624"/>
          <w:sz w:val="22"/>
          <w:szCs w:val="22"/>
        </w:rPr>
        <w:t>jeton</w:t>
      </w:r>
      <w:proofErr w:type="spellEnd"/>
      <w:r>
        <w:rPr>
          <w:color w:val="262624"/>
          <w:sz w:val="22"/>
          <w:szCs w:val="22"/>
        </w:rPr>
        <w:t>), Spring Data JPA.</w:t>
      </w:r>
    </w:p>
    <w:p w:rsidR="00184613" w:rsidRDefault="00283854">
      <w:pPr>
        <w:pStyle w:val="ListParagraph"/>
        <w:numPr>
          <w:ilvl w:val="0"/>
          <w:numId w:val="2"/>
        </w:numPr>
        <w:spacing w:after="90" w:line="290" w:lineRule="auto"/>
      </w:pPr>
      <w:r>
        <w:rPr>
          <w:color w:val="262624"/>
          <w:sz w:val="22"/>
          <w:szCs w:val="22"/>
        </w:rPr>
        <w:lastRenderedPageBreak/>
        <w:t xml:space="preserve">Base de </w:t>
      </w:r>
      <w:proofErr w:type="spellStart"/>
      <w:proofErr w:type="gramStart"/>
      <w:r>
        <w:rPr>
          <w:color w:val="262624"/>
          <w:sz w:val="22"/>
          <w:szCs w:val="22"/>
        </w:rPr>
        <w:t>données</w:t>
      </w:r>
      <w:proofErr w:type="spellEnd"/>
      <w:r>
        <w:rPr>
          <w:color w:val="262624"/>
          <w:sz w:val="22"/>
          <w:szCs w:val="22"/>
        </w:rPr>
        <w:t xml:space="preserve"> :</w:t>
      </w:r>
      <w:proofErr w:type="gramEnd"/>
      <w:r>
        <w:rPr>
          <w:color w:val="262624"/>
          <w:sz w:val="22"/>
          <w:szCs w:val="22"/>
        </w:rPr>
        <w:t xml:space="preserve"> </w:t>
      </w:r>
      <w:proofErr w:type="spellStart"/>
      <w:r>
        <w:rPr>
          <w:color w:val="262624"/>
          <w:sz w:val="22"/>
          <w:szCs w:val="22"/>
        </w:rPr>
        <w:t>PostgreSQL</w:t>
      </w:r>
      <w:proofErr w:type="spellEnd"/>
      <w:r>
        <w:rPr>
          <w:color w:val="262624"/>
          <w:sz w:val="22"/>
          <w:szCs w:val="22"/>
        </w:rPr>
        <w:t>.</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 xml:space="preserve">Front-end : </w:t>
      </w:r>
      <w:proofErr w:type="spellStart"/>
      <w:r w:rsidRPr="009217FD">
        <w:rPr>
          <w:color w:val="262624"/>
          <w:sz w:val="22"/>
          <w:szCs w:val="22"/>
          <w:lang w:val="fr-FR"/>
        </w:rPr>
        <w:t>React</w:t>
      </w:r>
      <w:proofErr w:type="spellEnd"/>
      <w:r w:rsidRPr="009217FD">
        <w:rPr>
          <w:color w:val="262624"/>
          <w:sz w:val="22"/>
          <w:szCs w:val="22"/>
          <w:lang w:val="fr-FR"/>
        </w:rPr>
        <w:t>, avec prise en charge multilingue (français, anglais, anglais canadien).</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Conteneurisation : Docker et Docker Compose pour l'ensemble des services.</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Gestion de version : Git, avec un flux de travail par branches (fonctionnalité, développement, production).</w:t>
      </w:r>
    </w:p>
    <w:p w:rsidR="00184613" w:rsidRPr="009217FD" w:rsidRDefault="00283854">
      <w:pPr>
        <w:spacing w:after="160" w:line="300" w:lineRule="auto"/>
        <w:jc w:val="both"/>
        <w:rPr>
          <w:lang w:val="fr-FR"/>
        </w:rPr>
      </w:pPr>
      <w:r w:rsidRPr="009217FD">
        <w:rPr>
          <w:color w:val="262624"/>
          <w:sz w:val="22"/>
          <w:szCs w:val="22"/>
          <w:lang w:val="fr-FR"/>
        </w:rPr>
        <w:t>Aucune valeur ne sera codée en dur : les rôles, les libellés et les traductions seront gérés comme des données ou des fichiers de configuration.</w:t>
      </w:r>
    </w:p>
    <w:p w:rsidR="00184613" w:rsidRPr="009217FD" w:rsidRDefault="00283854">
      <w:pPr>
        <w:pStyle w:val="Heading1"/>
        <w:pBdr>
          <w:bottom w:val="single" w:sz="6" w:space="4" w:color="1F3A5F"/>
        </w:pBdr>
        <w:spacing w:before="360" w:after="160"/>
        <w:rPr>
          <w:lang w:val="fr-FR"/>
        </w:rPr>
      </w:pPr>
      <w:r w:rsidRPr="009217FD">
        <w:rPr>
          <w:b/>
          <w:bCs/>
          <w:color w:val="1F3A5F"/>
          <w:sz w:val="26"/>
          <w:szCs w:val="26"/>
          <w:lang w:val="fr-FR"/>
        </w:rPr>
        <w:t>8. Première itération proposée</w:t>
      </w:r>
    </w:p>
    <w:p w:rsidR="00184613" w:rsidRPr="009217FD" w:rsidRDefault="00283854">
      <w:pPr>
        <w:spacing w:after="160" w:line="300" w:lineRule="auto"/>
        <w:jc w:val="both"/>
        <w:rPr>
          <w:lang w:val="fr-FR"/>
        </w:rPr>
      </w:pPr>
      <w:r w:rsidRPr="009217FD">
        <w:rPr>
          <w:color w:val="262624"/>
          <w:sz w:val="22"/>
          <w:szCs w:val="22"/>
          <w:lang w:val="fr-FR"/>
        </w:rPr>
        <w:t>Avant d'aller plus loin, je propose de commencer par une première itération volontairement restreinte, afin de valider l'architecture technique avant d'ajouter les fonctionnalités métier plus avancées (variations, alertes, import Excel) :</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Mise en place de l'environnement Docker (back-end, front-end, base de données).</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Authentification : inscription et connexion, avec gestion des rôles.</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Gestion des utilisateurs et des employés en création, lecture, modification, suppression.</w:t>
      </w:r>
    </w:p>
    <w:p w:rsidR="00184613" w:rsidRPr="009217FD" w:rsidRDefault="00283854">
      <w:pPr>
        <w:pStyle w:val="ListParagraph"/>
        <w:numPr>
          <w:ilvl w:val="0"/>
          <w:numId w:val="2"/>
        </w:numPr>
        <w:spacing w:after="90" w:line="290" w:lineRule="auto"/>
        <w:rPr>
          <w:lang w:val="fr-FR"/>
        </w:rPr>
      </w:pPr>
      <w:r w:rsidRPr="009217FD">
        <w:rPr>
          <w:color w:val="262624"/>
          <w:sz w:val="22"/>
          <w:szCs w:val="22"/>
          <w:lang w:val="fr-FR"/>
        </w:rPr>
        <w:t>Mise en place de la couche de persistance (ORM).</w:t>
      </w:r>
    </w:p>
    <w:p w:rsidR="00184613" w:rsidRDefault="00283854">
      <w:pPr>
        <w:spacing w:after="160" w:line="300" w:lineRule="auto"/>
        <w:jc w:val="both"/>
        <w:rPr>
          <w:color w:val="262624"/>
          <w:sz w:val="22"/>
          <w:szCs w:val="22"/>
          <w:lang w:val="fr-FR"/>
        </w:rPr>
      </w:pPr>
      <w:r w:rsidRPr="009217FD">
        <w:rPr>
          <w:color w:val="262624"/>
          <w:sz w:val="22"/>
          <w:szCs w:val="22"/>
          <w:lang w:val="fr-FR"/>
        </w:rPr>
        <w:t>Les fonctionnalités décrites dans les sections précédentes (variations, alertes, consolidation, import Excel) seraient développées dans les itérations suivantes, une fois cette base validée.</w:t>
      </w:r>
    </w:p>
    <w:p w:rsidR="009217FD" w:rsidRDefault="009217FD">
      <w:pPr>
        <w:spacing w:after="160" w:line="300" w:lineRule="auto"/>
        <w:jc w:val="both"/>
        <w:rPr>
          <w:color w:val="262624"/>
          <w:sz w:val="22"/>
          <w:szCs w:val="22"/>
          <w:lang w:val="fr-FR"/>
        </w:rPr>
      </w:pPr>
    </w:p>
    <w:p w:rsidR="00184613" w:rsidRPr="009217FD" w:rsidRDefault="009E4CEB" w:rsidP="00283854">
      <w:pPr>
        <w:spacing w:after="160" w:line="300" w:lineRule="auto"/>
        <w:jc w:val="both"/>
        <w:rPr>
          <w:lang w:val="fr-FR"/>
        </w:rPr>
      </w:pPr>
      <w:r>
        <w:rPr>
          <w:noProof/>
        </w:rPr>
        <w:lastRenderedPageBreak/>
        <w:drawing>
          <wp:inline distT="0" distB="0" distL="0" distR="0">
            <wp:extent cx="6036310" cy="5802762"/>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6036310" cy="5802762"/>
                    </a:xfrm>
                    <a:prstGeom prst="rect">
                      <a:avLst/>
                    </a:prstGeom>
                    <a:noFill/>
                    <a:ln w="9525">
                      <a:noFill/>
                      <a:miter lim="800000"/>
                      <a:headEnd/>
                      <a:tailEnd/>
                    </a:ln>
                  </pic:spPr>
                </pic:pic>
              </a:graphicData>
            </a:graphic>
          </wp:inline>
        </w:drawing>
      </w:r>
    </w:p>
    <w:sectPr w:rsidR="00184613" w:rsidRPr="009217FD" w:rsidSect="00184613">
      <w:pgSz w:w="11906" w:h="16838"/>
      <w:pgMar w:top="1000" w:right="1200" w:bottom="1000" w:left="12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37561F"/>
    <w:multiLevelType w:val="hybridMultilevel"/>
    <w:tmpl w:val="3366346E"/>
    <w:lvl w:ilvl="0" w:tplc="A8C29378">
      <w:start w:val="1"/>
      <w:numFmt w:val="bullet"/>
      <w:lvlText w:val="—"/>
      <w:lvlJc w:val="left"/>
      <w:pPr>
        <w:ind w:left="420" w:hanging="260"/>
      </w:pPr>
    </w:lvl>
    <w:lvl w:ilvl="1" w:tplc="F2EE1FCC">
      <w:numFmt w:val="decimal"/>
      <w:lvlText w:val=""/>
      <w:lvlJc w:val="left"/>
    </w:lvl>
    <w:lvl w:ilvl="2" w:tplc="374A5C22">
      <w:numFmt w:val="decimal"/>
      <w:lvlText w:val=""/>
      <w:lvlJc w:val="left"/>
    </w:lvl>
    <w:lvl w:ilvl="3" w:tplc="FB323E84">
      <w:numFmt w:val="decimal"/>
      <w:lvlText w:val=""/>
      <w:lvlJc w:val="left"/>
    </w:lvl>
    <w:lvl w:ilvl="4" w:tplc="BC963D24">
      <w:numFmt w:val="decimal"/>
      <w:lvlText w:val=""/>
      <w:lvlJc w:val="left"/>
    </w:lvl>
    <w:lvl w:ilvl="5" w:tplc="060EA9E2">
      <w:numFmt w:val="decimal"/>
      <w:lvlText w:val=""/>
      <w:lvlJc w:val="left"/>
    </w:lvl>
    <w:lvl w:ilvl="6" w:tplc="B3E02E46">
      <w:numFmt w:val="decimal"/>
      <w:lvlText w:val=""/>
      <w:lvlJc w:val="left"/>
    </w:lvl>
    <w:lvl w:ilvl="7" w:tplc="A8A8A798">
      <w:numFmt w:val="decimal"/>
      <w:lvlText w:val=""/>
      <w:lvlJc w:val="left"/>
    </w:lvl>
    <w:lvl w:ilvl="8" w:tplc="21F408B4">
      <w:numFmt w:val="decimal"/>
      <w:lvlText w:val=""/>
      <w:lvlJc w:val="left"/>
    </w:lvl>
  </w:abstractNum>
  <w:abstractNum w:abstractNumId="1">
    <w:nsid w:val="62CF59E8"/>
    <w:multiLevelType w:val="hybridMultilevel"/>
    <w:tmpl w:val="A51E1250"/>
    <w:lvl w:ilvl="0" w:tplc="CA8C0516">
      <w:start w:val="1"/>
      <w:numFmt w:val="bullet"/>
      <w:lvlText w:val="●"/>
      <w:lvlJc w:val="left"/>
      <w:pPr>
        <w:ind w:left="720" w:hanging="360"/>
      </w:pPr>
    </w:lvl>
    <w:lvl w:ilvl="1" w:tplc="9954A064">
      <w:start w:val="1"/>
      <w:numFmt w:val="bullet"/>
      <w:lvlText w:val="○"/>
      <w:lvlJc w:val="left"/>
      <w:pPr>
        <w:ind w:left="1440" w:hanging="360"/>
      </w:pPr>
    </w:lvl>
    <w:lvl w:ilvl="2" w:tplc="8C2E3C54">
      <w:start w:val="1"/>
      <w:numFmt w:val="bullet"/>
      <w:lvlText w:val="■"/>
      <w:lvlJc w:val="left"/>
      <w:pPr>
        <w:ind w:left="2160" w:hanging="360"/>
      </w:pPr>
    </w:lvl>
    <w:lvl w:ilvl="3" w:tplc="EE469EDE">
      <w:start w:val="1"/>
      <w:numFmt w:val="bullet"/>
      <w:lvlText w:val="●"/>
      <w:lvlJc w:val="left"/>
      <w:pPr>
        <w:ind w:left="2880" w:hanging="360"/>
      </w:pPr>
    </w:lvl>
    <w:lvl w:ilvl="4" w:tplc="568EF468">
      <w:start w:val="1"/>
      <w:numFmt w:val="bullet"/>
      <w:lvlText w:val="○"/>
      <w:lvlJc w:val="left"/>
      <w:pPr>
        <w:ind w:left="3600" w:hanging="360"/>
      </w:pPr>
    </w:lvl>
    <w:lvl w:ilvl="5" w:tplc="C0B224B6">
      <w:start w:val="1"/>
      <w:numFmt w:val="bullet"/>
      <w:lvlText w:val="■"/>
      <w:lvlJc w:val="left"/>
      <w:pPr>
        <w:ind w:left="4320" w:hanging="360"/>
      </w:pPr>
    </w:lvl>
    <w:lvl w:ilvl="6" w:tplc="C952D922">
      <w:start w:val="1"/>
      <w:numFmt w:val="bullet"/>
      <w:lvlText w:val="●"/>
      <w:lvlJc w:val="left"/>
      <w:pPr>
        <w:ind w:left="5040" w:hanging="360"/>
      </w:pPr>
    </w:lvl>
    <w:lvl w:ilvl="7" w:tplc="86A4C266">
      <w:start w:val="1"/>
      <w:numFmt w:val="bullet"/>
      <w:lvlText w:val="●"/>
      <w:lvlJc w:val="left"/>
      <w:pPr>
        <w:ind w:left="5760" w:hanging="360"/>
      </w:pPr>
    </w:lvl>
    <w:lvl w:ilvl="8" w:tplc="5E80AA5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20"/>
  <w:characterSpacingControl w:val="doNotCompress"/>
  <w:compat/>
  <w:rsids>
    <w:rsidRoot w:val="00184613"/>
    <w:rsid w:val="00184613"/>
    <w:rsid w:val="00283854"/>
    <w:rsid w:val="006151DB"/>
    <w:rsid w:val="009217FD"/>
    <w:rsid w:val="009E4CEB"/>
    <w:rsid w:val="00F2729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1DB"/>
  </w:style>
  <w:style w:type="paragraph" w:styleId="Heading1">
    <w:name w:val="heading 1"/>
    <w:qFormat/>
    <w:rsid w:val="00184613"/>
    <w:pPr>
      <w:outlineLvl w:val="0"/>
    </w:pPr>
    <w:rPr>
      <w:color w:val="2E74B5"/>
      <w:sz w:val="32"/>
      <w:szCs w:val="32"/>
    </w:rPr>
  </w:style>
  <w:style w:type="paragraph" w:styleId="Heading2">
    <w:name w:val="heading 2"/>
    <w:qFormat/>
    <w:rsid w:val="00184613"/>
    <w:pPr>
      <w:outlineLvl w:val="1"/>
    </w:pPr>
    <w:rPr>
      <w:color w:val="2E74B5"/>
      <w:sz w:val="26"/>
      <w:szCs w:val="26"/>
    </w:rPr>
  </w:style>
  <w:style w:type="paragraph" w:styleId="Heading3">
    <w:name w:val="heading 3"/>
    <w:qFormat/>
    <w:rsid w:val="00184613"/>
    <w:pPr>
      <w:outlineLvl w:val="2"/>
    </w:pPr>
    <w:rPr>
      <w:color w:val="1F4D78"/>
      <w:sz w:val="24"/>
      <w:szCs w:val="24"/>
    </w:rPr>
  </w:style>
  <w:style w:type="paragraph" w:styleId="Heading4">
    <w:name w:val="heading 4"/>
    <w:qFormat/>
    <w:rsid w:val="00184613"/>
    <w:pPr>
      <w:outlineLvl w:val="3"/>
    </w:pPr>
    <w:rPr>
      <w:i/>
      <w:iCs/>
      <w:color w:val="2E74B5"/>
    </w:rPr>
  </w:style>
  <w:style w:type="paragraph" w:styleId="Heading5">
    <w:name w:val="heading 5"/>
    <w:qFormat/>
    <w:rsid w:val="00184613"/>
    <w:pPr>
      <w:outlineLvl w:val="4"/>
    </w:pPr>
    <w:rPr>
      <w:color w:val="2E74B5"/>
    </w:rPr>
  </w:style>
  <w:style w:type="paragraph" w:styleId="Heading6">
    <w:name w:val="heading 6"/>
    <w:qFormat/>
    <w:rsid w:val="0018461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184613"/>
    <w:rPr>
      <w:sz w:val="56"/>
      <w:szCs w:val="56"/>
    </w:rPr>
  </w:style>
  <w:style w:type="paragraph" w:customStyle="1" w:styleId="Strong1">
    <w:name w:val="Strong1"/>
    <w:qFormat/>
    <w:rsid w:val="00184613"/>
    <w:rPr>
      <w:b/>
      <w:bCs/>
    </w:rPr>
  </w:style>
  <w:style w:type="paragraph" w:styleId="ListParagraph">
    <w:name w:val="List Paragraph"/>
    <w:qFormat/>
    <w:rsid w:val="00184613"/>
  </w:style>
  <w:style w:type="character" w:styleId="Hyperlink">
    <w:name w:val="Hyperlink"/>
    <w:uiPriority w:val="99"/>
    <w:unhideWhenUsed/>
    <w:rsid w:val="00184613"/>
    <w:rPr>
      <w:color w:val="0563C1"/>
      <w:u w:val="single"/>
    </w:rPr>
  </w:style>
  <w:style w:type="character" w:styleId="FootnoteReference">
    <w:name w:val="footnote reference"/>
    <w:uiPriority w:val="99"/>
    <w:semiHidden/>
    <w:unhideWhenUsed/>
    <w:rsid w:val="00184613"/>
    <w:rPr>
      <w:vertAlign w:val="superscript"/>
    </w:rPr>
  </w:style>
  <w:style w:type="paragraph" w:styleId="FootnoteText">
    <w:name w:val="footnote text"/>
    <w:link w:val="FootnoteTextChar"/>
    <w:uiPriority w:val="99"/>
    <w:semiHidden/>
    <w:unhideWhenUsed/>
    <w:rsid w:val="00184613"/>
  </w:style>
  <w:style w:type="character" w:customStyle="1" w:styleId="FootnoteTextChar">
    <w:name w:val="Footnote Text Char"/>
    <w:link w:val="FootnoteText"/>
    <w:uiPriority w:val="99"/>
    <w:semiHidden/>
    <w:unhideWhenUsed/>
    <w:rsid w:val="00184613"/>
    <w:rPr>
      <w:sz w:val="20"/>
      <w:szCs w:val="20"/>
    </w:rPr>
  </w:style>
  <w:style w:type="character" w:styleId="EndnoteReference">
    <w:name w:val="endnote reference"/>
    <w:uiPriority w:val="99"/>
    <w:semiHidden/>
    <w:unhideWhenUsed/>
    <w:rsid w:val="00184613"/>
    <w:rPr>
      <w:vertAlign w:val="superscript"/>
    </w:rPr>
  </w:style>
  <w:style w:type="paragraph" w:styleId="EndnoteText">
    <w:name w:val="endnote text"/>
    <w:link w:val="EndnoteTextChar"/>
    <w:uiPriority w:val="99"/>
    <w:semiHidden/>
    <w:unhideWhenUsed/>
    <w:rsid w:val="00184613"/>
  </w:style>
  <w:style w:type="character" w:customStyle="1" w:styleId="EndnoteTextChar">
    <w:name w:val="Endnote Text Char"/>
    <w:link w:val="EndnoteText"/>
    <w:uiPriority w:val="99"/>
    <w:semiHidden/>
    <w:unhideWhenUsed/>
    <w:rsid w:val="00184613"/>
    <w:rPr>
      <w:sz w:val="20"/>
      <w:szCs w:val="20"/>
    </w:rPr>
  </w:style>
  <w:style w:type="paragraph" w:styleId="BalloonText">
    <w:name w:val="Balloon Text"/>
    <w:basedOn w:val="Normal"/>
    <w:link w:val="BalloonTextChar"/>
    <w:uiPriority w:val="99"/>
    <w:semiHidden/>
    <w:unhideWhenUsed/>
    <w:rsid w:val="009217FD"/>
    <w:rPr>
      <w:rFonts w:ascii="Tahoma" w:hAnsi="Tahoma" w:cs="Tahoma"/>
      <w:sz w:val="16"/>
      <w:szCs w:val="16"/>
    </w:rPr>
  </w:style>
  <w:style w:type="character" w:customStyle="1" w:styleId="BalloonTextChar">
    <w:name w:val="Balloon Text Char"/>
    <w:basedOn w:val="DefaultParagraphFont"/>
    <w:link w:val="BalloonText"/>
    <w:uiPriority w:val="99"/>
    <w:semiHidden/>
    <w:rsid w:val="009217F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1441</Words>
  <Characters>8215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Mayssa Klibi</cp:lastModifiedBy>
  <cp:revision>4</cp:revision>
  <dcterms:created xsi:type="dcterms:W3CDTF">2026-07-01T21:51:00Z</dcterms:created>
  <dcterms:modified xsi:type="dcterms:W3CDTF">2026-07-07T02:01:00Z</dcterms:modified>
</cp:coreProperties>
</file>