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b/>
          <w:bCs/>
          <w:color w:val="1D6FA4"/>
          <w:sz w:val="22"/>
          <w:szCs w:val="22"/>
        </w:rPr>
        <w:t xml:space="preserve">PROJET SAFRAN — PIPELINE DE DONNÉES CAPTEURS</w:t>
      </w:r>
    </w:p>
    <w:p>
      <w:pPr>
        <w:spacing w:after="300" w:before="200"/>
        <w:jc w:val="center"/>
      </w:pPr>
      <w:r>
        <w:rPr>
          <w:b/>
          <w:bCs/>
          <w:color w:val="1A2E44"/>
          <w:sz w:val="44"/>
          <w:szCs w:val="44"/>
        </w:rPr>
        <w:t xml:space="preserve">REGISTRE DES TRAITEMENTS</w:t>
      </w:r>
    </w:p>
    <w:p>
      <w:pPr>
        <w:spacing w:after="400"/>
        <w:jc w:val="center"/>
      </w:pPr>
      <w:r>
        <w:rPr>
          <w:i/>
          <w:iCs/>
          <w:color w:val="666666"/>
          <w:sz w:val="22"/>
          <w:szCs w:val="22"/>
        </w:rPr>
        <w:t xml:space="preserve">Établi conformément à l'article 30 du RGPD</w:t>
      </w:r>
    </w:p>
    <w:p>
      <w:pPr>
        <w:jc w:val="center"/>
      </w:pPr>
      <w:r>
        <w:rPr>
          <w:sz w:val="20"/>
          <w:szCs w:val="20"/>
        </w:rPr>
        <w:t xml:space="preserve">Version 1.0 — Maissa KRCH</w:t>
      </w:r>
    </w:p>
    <w:p>
      <w:r>
        <w:br w:type="page"/>
      </w:r>
    </w:p>
    <w:p>
      <w:pPr>
        <w:pStyle w:val="Heading1"/>
        <w:spacing w:after="160" w:before="300"/>
      </w:pPr>
      <w:r>
        <w:rPr>
          <w:b/>
          <w:bCs/>
          <w:color w:val="1A2E44"/>
          <w:sz w:val="30"/>
          <w:szCs w:val="30"/>
        </w:rPr>
        <w:t xml:space="preserve">1. Objet du document</w:t>
      </w:r>
    </w:p>
    <w:p>
      <w:pPr>
        <w:spacing w:after="140" w:line="300"/>
        <w:jc w:val="both"/>
      </w:pPr>
      <w:r>
        <w:rPr>
          <w:b w:val="false"/>
          <w:bCs w:val="false"/>
          <w:i w:val="false"/>
          <w:iCs w:val="false"/>
          <w:sz w:val="22"/>
          <w:szCs w:val="22"/>
        </w:rPr>
        <w:t xml:space="preserve">Ce registre documente l'analyse RGPD réalisée sur le pipeline de collecte, nettoyage et mise à disposition de données développé pour le client Safran (Projet 1 de la certification DevIA). Il a pour but de vérifier et de tracer si les traitements de données mis en œuvre portent sur des données à caractère personnel, et le cas échéant, de définir les mesures de conformité applicables.</w:t>
      </w:r>
    </w:p>
    <w:p>
      <w:pPr>
        <w:spacing w:after="140" w:line="300"/>
        <w:jc w:val="both"/>
      </w:pPr>
      <w:r>
        <w:rPr>
          <w:b w:val="false"/>
          <w:bCs w:val="false"/>
          <w:i/>
          <w:iCs/>
          <w:sz w:val="22"/>
          <w:szCs w:val="22"/>
        </w:rPr>
        <w:t xml:space="preserve">Conformément à l'article 30 du RGPD, tout responsable de traitement doit tenir un registre des activités de traitement. Même en l'absence de données personnelles, la démarche de vérification et sa traçabilité constituent une bonne pratique professionnelle attendue.</w:t>
      </w:r>
    </w:p>
    <w:p>
      <w:pPr>
        <w:pStyle w:val="Heading1"/>
        <w:spacing w:after="160" w:before="300"/>
      </w:pPr>
      <w:r>
        <w:rPr>
          <w:b/>
          <w:bCs/>
          <w:color w:val="1A2E44"/>
          <w:sz w:val="30"/>
          <w:szCs w:val="30"/>
        </w:rPr>
        <w:t xml:space="preserve">2. Identification du traitement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6500"/>
      </w:tblGrid>
      <w:tr>
        <w:tc>
          <w:tcPr>
            <w:tcW w:type="dxa" w:w="2800"/>
            <w:shd w:fill="F1F5F9" w:val="clear"/>
            <w:tcMar>
              <w:top w:type="dxa" w:w="100"/>
              <w:left w:type="dxa" w:w="150"/>
              <w:bottom w:type="dxa" w:w="100"/>
              <w:right w:type="dxa" w:w="150"/>
            </w:tcMar>
          </w:tcPr>
          <w:p>
            <w:r>
              <w:rPr>
                <w:b/>
                <w:bCs/>
                <w:color w:val="1A2E44"/>
                <w:sz w:val="20"/>
                <w:szCs w:val="20"/>
              </w:rPr>
              <w:t xml:space="preserve">Nom du traitement</w:t>
            </w:r>
          </w:p>
        </w:tc>
        <w:tc>
          <w:tcPr>
            <w:tcW w:type="dxa" w:w="6500"/>
            <w:tcMar>
              <w:top w:type="dxa" w:w="100"/>
              <w:left w:type="dxa" w:w="150"/>
              <w:bottom w:type="dxa" w:w="100"/>
              <w:right w:type="dxa" w:w="150"/>
            </w:tcMar>
          </w:tcPr>
          <w:p>
            <w:r>
              <w:rPr>
                <w:sz w:val="20"/>
                <w:szCs w:val="20"/>
              </w:rPr>
              <w:t xml:space="preserve">Collecte, agrégation et mise à disposition de données de capteurs moteurs (pipeline Safran)</w:t>
            </w:r>
          </w:p>
        </w:tc>
      </w:tr>
      <w:tr>
        <w:tc>
          <w:tcPr>
            <w:tcW w:type="dxa" w:w="2800"/>
            <w:shd w:fill="F1F5F9" w:val="clear"/>
            <w:tcMar>
              <w:top w:type="dxa" w:w="100"/>
              <w:left w:type="dxa" w:w="150"/>
              <w:bottom w:type="dxa" w:w="100"/>
              <w:right w:type="dxa" w:w="150"/>
            </w:tcMar>
          </w:tcPr>
          <w:p>
            <w:r>
              <w:rPr>
                <w:b/>
                <w:bCs/>
                <w:color w:val="1A2E44"/>
                <w:sz w:val="20"/>
                <w:szCs w:val="20"/>
              </w:rPr>
              <w:t xml:space="preserve">Responsable de traitement</w:t>
            </w:r>
          </w:p>
        </w:tc>
        <w:tc>
          <w:tcPr>
            <w:tcW w:type="dxa" w:w="6500"/>
            <w:tcMar>
              <w:top w:type="dxa" w:w="100"/>
              <w:left w:type="dxa" w:w="150"/>
              <w:bottom w:type="dxa" w:w="100"/>
              <w:right w:type="dxa" w:w="150"/>
            </w:tcMar>
          </w:tcPr>
          <w:p>
            <w:r>
              <w:rPr>
                <w:sz w:val="20"/>
                <w:szCs w:val="20"/>
              </w:rPr>
              <w:t xml:space="preserve">Maissa KRCH (développeuse), dans le cadre d'un projet de certification DevIA pour le client fictif Safran</w:t>
            </w:r>
          </w:p>
        </w:tc>
      </w:tr>
      <w:tr>
        <w:tc>
          <w:tcPr>
            <w:tcW w:type="dxa" w:w="2800"/>
            <w:shd w:fill="F1F5F9" w:val="clear"/>
            <w:tcMar>
              <w:top w:type="dxa" w:w="100"/>
              <w:left w:type="dxa" w:w="150"/>
              <w:bottom w:type="dxa" w:w="100"/>
              <w:right w:type="dxa" w:w="150"/>
            </w:tcMar>
          </w:tcPr>
          <w:p>
            <w:r>
              <w:rPr>
                <w:b/>
                <w:bCs/>
                <w:color w:val="1A2E44"/>
                <w:sz w:val="20"/>
                <w:szCs w:val="20"/>
              </w:rPr>
              <w:t xml:space="preserve">Finalité</w:t>
            </w:r>
          </w:p>
        </w:tc>
        <w:tc>
          <w:tcPr>
            <w:tcW w:type="dxa" w:w="6500"/>
            <w:tcMar>
              <w:top w:type="dxa" w:w="100"/>
              <w:left w:type="dxa" w:w="150"/>
              <w:bottom w:type="dxa" w:w="100"/>
              <w:right w:type="dxa" w:w="150"/>
            </w:tcMar>
          </w:tcPr>
          <w:p>
            <w:r>
              <w:rPr>
                <w:sz w:val="20"/>
                <w:szCs w:val="20"/>
              </w:rPr>
              <w:t xml:space="preserve">Centraliser des données de capteurs moteurs issues de sources hétérogènes, pour une exploitation par les équipes de maintenance (simulation)</w:t>
            </w:r>
          </w:p>
        </w:tc>
      </w:tr>
      <w:tr>
        <w:tc>
          <w:tcPr>
            <w:tcW w:type="dxa" w:w="2800"/>
            <w:shd w:fill="F1F5F9" w:val="clear"/>
            <w:tcMar>
              <w:top w:type="dxa" w:w="100"/>
              <w:left w:type="dxa" w:w="150"/>
              <w:bottom w:type="dxa" w:w="100"/>
              <w:right w:type="dxa" w:w="150"/>
            </w:tcMar>
          </w:tcPr>
          <w:p>
            <w:r>
              <w:rPr>
                <w:b/>
                <w:bCs/>
                <w:color w:val="1A2E44"/>
                <w:sz w:val="20"/>
                <w:szCs w:val="20"/>
              </w:rPr>
              <w:t xml:space="preserve">Base légale envisagée</w:t>
            </w:r>
          </w:p>
        </w:tc>
        <w:tc>
          <w:tcPr>
            <w:tcW w:type="dxa" w:w="6500"/>
            <w:tcMar>
              <w:top w:type="dxa" w:w="100"/>
              <w:left w:type="dxa" w:w="150"/>
              <w:bottom w:type="dxa" w:w="100"/>
              <w:right w:type="dxa" w:w="150"/>
            </w:tcMar>
          </w:tcPr>
          <w:p>
            <w:r>
              <w:rPr>
                <w:sz w:val="20"/>
                <w:szCs w:val="20"/>
              </w:rPr>
              <w:t xml:space="preserve">Intérêt légitime (maintenance prédictive industrielle) — à titre indicatif, le traitement ne portant in fine aucune donnée personnelle</w:t>
            </w:r>
          </w:p>
        </w:tc>
      </w:tr>
      <w:tr>
        <w:tc>
          <w:tcPr>
            <w:tcW w:type="dxa" w:w="2800"/>
            <w:shd w:fill="F1F5F9" w:val="clear"/>
            <w:tcMar>
              <w:top w:type="dxa" w:w="100"/>
              <w:left w:type="dxa" w:w="150"/>
              <w:bottom w:type="dxa" w:w="100"/>
              <w:right w:type="dxa" w:w="150"/>
            </w:tcMar>
          </w:tcPr>
          <w:p>
            <w:r>
              <w:rPr>
                <w:b/>
                <w:bCs/>
                <w:color w:val="1A2E44"/>
                <w:sz w:val="20"/>
                <w:szCs w:val="20"/>
              </w:rPr>
              <w:t xml:space="preserve">Durée de conservation</w:t>
            </w:r>
          </w:p>
        </w:tc>
        <w:tc>
          <w:tcPr>
            <w:tcW w:type="dxa" w:w="6500"/>
            <w:tcMar>
              <w:top w:type="dxa" w:w="100"/>
              <w:left w:type="dxa" w:w="150"/>
              <w:bottom w:type="dxa" w:w="100"/>
              <w:right w:type="dxa" w:w="150"/>
            </w:tcMar>
          </w:tcPr>
          <w:p>
            <w:r>
              <w:rPr>
                <w:sz w:val="20"/>
                <w:szCs w:val="20"/>
              </w:rPr>
              <w:t xml:space="preserve">Durée du projet ; base finale (final.db) régénérée à chaque exécution du pipeline</w:t>
            </w:r>
          </w:p>
        </w:tc>
      </w:tr>
    </w:tbl>
    <w:p>
      <w:pPr>
        <w:pStyle w:val="Heading1"/>
        <w:spacing w:after="160" w:before="300"/>
      </w:pPr>
      <w:r>
        <w:rPr>
          <w:b/>
          <w:bCs/>
          <w:color w:val="1A2E44"/>
          <w:sz w:val="30"/>
          <w:szCs w:val="30"/>
        </w:rPr>
        <w:t xml:space="preserve">3. Analyse des sources de données</w:t>
      </w:r>
    </w:p>
    <w:p>
      <w:pPr>
        <w:spacing w:after="140" w:line="300"/>
        <w:jc w:val="both"/>
      </w:pPr>
      <w:r>
        <w:rPr>
          <w:b w:val="false"/>
          <w:bCs w:val="false"/>
          <w:i w:val="false"/>
          <w:iCs w:val="false"/>
          <w:sz w:val="22"/>
          <w:szCs w:val="22"/>
        </w:rPr>
        <w:t xml:space="preserve">Chacune des cinq sources collectées par le pipeline (fichier collect_data.py) a été analysée individuellement afin de déterminer si elle contient des données permettant d'identifier, directement ou indirectement, une personne physique.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00"/>
      </w:tblGrid>
      <w:tr>
        <w:tc>
          <w:tcPr>
            <w:tcW w:type="dxa" w:w="2800"/>
            <w:shd w:fill="1A2E44" w:val="clear"/>
            <w:tcMar>
              <w:top w:type="dxa" w:w="100"/>
              <w:left w:type="dxa" w:w="120"/>
              <w:bottom w:type="dxa" w:w="100"/>
              <w:right w:type="dxa" w:w="120"/>
            </w:tcMar>
          </w:tcPr>
          <w:p>
            <w:r>
              <w:rPr>
                <w:b/>
                <w:bCs/>
                <w:color w:val="FFFFFF"/>
                <w:sz w:val="19"/>
                <w:szCs w:val="19"/>
              </w:rPr>
              <w:t xml:space="preserve">Source de données</w:t>
            </w:r>
          </w:p>
        </w:tc>
        <w:tc>
          <w:tcPr>
            <w:tcW w:type="dxa" w:w="3800"/>
            <w:shd w:fill="1A2E44" w:val="clear"/>
            <w:tcMar>
              <w:top w:type="dxa" w:w="100"/>
              <w:left w:type="dxa" w:w="120"/>
              <w:bottom w:type="dxa" w:w="100"/>
              <w:right w:type="dxa" w:w="120"/>
            </w:tcMar>
          </w:tcPr>
          <w:p>
            <w:r>
              <w:rPr>
                <w:b/>
                <w:bCs/>
                <w:color w:val="FFFFFF"/>
                <w:sz w:val="19"/>
                <w:szCs w:val="19"/>
              </w:rPr>
              <w:t xml:space="preserve">Nature des données</w:t>
            </w:r>
          </w:p>
        </w:tc>
        <w:tc>
          <w:tcPr>
            <w:tcW w:type="dxa" w:w="2700"/>
            <w:shd w:fill="1A2E44" w:val="clear"/>
            <w:tcMar>
              <w:top w:type="dxa" w:w="100"/>
              <w:left w:type="dxa" w:w="120"/>
              <w:bottom w:type="dxa" w:w="100"/>
              <w:right w:type="dxa" w:w="120"/>
            </w:tcMar>
          </w:tcPr>
          <w:p>
            <w:r>
              <w:rPr>
                <w:b/>
                <w:bCs/>
                <w:color w:val="FFFFFF"/>
                <w:sz w:val="19"/>
                <w:szCs w:val="19"/>
              </w:rPr>
              <w:t xml:space="preserve">Personne physique identifiable ?</w:t>
            </w:r>
          </w:p>
        </w:tc>
      </w:tr>
      <w:tr>
        <w:tc>
          <w:tcPr>
            <w:tcW w:type="dxa" w:w="2800"/>
            <w:tcMar>
              <w:top w:type="dxa" w:w="100"/>
              <w:left w:type="dxa" w:w="120"/>
              <w:bottom w:type="dxa" w:w="100"/>
              <w:right w:type="dxa" w:w="120"/>
            </w:tcMar>
          </w:tcPr>
          <w:p>
            <w:r>
              <w:rPr>
                <w:sz w:val="19"/>
                <w:szCs w:val="19"/>
              </w:rPr>
              <w:t xml:space="preserve">API REST (JSONPlaceholder)</w:t>
            </w:r>
          </w:p>
        </w:tc>
        <w:tc>
          <w:tcPr>
            <w:tcW w:type="dxa" w:w="3800"/>
            <w:tcMar>
              <w:top w:type="dxa" w:w="100"/>
              <w:left w:type="dxa" w:w="120"/>
              <w:bottom w:type="dxa" w:w="100"/>
              <w:right w:type="dxa" w:w="120"/>
            </w:tcMar>
          </w:tcPr>
          <w:p>
            <w:r>
              <w:rPr>
                <w:sz w:val="19"/>
                <w:szCs w:val="19"/>
              </w:rPr>
              <w:t xml:space="preserve">Données de test génériques (posts factices), aucun champ nominatif exploité dans le pipeline</w:t>
            </w:r>
          </w:p>
        </w:tc>
        <w:tc>
          <w:tcPr>
            <w:tcW w:type="dxa" w:w="2700"/>
            <w:tcMar>
              <w:top w:type="dxa" w:w="100"/>
              <w:left w:type="dxa" w:w="120"/>
              <w:bottom w:type="dxa" w:w="100"/>
              <w:right w:type="dxa" w:w="120"/>
            </w:tcMar>
          </w:tcPr>
          <w:p>
            <w:r>
              <w:rPr>
                <w:sz w:val="19"/>
                <w:szCs w:val="19"/>
              </w:rPr>
              <w:t xml:space="preserve">Non</w:t>
            </w:r>
          </w:p>
        </w:tc>
      </w:tr>
      <w:tr>
        <w:tc>
          <w:tcPr>
            <w:tcW w:type="dxa" w:w="2800"/>
            <w:tcMar>
              <w:top w:type="dxa" w:w="100"/>
              <w:left w:type="dxa" w:w="120"/>
              <w:bottom w:type="dxa" w:w="100"/>
              <w:right w:type="dxa" w:w="120"/>
            </w:tcMar>
          </w:tcPr>
          <w:p>
            <w:r>
              <w:rPr>
                <w:sz w:val="19"/>
                <w:szCs w:val="19"/>
              </w:rPr>
              <w:t xml:space="preserve">Fichiers CSV (NASA CMAPSS)</w:t>
            </w:r>
          </w:p>
        </w:tc>
        <w:tc>
          <w:tcPr>
            <w:tcW w:type="dxa" w:w="3800"/>
            <w:tcMar>
              <w:top w:type="dxa" w:w="100"/>
              <w:left w:type="dxa" w:w="120"/>
              <w:bottom w:type="dxa" w:w="100"/>
              <w:right w:type="dxa" w:w="120"/>
            </w:tcMar>
          </w:tcPr>
          <w:p>
            <w:r>
              <w:rPr>
                <w:sz w:val="19"/>
                <w:szCs w:val="19"/>
              </w:rPr>
              <w:t xml:space="preserve">Mesures de capteurs moteurs : température, pression, vibrations, cycles</w:t>
            </w:r>
          </w:p>
        </w:tc>
        <w:tc>
          <w:tcPr>
            <w:tcW w:type="dxa" w:w="2700"/>
            <w:tcMar>
              <w:top w:type="dxa" w:w="100"/>
              <w:left w:type="dxa" w:w="120"/>
              <w:bottom w:type="dxa" w:w="100"/>
              <w:right w:type="dxa" w:w="120"/>
            </w:tcMar>
          </w:tcPr>
          <w:p>
            <w:r>
              <w:rPr>
                <w:sz w:val="19"/>
                <w:szCs w:val="19"/>
              </w:rPr>
              <w:t xml:space="preserve">Non</w:t>
            </w:r>
          </w:p>
        </w:tc>
      </w:tr>
      <w:tr>
        <w:tc>
          <w:tcPr>
            <w:tcW w:type="dxa" w:w="2800"/>
            <w:tcMar>
              <w:top w:type="dxa" w:w="100"/>
              <w:left w:type="dxa" w:w="120"/>
              <w:bottom w:type="dxa" w:w="100"/>
              <w:right w:type="dxa" w:w="120"/>
            </w:tcMar>
          </w:tcPr>
          <w:p>
            <w:r>
              <w:rPr>
                <w:sz w:val="19"/>
                <w:szCs w:val="19"/>
              </w:rPr>
              <w:t xml:space="preserve">Base SQL source.db</w:t>
            </w:r>
          </w:p>
        </w:tc>
        <w:tc>
          <w:tcPr>
            <w:tcW w:type="dxa" w:w="3800"/>
            <w:tcMar>
              <w:top w:type="dxa" w:w="100"/>
              <w:left w:type="dxa" w:w="120"/>
              <w:bottom w:type="dxa" w:w="100"/>
              <w:right w:type="dxa" w:w="120"/>
            </w:tcMar>
          </w:tcPr>
          <w:p>
            <w:r>
              <w:rPr>
                <w:sz w:val="19"/>
                <w:szCs w:val="19"/>
              </w:rPr>
              <w:t xml:space="preserve">Mesures de capteurs moteurs (table capteurs), identique en nature aux CSV</w:t>
            </w:r>
          </w:p>
        </w:tc>
        <w:tc>
          <w:tcPr>
            <w:tcW w:type="dxa" w:w="2700"/>
            <w:tcMar>
              <w:top w:type="dxa" w:w="100"/>
              <w:left w:type="dxa" w:w="120"/>
              <w:bottom w:type="dxa" w:w="100"/>
              <w:right w:type="dxa" w:w="120"/>
            </w:tcMar>
          </w:tcPr>
          <w:p>
            <w:r>
              <w:rPr>
                <w:sz w:val="19"/>
                <w:szCs w:val="19"/>
              </w:rPr>
              <w:t xml:space="preserve">Non</w:t>
            </w:r>
          </w:p>
        </w:tc>
      </w:tr>
      <w:tr>
        <w:tc>
          <w:tcPr>
            <w:tcW w:type="dxa" w:w="2800"/>
            <w:tcMar>
              <w:top w:type="dxa" w:w="100"/>
              <w:left w:type="dxa" w:w="120"/>
              <w:bottom w:type="dxa" w:w="100"/>
              <w:right w:type="dxa" w:w="120"/>
            </w:tcMar>
          </w:tcPr>
          <w:p>
            <w:r>
              <w:rPr>
                <w:sz w:val="19"/>
                <w:szCs w:val="19"/>
              </w:rPr>
              <w:t xml:space="preserve">Fichiers complémentaires (big1.csv, big2.csv, train_FD001.txt)</w:t>
            </w:r>
          </w:p>
        </w:tc>
        <w:tc>
          <w:tcPr>
            <w:tcW w:type="dxa" w:w="3800"/>
            <w:tcMar>
              <w:top w:type="dxa" w:w="100"/>
              <w:left w:type="dxa" w:w="120"/>
              <w:bottom w:type="dxa" w:w="100"/>
              <w:right w:type="dxa" w:w="120"/>
            </w:tcMar>
          </w:tcPr>
          <w:p>
            <w:r>
              <w:rPr>
                <w:sz w:val="19"/>
                <w:szCs w:val="19"/>
              </w:rPr>
              <w:t xml:space="preserve">Mesures de capteurs moteurs supplémentaires, même format NASA CMAPSS</w:t>
            </w:r>
          </w:p>
        </w:tc>
        <w:tc>
          <w:tcPr>
            <w:tcW w:type="dxa" w:w="2700"/>
            <w:tcMar>
              <w:top w:type="dxa" w:w="100"/>
              <w:left w:type="dxa" w:w="120"/>
              <w:bottom w:type="dxa" w:w="100"/>
              <w:right w:type="dxa" w:w="120"/>
            </w:tcMar>
          </w:tcPr>
          <w:p>
            <w:r>
              <w:rPr>
                <w:sz w:val="19"/>
                <w:szCs w:val="19"/>
              </w:rPr>
              <w:t xml:space="preserve">Non</w:t>
            </w:r>
          </w:p>
        </w:tc>
      </w:tr>
      <w:tr>
        <w:tc>
          <w:tcPr>
            <w:tcW w:type="dxa" w:w="2800"/>
            <w:tcMar>
              <w:top w:type="dxa" w:w="100"/>
              <w:left w:type="dxa" w:w="120"/>
              <w:bottom w:type="dxa" w:w="100"/>
              <w:right w:type="dxa" w:w="120"/>
            </w:tcMar>
          </w:tcPr>
          <w:p>
            <w:r>
              <w:rPr>
                <w:sz w:val="19"/>
                <w:szCs w:val="19"/>
              </w:rPr>
              <w:t xml:space="preserve">Scraping Wikipedia (page CFM56)</w:t>
            </w:r>
          </w:p>
        </w:tc>
        <w:tc>
          <w:tcPr>
            <w:tcW w:type="dxa" w:w="3800"/>
            <w:tcMar>
              <w:top w:type="dxa" w:w="100"/>
              <w:left w:type="dxa" w:w="120"/>
              <w:bottom w:type="dxa" w:w="100"/>
              <w:right w:type="dxa" w:w="120"/>
            </w:tcMar>
          </w:tcPr>
          <w:p>
            <w:r>
              <w:rPr>
                <w:sz w:val="19"/>
                <w:szCs w:val="19"/>
              </w:rPr>
              <w:t xml:space="preserve">Données publiques et techniques sur le moteur CFM56 (fabricant, caractéristiques)</w:t>
            </w:r>
          </w:p>
        </w:tc>
        <w:tc>
          <w:tcPr>
            <w:tcW w:type="dxa" w:w="2700"/>
            <w:tcMar>
              <w:top w:type="dxa" w:w="100"/>
              <w:left w:type="dxa" w:w="120"/>
              <w:bottom w:type="dxa" w:w="100"/>
              <w:right w:type="dxa" w:w="120"/>
            </w:tcMar>
          </w:tcPr>
          <w:p>
            <w:r>
              <w:rPr>
                <w:sz w:val="19"/>
                <w:szCs w:val="19"/>
              </w:rPr>
              <w:t xml:space="preserve">Non</w:t>
            </w:r>
          </w:p>
        </w:tc>
      </w:tr>
    </w:tbl>
    <w:p>
      <w:pPr>
        <w:spacing w:after="140" w:line="300"/>
        <w:jc w:val="both"/>
      </w:pPr>
      <w:r>
        <w:rPr>
          <w:b w:val="false"/>
          <w:bCs w:val="false"/>
          <w:i w:val="false"/>
          <w:iCs w:val="false"/>
          <w:sz w:val="22"/>
          <w:szCs w:val="22"/>
        </w:rPr>
        <w:t xml:space="preserve"/>
      </w:r>
    </w:p>
    <w:p>
      <w:pPr>
        <w:spacing w:after="140" w:line="300"/>
        <w:jc w:val="both"/>
      </w:pPr>
      <w:r>
        <w:rPr>
          <w:b/>
          <w:bCs/>
          <w:i w:val="false"/>
          <w:iCs w:val="false"/>
          <w:sz w:val="22"/>
          <w:szCs w:val="22"/>
        </w:rPr>
        <w:t xml:space="preserve">Conclusion de l'analyse : l'ensemble des données traitées par ce pipeline sont des données techniques (mesures de capteurs, caractéristiques moteur) ou des données de test génériques. Aucune donnée à caractère personnel (nom, identifiant, adresse, donnée de contact, donnée biométrique, etc.) n'est collectée, stockée ou exposée à aucune étape du pipeline.</w:t>
      </w:r>
    </w:p>
    <w:p>
      <w:pPr>
        <w:pStyle w:val="Heading1"/>
        <w:spacing w:after="160" w:before="300"/>
      </w:pPr>
      <w:r>
        <w:rPr>
          <w:b/>
          <w:bCs/>
          <w:color w:val="1A2E44"/>
          <w:sz w:val="30"/>
          <w:szCs w:val="30"/>
        </w:rPr>
        <w:t xml:space="preserve">4. Mesures de sécurité mises en œuvre</w:t>
      </w:r>
    </w:p>
    <w:p>
      <w:pPr>
        <w:spacing w:after="140" w:line="300"/>
        <w:jc w:val="both"/>
      </w:pPr>
      <w:r>
        <w:rPr>
          <w:b w:val="false"/>
          <w:bCs w:val="false"/>
          <w:i w:val="false"/>
          <w:iCs w:val="false"/>
          <w:sz w:val="22"/>
          <w:szCs w:val="22"/>
        </w:rPr>
        <w:t xml:space="preserve">Bien qu'aucune donnée personnelle ne soit traitée, les mesures de sécurité suivantes ont été mises en place, par bonne pratique et en anticipation d'une éventuelle évolution du périmètre de données :</w:t>
      </w:r>
    </w:p>
    <w:p>
      <w:pPr>
        <w:spacing w:after="80"/>
      </w:pPr>
      <w:r>
        <w:rPr>
          <w:sz w:val="22"/>
          <w:szCs w:val="22"/>
        </w:rPr>
        <w:t xml:space="preserve">• Authentification par clé API (en-tête X-API-Key) sur l'ensemble des endpoints exposant les données</w:t>
      </w:r>
    </w:p>
    <w:p>
      <w:pPr>
        <w:spacing w:after="80"/>
      </w:pPr>
      <w:r>
        <w:rPr>
          <w:sz w:val="22"/>
          <w:szCs w:val="22"/>
        </w:rPr>
        <w:t xml:space="preserve">• Requêtes SQL exclusivement paramétrées, pour prévenir toute injection SQL</w:t>
      </w:r>
    </w:p>
    <w:p>
      <w:pPr>
        <w:spacing w:after="80"/>
      </w:pPr>
      <w:r>
        <w:rPr>
          <w:sz w:val="22"/>
          <w:szCs w:val="22"/>
        </w:rPr>
        <w:t xml:space="preserve">• Séparation des données brutes (data/raw), intermédiaires (data/processed) et finales (data/final.db)</w:t>
      </w:r>
    </w:p>
    <w:p>
      <w:pPr>
        <w:spacing w:after="80"/>
      </w:pPr>
      <w:r>
        <w:rPr>
          <w:sz w:val="22"/>
          <w:szCs w:val="22"/>
        </w:rPr>
        <w:t xml:space="preserve">• Journalisation des accès et traitements via le module logger.py, avec horodatage</w:t>
      </w:r>
    </w:p>
    <w:p>
      <w:pPr>
        <w:pStyle w:val="Heading1"/>
        <w:spacing w:after="160" w:before="300"/>
      </w:pPr>
      <w:r>
        <w:rPr>
          <w:b/>
          <w:bCs/>
          <w:color w:val="1A2E44"/>
          <w:sz w:val="30"/>
          <w:szCs w:val="30"/>
        </w:rPr>
        <w:t xml:space="preserve">5. Revue et mise à jour du registre</w:t>
      </w:r>
    </w:p>
    <w:p>
      <w:pPr>
        <w:spacing w:after="140" w:line="300"/>
        <w:jc w:val="both"/>
      </w:pPr>
      <w:r>
        <w:rPr>
          <w:b w:val="false"/>
          <w:bCs w:val="false"/>
          <w:i w:val="false"/>
          <w:iCs w:val="false"/>
          <w:sz w:val="22"/>
          <w:szCs w:val="22"/>
        </w:rPr>
        <w:t xml:space="preserve">Ce registre devra être revu si le périmètre du pipeline évolue, notamment si une nouvelle source de données est intégrée. Toute nouvelle source devra faire l'objet de la même analyse que celles listées en section 3 avant intégration au pipeline.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6500"/>
      </w:tblGrid>
      <w:tr>
        <w:tc>
          <w:tcPr>
            <w:tcW w:type="dxa" w:w="2800"/>
            <w:shd w:fill="F1F5F9" w:val="clear"/>
            <w:tcMar>
              <w:top w:type="dxa" w:w="100"/>
              <w:left w:type="dxa" w:w="150"/>
              <w:bottom w:type="dxa" w:w="100"/>
              <w:right w:type="dxa" w:w="150"/>
            </w:tcMar>
          </w:tcPr>
          <w:p>
            <w:r>
              <w:rPr>
                <w:b/>
                <w:bCs/>
                <w:color w:val="1A2E44"/>
                <w:sz w:val="20"/>
                <w:szCs w:val="20"/>
              </w:rPr>
              <w:t xml:space="preserve">Date de création</w:t>
            </w:r>
          </w:p>
        </w:tc>
        <w:tc>
          <w:tcPr>
            <w:tcW w:type="dxa" w:w="6500"/>
            <w:tcMar>
              <w:top w:type="dxa" w:w="100"/>
              <w:left w:type="dxa" w:w="150"/>
              <w:bottom w:type="dxa" w:w="100"/>
              <w:right w:type="dxa" w:w="150"/>
            </w:tcMar>
          </w:tcPr>
          <w:p>
            <w:r>
              <w:rPr>
                <w:sz w:val="20"/>
                <w:szCs w:val="20"/>
              </w:rPr>
              <w:t xml:space="preserve">03/07/2026</w:t>
            </w:r>
          </w:p>
        </w:tc>
      </w:tr>
      <w:tr>
        <w:tc>
          <w:tcPr>
            <w:tcW w:type="dxa" w:w="2800"/>
            <w:shd w:fill="F1F5F9" w:val="clear"/>
            <w:tcMar>
              <w:top w:type="dxa" w:w="100"/>
              <w:left w:type="dxa" w:w="150"/>
              <w:bottom w:type="dxa" w:w="100"/>
              <w:right w:type="dxa" w:w="150"/>
            </w:tcMar>
          </w:tcPr>
          <w:p>
            <w:r>
              <w:rPr>
                <w:b/>
                <w:bCs/>
                <w:color w:val="1A2E44"/>
                <w:sz w:val="20"/>
                <w:szCs w:val="20"/>
              </w:rPr>
              <w:t xml:space="preserve">Version</w:t>
            </w:r>
          </w:p>
        </w:tc>
        <w:tc>
          <w:tcPr>
            <w:tcW w:type="dxa" w:w="6500"/>
            <w:tcMar>
              <w:top w:type="dxa" w:w="100"/>
              <w:left w:type="dxa" w:w="150"/>
              <w:bottom w:type="dxa" w:w="100"/>
              <w:right w:type="dxa" w:w="150"/>
            </w:tcMar>
          </w:tcPr>
          <w:p>
            <w:r>
              <w:rPr>
                <w:sz w:val="20"/>
                <w:szCs w:val="20"/>
              </w:rPr>
              <w:t xml:space="preserve">1.0</w:t>
            </w:r>
          </w:p>
        </w:tc>
      </w:tr>
      <w:tr>
        <w:tc>
          <w:tcPr>
            <w:tcW w:type="dxa" w:w="2800"/>
            <w:shd w:fill="F1F5F9" w:val="clear"/>
            <w:tcMar>
              <w:top w:type="dxa" w:w="100"/>
              <w:left w:type="dxa" w:w="150"/>
              <w:bottom w:type="dxa" w:w="100"/>
              <w:right w:type="dxa" w:w="150"/>
            </w:tcMar>
          </w:tcPr>
          <w:p>
            <w:r>
              <w:rPr>
                <w:b/>
                <w:bCs/>
                <w:color w:val="1A2E44"/>
                <w:sz w:val="20"/>
                <w:szCs w:val="20"/>
              </w:rPr>
              <w:t xml:space="preserve">Prochaine revue</w:t>
            </w:r>
          </w:p>
        </w:tc>
        <w:tc>
          <w:tcPr>
            <w:tcW w:type="dxa" w:w="6500"/>
            <w:tcMar>
              <w:top w:type="dxa" w:w="100"/>
              <w:left w:type="dxa" w:w="150"/>
              <w:bottom w:type="dxa" w:w="100"/>
              <w:right w:type="dxa" w:w="150"/>
            </w:tcMar>
          </w:tcPr>
          <w:p>
            <w:r>
              <w:rPr>
                <w:sz w:val="20"/>
                <w:szCs w:val="20"/>
              </w:rPr>
              <w:t xml:space="preserve">En cas d'ajout d'une nouvelle source de données</w:t>
            </w:r>
          </w:p>
        </w:tc>
      </w:tr>
    </w:tbl>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r>
      <w:rPr>
        <w:color w:val="999999"/>
        <w:sz w:val="18"/>
        <w:szCs w:val="18"/>
      </w:rPr>
      <w:t xml:space="preserve"> / </w:t>
    </w:r>
    <w:r>
      <w:rPr>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Registre des traitements — Projet Safran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2026-07-03T11:44:58.554Z</dcterms:created>
  <dcterms:modified xsi:type="dcterms:W3CDTF">2026-07-03T11:44:58.567Z</dcterms:modified>
</cp:coreProperties>
</file>

<file path=docProps/custom.xml><?xml version="1.0" encoding="utf-8"?>
<Properties xmlns="http://schemas.openxmlformats.org/officeDocument/2006/custom-properties" xmlns:vt="http://schemas.openxmlformats.org/officeDocument/2006/docPropsVTypes"/>
</file>