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DejaVu Sans" w:hAnsi="DejaVu Sans"/>
          <w:sz w:val="20"/>
          <w:szCs w:val="20"/>
        </w:rPr>
      </w:pPr>
      <w:r>
        <w:rPr>
          <w:rFonts w:ascii="DejaVu Sans" w:hAnsi="DejaVu Sans"/>
          <w:b/>
          <w:sz w:val="20"/>
          <w:szCs w:val="20"/>
        </w:rPr>
        <w:t>Aufgabe und Ansatz.</w:t>
      </w:r>
      <w:r>
        <w:rPr>
          <w:rFonts w:ascii="DejaVu Sans" w:hAnsi="DejaVu Sans"/>
          <w:sz w:val="20"/>
          <w:szCs w:val="20"/>
        </w:rPr>
        <w:t xml:space="preserve"> Gefragt war ein multimodales System, das medizinische Bilddaten je nach Modalität von einem spezialisierten Experten verarbeiten lässt. Im Gespräch wurde ein allgemeines Modell mit LoRA-Adaptern für die Modalitäten spezifiziert: Ein einziges Vision-Language-Modell (Qwen3-VL-2B-Instruct) dient zugleich als gemeinsames Rückgrat und als Router. Per Zero-Shot-Prompt erkennt das Basismodell die Modalität und aktiviert dann den passenden Spezialisten – einen LoRA-Adapter je Modalität. Beide Adapter werden einmal geladen und pro Eingabe ohne Mehraufwand umgeschaltet. Diese Architektur ist eine leichtgewichtige Variante der modalitäts-spezialisierten Experten-Idee (vgl. MedMoE). Als Machbarkeitsnachweis wurden zwei Modalitäten umgesetzt, Röntgen-Thorax (CXR) und EKG (diejenigen mit der besten Datenlage). Das gesamte System läuft bewusst </w:t>
      </w:r>
      <w:r>
        <w:rPr>
          <w:rFonts w:ascii="DejaVu Sans" w:hAnsi="DejaVu Sans"/>
          <w:sz w:val="20"/>
          <w:szCs w:val="20"/>
        </w:rPr>
        <w:t xml:space="preserve">nur auf </w:t>
      </w:r>
      <w:r>
        <w:rPr>
          <w:rFonts w:ascii="DejaVu Sans" w:hAnsi="DejaVu Sans"/>
          <w:sz w:val="20"/>
          <w:szCs w:val="20"/>
        </w:rPr>
        <w:t>CPU (Laptop, Intel i7), um den vollständigen Ablauf lokal und reproduzierbar zu halten.</w:t>
      </w:r>
    </w:p>
    <w:p>
      <w:pPr>
        <w:pStyle w:val="Normal"/>
        <w:jc w:val="both"/>
        <w:rPr>
          <w:rFonts w:ascii="DejaVu Sans" w:hAnsi="DejaVu Sans"/>
          <w:sz w:val="20"/>
          <w:szCs w:val="20"/>
        </w:rPr>
      </w:pPr>
      <w:r>
        <w:rPr>
          <w:rFonts w:ascii="DejaVu Sans" w:hAnsi="DejaVu Sans"/>
          <w:b/>
          <w:sz w:val="20"/>
          <w:szCs w:val="20"/>
        </w:rPr>
        <w:t>Suchstrategie.</w:t>
      </w:r>
      <w:r>
        <w:rPr>
          <w:rFonts w:ascii="DejaVu Sans" w:hAnsi="DejaVu Sans"/>
          <w:sz w:val="20"/>
          <w:szCs w:val="20"/>
        </w:rPr>
        <w:t xml:space="preserve"> Am Anfang stand die Klärung des Datenbedarfs: idealerweise multimodale Daten, nach Reichhaltigkeit geordnet – Bild bzw. Signal mit Bericht/Diagnose vor Bild/Signal mit Label vor Bild/Signal allein. Für einen ersten Überblick nutzte ich ein KI-Modell (Claude), stets unter Verifikation der Originalquellen. Darauf bin ich die zehn Zielmodalitäten durchgegangen (Röntgen, CT, MRT, Echo, EKG, Koronarangiographie, Sonographie, Zeitreihen, Tabellen, Text) und habe je Modalität etablierte Datensätze samt Zugangshürden erfasst; datenarme Modalitäten (Koronarangiographie, Sonographie) wurden als Lücken markiert, MIMIC/PhysioNet als Ankerpunkt. Ergänzend dienten Meta-Repositorien (PhysioNet, HuggingFace, Kaggle, Grand Challenge u. a.) und die Fachliteratur über Google Scholar/PubMed: von gut zitierten Arbeiten lassen sich „Data Availability"-Abschnitte und über die Zitationskette neuere Datensätze erschließen. Zeitbedingt wurde die Suche in der Tiefe verkürzt. Als zentrale Arbeiten ergaben sich u. a. LLaVA-Med, BioViL-T, CheXagent, ECG-FM, UniMed-CLIP und – architektonisch am nächsten – MedMoE (Details in docs/literature.md und docs/data_catalog.md).</w:t>
      </w:r>
    </w:p>
    <w:p>
      <w:pPr>
        <w:pStyle w:val="Normal"/>
        <w:jc w:val="both"/>
        <w:rPr>
          <w:rFonts w:ascii="DejaVu Sans" w:hAnsi="DejaVu Sans"/>
          <w:sz w:val="20"/>
          <w:szCs w:val="20"/>
        </w:rPr>
      </w:pPr>
      <w:r>
        <w:rPr>
          <w:rFonts w:ascii="DejaVu Sans" w:hAnsi="DejaVu Sans"/>
          <w:b/>
          <w:sz w:val="20"/>
          <w:szCs w:val="20"/>
        </w:rPr>
        <w:t>Verwendete Daten.</w:t>
      </w:r>
      <w:r>
        <w:rPr>
          <w:rFonts w:ascii="DejaVu Sans" w:hAnsi="DejaVu Sans"/>
          <w:sz w:val="20"/>
          <w:szCs w:val="20"/>
        </w:rPr>
        <w:t xml:space="preserve"> </w:t>
      </w:r>
      <w:r>
        <w:rPr>
          <w:rFonts w:ascii="DejaVu Sans" w:hAnsi="DejaVu Sans"/>
          <w:i/>
          <w:sz w:val="20"/>
          <w:szCs w:val="20"/>
        </w:rPr>
        <w:t>CXR – CheXpert Plus</w:t>
      </w:r>
      <w:r>
        <w:rPr>
          <w:rFonts w:ascii="DejaVu Sans" w:hAnsi="DejaVu Sans"/>
          <w:sz w:val="20"/>
          <w:szCs w:val="20"/>
        </w:rPr>
        <w:t xml:space="preserve"> (Stanford AIMI, registrierungspflichtig): 223.228 Studien mit 14 strukturierten Befund-Labels und freien Radiologieberichten; deckt beide Trainingsstufen aus einer Quelle ab. </w:t>
      </w:r>
      <w:r>
        <w:rPr>
          <w:rFonts w:ascii="DejaVu Sans" w:hAnsi="DejaVu Sans"/>
          <w:i/>
          <w:sz w:val="20"/>
          <w:szCs w:val="20"/>
        </w:rPr>
        <w:t>EKG – PTB-XL</w:t>
      </w:r>
      <w:r>
        <w:rPr>
          <w:rFonts w:ascii="DejaVu Sans" w:hAnsi="DejaVu Sans"/>
          <w:sz w:val="20"/>
          <w:szCs w:val="20"/>
        </w:rPr>
        <w:t xml:space="preserve"> (PhysioNet, frei verfügbar): 21.837 12-Kanal-EKGs mit fünf diagnostischen Superklassen (NORM, MI, STTC, CD, HYP). Die EKG-Kurven wurden als Bild gerendert, sodass dieselbe Bild-zu-Text-Pipeline ohne EKG-spezifischen Encoder greift – eine bewusste Vereinfachung mit Kompromiss (siehe Grenzen). Die Quellen wurden auf Basis ihrer Verfügbarkeit ausgewählt; es wurde aufgrund der CPU-Beschränkung nur eine kleine, balancierte und patientendisjunkte Stichprobe gezogen (je rund 75 Trainings- und 25 Validierungsbeispiele).</w:t>
      </w:r>
    </w:p>
    <w:p>
      <w:pPr>
        <w:pStyle w:val="Normal"/>
        <w:jc w:val="both"/>
        <w:rPr>
          <w:rFonts w:ascii="DejaVu Sans" w:hAnsi="DejaVu Sans"/>
          <w:sz w:val="20"/>
          <w:szCs w:val="20"/>
        </w:rPr>
      </w:pPr>
      <w:r>
        <w:rPr>
          <w:rFonts w:ascii="DejaVu Sans" w:hAnsi="DejaVu Sans"/>
          <w:b/>
          <w:sz w:val="20"/>
          <w:szCs w:val="20"/>
        </w:rPr>
        <w:t>Vorgehen beim Training.</w:t>
      </w:r>
      <w:r>
        <w:rPr>
          <w:rFonts w:ascii="DejaVu Sans" w:hAnsi="DejaVu Sans"/>
          <w:sz w:val="20"/>
          <w:szCs w:val="20"/>
        </w:rPr>
        <w:t xml:space="preserve"> Pro Modalität wurde zweistufig trainiert (ms-swift, LoRA, rank 8): zuerst ein selbstüberwachtes Pretraining auf Bericht- bzw. Beschreibungserzeugung, dann ein überwachtes Fine-Tuning auf die Klassifikationsaufgabe, initialisiert aus der ersten Stufe. Dieses Curriculum lehnt sich an LLaVA-Med an, in deutlich kleinerem Maßstab. CPU-bedingt wurde in fp32 ohne Quantisierung trainiert (bitsandbytes hat kein CPU-Backend), mit Gradient Checkpointing. Der Router wird nicht trainiert.</w:t>
      </w:r>
    </w:p>
    <w:p>
      <w:pPr>
        <w:pStyle w:val="Normal"/>
        <w:jc w:val="both"/>
        <w:rPr>
          <w:rFonts w:ascii="DejaVu Sans" w:hAnsi="DejaVu Sans"/>
          <w:sz w:val="20"/>
          <w:szCs w:val="20"/>
        </w:rPr>
      </w:pPr>
      <w:r>
        <w:rPr>
          <w:rFonts w:ascii="DejaVu Sans" w:hAnsi="DejaVu Sans"/>
          <w:b/>
          <w:sz w:val="20"/>
          <w:szCs w:val="20"/>
        </w:rPr>
        <w:t>Ergebnisse und Einordnung.</w:t>
      </w:r>
    </w:p>
    <w:p>
      <w:pPr>
        <w:pStyle w:val="ListBullet"/>
        <w:numPr>
          <w:ilvl w:val="0"/>
          <w:numId w:val="1"/>
        </w:numPr>
        <w:spacing w:lineRule="auto" w:line="240" w:before="0" w:after="40"/>
        <w:contextualSpacing/>
        <w:rPr>
          <w:rFonts w:ascii="DejaVu Sans" w:hAnsi="DejaVu Sans"/>
          <w:sz w:val="20"/>
          <w:szCs w:val="20"/>
        </w:rPr>
      </w:pPr>
      <w:r>
        <w:rPr>
          <w:rFonts w:ascii="DejaVu Sans" w:hAnsi="DejaVu Sans"/>
          <w:i/>
          <w:sz w:val="20"/>
          <w:szCs w:val="20"/>
        </w:rPr>
        <w:t>Routing:</w:t>
      </w:r>
      <w:r>
        <w:rPr>
          <w:rFonts w:ascii="DejaVu Sans" w:hAnsi="DejaVu Sans"/>
          <w:sz w:val="20"/>
          <w:szCs w:val="20"/>
        </w:rPr>
        <w:t xml:space="preserve"> In einem gemischten Test-Stream wurden alle zehn Bilder korrekt zugeordnet (10/10). Ein allgemeines VLM unterscheidet damit Modalitäten visuell bereits zuverlässig genug, um zu routen.</w:t>
      </w:r>
    </w:p>
    <w:p>
      <w:pPr>
        <w:pStyle w:val="ListBullet"/>
        <w:numPr>
          <w:ilvl w:val="0"/>
          <w:numId w:val="1"/>
        </w:numPr>
        <w:spacing w:lineRule="auto" w:line="240" w:before="0" w:after="40"/>
        <w:contextualSpacing/>
        <w:rPr>
          <w:rFonts w:ascii="DejaVu Sans" w:hAnsi="DejaVu Sans"/>
          <w:sz w:val="20"/>
          <w:szCs w:val="20"/>
        </w:rPr>
      </w:pPr>
      <w:r>
        <w:rPr>
          <w:rFonts w:ascii="DejaVu Sans" w:hAnsi="DejaVu Sans"/>
          <w:i/>
          <w:sz w:val="20"/>
          <w:szCs w:val="20"/>
        </w:rPr>
        <w:t>Spezialisten:</w:t>
      </w:r>
      <w:r>
        <w:rPr>
          <w:rFonts w:ascii="DejaVu Sans" w:hAnsi="DejaVu Sans"/>
          <w:sz w:val="20"/>
          <w:szCs w:val="20"/>
        </w:rPr>
        <w:t xml:space="preserve"> Gegenüber dem Zero-Shot-Ausgangspunkt steigt die (mit Teacher-Forcing gemessene) Token-Genauigkeit deutlich: CXR 21 % → 98 %, EKG 20 % → 80 %. Eine strengere Evaluation mit freier Generierung auf demselben Validierungsset trennt die beiden Modalitäten: CXR bleibt mit rund 93 % nahezu gleich stark – die binäre Ja/Nein-Antwort ist einsilbig, daher kaum Teacher-Forcing-Verzerrung –, während EKG auf rund 28 % einbricht, kaum über dem Zufallsniveau von 20 %. Beim EKG kollabiert das Modell auf die zwei häufigsten Klassen (CD/STTC) und sagt MI und HYP nie vorher – eine Folge der nur ~15 Beispiele pro Klasse und der mehrtokenigen Klassennamen, bei denen Teacher-Forcing die Genauigkeit besonders aufbläst.</w:t>
      </w:r>
    </w:p>
    <w:p>
      <w:pPr>
        <w:pStyle w:val="ListBullet"/>
        <w:numPr>
          <w:ilvl w:val="0"/>
          <w:numId w:val="1"/>
        </w:numPr>
        <w:spacing w:lineRule="auto" w:line="240" w:before="0" w:after="40"/>
        <w:contextualSpacing/>
        <w:rPr>
          <w:rFonts w:ascii="DejaVu Sans" w:hAnsi="DejaVu Sans"/>
          <w:sz w:val="20"/>
          <w:szCs w:val="20"/>
        </w:rPr>
      </w:pPr>
      <w:r>
        <w:rPr>
          <w:rFonts w:ascii="DejaVu Sans" w:hAnsi="DejaVu Sans"/>
          <w:i/>
          <w:sz w:val="20"/>
          <w:szCs w:val="20"/>
        </w:rPr>
        <w:t>Fazit:</w:t>
      </w:r>
      <w:r>
        <w:rPr>
          <w:rFonts w:ascii="DejaVu Sans" w:hAnsi="DejaVu Sans"/>
          <w:sz w:val="20"/>
          <w:szCs w:val="20"/>
        </w:rPr>
        <w:t xml:space="preserve"> Architektur und Pipeline funktionieren durchgängig. Der CXR-Experte ist auch unter ehrlicher Evaluation belastbar (~93 %); die schwache EKG-Leistung ist datenlimitiert (zu wenige Beispiele pro Klasse), nicht methodisch.</w:t>
      </w:r>
    </w:p>
    <w:p>
      <w:pPr>
        <w:pStyle w:val="Normal"/>
        <w:spacing w:before="0" w:after="80"/>
        <w:jc w:val="both"/>
        <w:rPr>
          <w:rFonts w:ascii="DejaVu Sans" w:hAnsi="DejaVu Sans"/>
          <w:sz w:val="20"/>
          <w:szCs w:val="20"/>
        </w:rPr>
      </w:pPr>
      <w:r>
        <w:rPr>
          <w:rFonts w:ascii="DejaVu Sans" w:hAnsi="DejaVu Sans"/>
          <w:b/>
          <w:sz w:val="20"/>
          <w:szCs w:val="20"/>
        </w:rPr>
        <w:t>Grenzen und Ausblick.</w:t>
      </w:r>
      <w:r>
        <w:rPr>
          <w:rFonts w:ascii="DejaVu Sans" w:hAnsi="DejaVu Sans"/>
          <w:sz w:val="20"/>
          <w:szCs w:val="20"/>
        </w:rPr>
        <w:t xml:space="preserve"> Die Ergebnisse sind als Konzeptbeweis zu lesen: kleine Stichproben, zwei Modalitäten, und eine Kennzahl (token-basiertes Teacher-Forcing), die ohne freie Generierung zu optimistisch ausfällt. Hinzu kommt, dass das EKG-Bild-Rendering klinische Detailinformation gegenüber dem Rohsignal verliert (vgl. ECG-FM). Skaliert würde der Ansatz über zugangsbeschränkte Großdatensätze (MIMIC-CXR, MIMIC-IV-ECG), aggregierte multimodale Korpora (UniMed: 5,3 Mio. Paare), Challenge-Daten (Grand Challenge, TCIA), schwache Supervision aus Berichtstexten sowie klinische Kooperationen. Da der Router untrainiert bleibt, genügt für jede weitere Modalität ein zusätzlicher Adapter; das Training ließe sich per QLoRA auf GPU skalieren.</w:t>
      </w:r>
    </w:p>
    <w:sectPr>
      <w:type w:val="nextPage"/>
      <w:pgSz w:w="12240" w:h="15840"/>
      <w:pgMar w:left="850" w:right="850" w:gutter="0" w:header="0" w:top="680" w:footer="0" w:bottom="6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DejaVu Sans">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40" w:before="0" w:after="80"/>
      <w:jc w:val="left"/>
    </w:pPr>
    <w:rPr>
      <w:rFonts w:ascii="Calibri" w:hAnsi="Calibri" w:eastAsia="ＭＳ 明朝" w:cs="" w:cstheme="minorBidi" w:eastAsiaTheme="minorEastAsia"/>
      <w:color w:val="auto"/>
      <w:kern w:val="0"/>
      <w:sz w:val="17"/>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left="720"/>
      <w:contextualSpacing/>
    </w:pPr>
    <w:rPr/>
  </w:style>
  <w:style w:type="paragraph" w:styleId="List3">
    <w:name w:val="List 3"/>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1</Pages>
  <Words>658</Words>
  <Characters>4625</Characters>
  <CharactersWithSpaces>5280</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Maita Schade</cp:lastModifiedBy>
  <dcterms:modified xsi:type="dcterms:W3CDTF">2026-06-28T21:46:57Z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