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7D" w:rsidRDefault="00DA487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F46DCF">
        <w:rPr>
          <w:b/>
        </w:rPr>
        <w:t>Câu</w:t>
      </w:r>
      <w:proofErr w:type="spellEnd"/>
      <w:r w:rsidRPr="00F46DCF">
        <w:rPr>
          <w:b/>
        </w:rPr>
        <w:t xml:space="preserve"> </w:t>
      </w:r>
      <w:proofErr w:type="spellStart"/>
      <w:r w:rsidRPr="00F46DCF">
        <w:rPr>
          <w:b/>
        </w:rPr>
        <w:t>hỏi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HCM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DA487D" w:rsidRDefault="00F46DC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F46DCF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Trả</w:t>
      </w:r>
      <w:proofErr w:type="spellEnd"/>
      <w:r w:rsidRPr="00F46DCF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46DCF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</w:t>
      </w:r>
      <w:r w:rsidRPr="00F46DC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HCM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đỏ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xuyên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suốt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tiễn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CMVN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minh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HCM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đắn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hậu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hậu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KT-XH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xuyên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suốt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khứ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minh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Công-Nông-Trí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KT-XH: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Khuyến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khích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giàu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Khuyến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khích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đáp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ngọn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vẫn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đẳng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triệt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HCM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ấy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đói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hậu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TBCN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TBCN.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XHCN.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KT-XH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khắc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thần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ta.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XH, ta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TB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bóc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XH.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vực</w:t>
      </w:r>
      <w:proofErr w:type="spellEnd"/>
    </w:p>
    <w:p w:rsidR="00DA487D" w:rsidRDefault="00DA487D"/>
    <w:sectPr w:rsidR="00DA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7D"/>
    <w:rsid w:val="004E1CAE"/>
    <w:rsid w:val="00DA487D"/>
    <w:rsid w:val="00F4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C072"/>
  <w15:chartTrackingRefBased/>
  <w15:docId w15:val="{2485272E-E48C-4386-BA9E-46515868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Huynh Tan</dc:creator>
  <cp:keywords/>
  <dc:description/>
  <cp:lastModifiedBy>To Huynh Tan</cp:lastModifiedBy>
  <cp:revision>1</cp:revision>
  <dcterms:created xsi:type="dcterms:W3CDTF">2021-10-03T04:10:00Z</dcterms:created>
  <dcterms:modified xsi:type="dcterms:W3CDTF">2021-10-03T04:21:00Z</dcterms:modified>
</cp:coreProperties>
</file>