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E00056" w14:textId="77777777" w:rsidR="00240848" w:rsidRDefault="00240848" w:rsidP="00240848">
      <w:pPr>
        <w:pStyle w:val="Heading2"/>
        <w:keepNext w:val="0"/>
        <w:keepLines w:val="0"/>
        <w:spacing w:after="80"/>
        <w:jc w:val="center"/>
        <w:rPr>
          <w:b/>
          <w:bCs/>
        </w:rPr>
      </w:pPr>
    </w:p>
    <w:p w14:paraId="6D8BE080" w14:textId="77777777" w:rsidR="00240848" w:rsidRDefault="00240848" w:rsidP="00240848">
      <w:pPr>
        <w:pStyle w:val="Heading2"/>
        <w:keepNext w:val="0"/>
        <w:keepLines w:val="0"/>
        <w:spacing w:after="80"/>
        <w:jc w:val="center"/>
        <w:rPr>
          <w:b/>
          <w:bCs/>
        </w:rPr>
      </w:pPr>
    </w:p>
    <w:p w14:paraId="225B5286" w14:textId="77777777" w:rsidR="00240848" w:rsidRDefault="00240848" w:rsidP="00240848">
      <w:pPr>
        <w:pStyle w:val="Heading2"/>
        <w:keepNext w:val="0"/>
        <w:keepLines w:val="0"/>
        <w:spacing w:after="80"/>
        <w:jc w:val="center"/>
        <w:rPr>
          <w:b/>
          <w:bCs/>
        </w:rPr>
      </w:pPr>
    </w:p>
    <w:p w14:paraId="69BA59BD" w14:textId="77777777" w:rsidR="00240848" w:rsidRDefault="00240848" w:rsidP="00240848">
      <w:pPr>
        <w:pStyle w:val="Heading2"/>
        <w:keepNext w:val="0"/>
        <w:keepLines w:val="0"/>
        <w:spacing w:after="80"/>
        <w:jc w:val="center"/>
        <w:rPr>
          <w:b/>
          <w:bCs/>
        </w:rPr>
      </w:pPr>
    </w:p>
    <w:p w14:paraId="262357BA" w14:textId="159925A7" w:rsidR="00240848" w:rsidRDefault="00240848" w:rsidP="00240848">
      <w:pPr>
        <w:pStyle w:val="Heading2"/>
        <w:keepNext w:val="0"/>
        <w:keepLines w:val="0"/>
        <w:spacing w:after="80"/>
        <w:rPr>
          <w:b/>
          <w:bCs/>
        </w:rPr>
      </w:pPr>
      <w:r>
        <w:rPr>
          <w:b/>
          <w:bCs/>
        </w:rPr>
        <w:t xml:space="preserve">  </w:t>
      </w:r>
      <w:r w:rsidRPr="00240848">
        <w:rPr>
          <w:b/>
          <w:bCs/>
        </w:rPr>
        <w:t>Clinical Decision Making and Pattern Recognition in Health Care</w:t>
      </w:r>
    </w:p>
    <w:p w14:paraId="27B019ED" w14:textId="2B670B2C" w:rsidR="00240848" w:rsidRDefault="00240848" w:rsidP="00240848">
      <w:pPr>
        <w:jc w:val="center"/>
      </w:pPr>
      <w:r>
        <w:t>Maithili Annavarapu</w:t>
      </w:r>
    </w:p>
    <w:p w14:paraId="5C6420FE" w14:textId="78EA64A3" w:rsidR="00240848" w:rsidRDefault="00240848" w:rsidP="00240848">
      <w:pPr>
        <w:jc w:val="center"/>
      </w:pPr>
      <w:r>
        <w:t>Master</w:t>
      </w:r>
      <w:r w:rsidR="00D72D35">
        <w:t xml:space="preserve"> of Science,</w:t>
      </w:r>
      <w:r>
        <w:t xml:space="preserve"> Data Science</w:t>
      </w:r>
    </w:p>
    <w:p w14:paraId="64B13D8D" w14:textId="1FDC2AD6" w:rsidR="00240848" w:rsidRDefault="00240848" w:rsidP="00240848">
      <w:pPr>
        <w:jc w:val="center"/>
      </w:pPr>
      <w:r>
        <w:t>University of Maryland, College Park</w:t>
      </w:r>
    </w:p>
    <w:p w14:paraId="2FE6A1E1" w14:textId="3F087D4D" w:rsidR="00240848" w:rsidRPr="00240848" w:rsidRDefault="00240848" w:rsidP="00240848">
      <w:pPr>
        <w:jc w:val="center"/>
      </w:pPr>
      <w:r>
        <w:t>June 27, 2026</w:t>
      </w:r>
    </w:p>
    <w:p w14:paraId="76245424" w14:textId="77777777" w:rsidR="00240848" w:rsidRDefault="00240848" w:rsidP="00240848">
      <w:pPr>
        <w:jc w:val="center"/>
      </w:pPr>
    </w:p>
    <w:p w14:paraId="6BDB4613" w14:textId="77777777" w:rsidR="00240848" w:rsidRDefault="00240848" w:rsidP="00240848"/>
    <w:p w14:paraId="12CFEBF0" w14:textId="77777777" w:rsidR="00240848" w:rsidRDefault="00240848" w:rsidP="00240848"/>
    <w:p w14:paraId="53B4038D" w14:textId="77777777" w:rsidR="00240848" w:rsidRDefault="00240848" w:rsidP="00240848"/>
    <w:p w14:paraId="614FF247" w14:textId="77777777" w:rsidR="00240848" w:rsidRDefault="00240848" w:rsidP="00240848"/>
    <w:p w14:paraId="6F256FEB" w14:textId="77777777" w:rsidR="00240848" w:rsidRDefault="00240848" w:rsidP="00240848"/>
    <w:p w14:paraId="5CE2D2AB" w14:textId="77777777" w:rsidR="00240848" w:rsidRDefault="00240848" w:rsidP="00240848"/>
    <w:p w14:paraId="3F4B25A7" w14:textId="77777777" w:rsidR="00240848" w:rsidRDefault="00240848" w:rsidP="00240848"/>
    <w:p w14:paraId="5C883003" w14:textId="77777777" w:rsidR="00240848" w:rsidRDefault="00240848" w:rsidP="00240848"/>
    <w:p w14:paraId="6CB8D077" w14:textId="77777777" w:rsidR="00240848" w:rsidRDefault="00240848" w:rsidP="00240848"/>
    <w:p w14:paraId="00000002" w14:textId="449F1632" w:rsidR="00896ACA" w:rsidRDefault="00000000">
      <w:pPr>
        <w:pStyle w:val="Heading2"/>
        <w:keepNext w:val="0"/>
        <w:keepLines w:val="0"/>
        <w:spacing w:after="80"/>
        <w:rPr>
          <w:b/>
          <w:bCs/>
        </w:rPr>
      </w:pPr>
      <w:r>
        <w:rPr>
          <w:b/>
          <w:bCs/>
        </w:rPr>
        <w:lastRenderedPageBreak/>
        <w:t>Introduction and Topic Concept</w:t>
      </w:r>
    </w:p>
    <w:p w14:paraId="05A89018" w14:textId="77C3CC2A" w:rsidR="0017277D" w:rsidRPr="0017277D" w:rsidRDefault="00D72D35" w:rsidP="00D72D35">
      <w:pPr>
        <w:pStyle w:val="Heading2"/>
        <w:spacing w:after="80"/>
        <w:ind w:firstLine="720"/>
        <w:rPr>
          <w:sz w:val="22"/>
          <w:szCs w:val="22"/>
          <w:lang w:val="en-IN"/>
        </w:rPr>
      </w:pPr>
      <w:r w:rsidRPr="00D72D35">
        <w:rPr>
          <w:sz w:val="22"/>
          <w:szCs w:val="22"/>
        </w:rPr>
        <w:t>Healthcare organizations process millions of insurance claims every year, making efficient claim review essential for controlling costs and ensuring appropriate care. Organizations like Cotiviti use advanced payment integrity solutions to help payers identify improper payments and improve claim accuracy. As healthcare claims continue to grow in volume and complexity, AI presents an opportunity to further enhance review efficiency and decision support</w:t>
      </w:r>
      <w:r>
        <w:rPr>
          <w:sz w:val="22"/>
          <w:szCs w:val="22"/>
        </w:rPr>
        <w:t xml:space="preserve"> </w:t>
      </w:r>
      <w:r w:rsidRPr="00D72D35">
        <w:rPr>
          <w:sz w:val="22"/>
          <w:szCs w:val="22"/>
        </w:rPr>
        <w:t>(Cotiviti, 2024).</w:t>
      </w:r>
    </w:p>
    <w:p w14:paraId="2EAC9767" w14:textId="77777777" w:rsidR="0017277D" w:rsidRPr="0017277D" w:rsidRDefault="0017277D" w:rsidP="00D72D35">
      <w:pPr>
        <w:pStyle w:val="Heading2"/>
        <w:spacing w:after="80"/>
        <w:ind w:firstLine="720"/>
        <w:rPr>
          <w:sz w:val="22"/>
          <w:szCs w:val="22"/>
          <w:lang w:val="en-IN"/>
        </w:rPr>
      </w:pPr>
      <w:r w:rsidRPr="0017277D">
        <w:rPr>
          <w:sz w:val="22"/>
          <w:szCs w:val="22"/>
          <w:lang w:val="en-IN"/>
        </w:rPr>
        <w:t>Recent advances in AI, including Retrieval-Augmented Generation (RAG), machine learning, anomaly detection, and Agentic AI, are improving healthcare claim review by supporting clinical assessment, billing analysis, fraud detection, and more consistent payment decisions while assisting human reviewers (Salesforce, 2024).</w:t>
      </w:r>
    </w:p>
    <w:p w14:paraId="6772F796" w14:textId="77777777" w:rsidR="00C528B0" w:rsidRDefault="00000000" w:rsidP="00C528B0">
      <w:pPr>
        <w:pStyle w:val="Heading2"/>
        <w:keepNext w:val="0"/>
        <w:keepLines w:val="0"/>
        <w:spacing w:after="80"/>
        <w:rPr>
          <w:b/>
          <w:bCs/>
        </w:rPr>
      </w:pPr>
      <w:r>
        <w:rPr>
          <w:b/>
          <w:bCs/>
        </w:rPr>
        <w:t>Current Trends in Healthcare AI</w:t>
      </w:r>
    </w:p>
    <w:p w14:paraId="0C123DDA" w14:textId="77777777" w:rsidR="00C528B0" w:rsidRPr="0017277D" w:rsidRDefault="00C528B0" w:rsidP="00D72D35">
      <w:pPr>
        <w:pStyle w:val="Heading2"/>
        <w:keepNext w:val="0"/>
        <w:keepLines w:val="0"/>
        <w:spacing w:after="80"/>
        <w:ind w:firstLine="720"/>
        <w:rPr>
          <w:b/>
          <w:bCs/>
          <w:sz w:val="22"/>
          <w:szCs w:val="22"/>
        </w:rPr>
      </w:pPr>
      <w:r w:rsidRPr="0017277D">
        <w:rPr>
          <w:sz w:val="22"/>
          <w:szCs w:val="22"/>
          <w:lang w:val="en-IN"/>
        </w:rPr>
        <w:t>Healthcare AI is evolving toward hybrid systems that combine traditional machine learning with Large Language Models. Retrieval-Augmented Generation (RAG) improves LLM responses by retrieving relevant clinical knowledge before generating recommendations, reducing hallucinations and improving explainability (Lewis et al., 2020).</w:t>
      </w:r>
    </w:p>
    <w:p w14:paraId="32FF9CAE" w14:textId="22A8000D" w:rsidR="00C528B0" w:rsidRPr="0017277D" w:rsidRDefault="00C528B0" w:rsidP="00D72D35">
      <w:pPr>
        <w:pStyle w:val="Heading2"/>
        <w:keepNext w:val="0"/>
        <w:keepLines w:val="0"/>
        <w:spacing w:after="80"/>
        <w:ind w:firstLine="720"/>
        <w:rPr>
          <w:b/>
          <w:bCs/>
          <w:sz w:val="22"/>
          <w:szCs w:val="22"/>
        </w:rPr>
      </w:pPr>
      <w:r w:rsidRPr="0017277D">
        <w:rPr>
          <w:sz w:val="22"/>
          <w:szCs w:val="22"/>
          <w:lang w:val="en-IN"/>
        </w:rPr>
        <w:t xml:space="preserve">Another emerging trend is Agentic AI, where multiple specialized agents independently perform tasks such as clinical review, financial prediction, provider </w:t>
      </w:r>
      <w:proofErr w:type="spellStart"/>
      <w:r w:rsidRPr="0017277D">
        <w:rPr>
          <w:sz w:val="22"/>
          <w:szCs w:val="22"/>
          <w:lang w:val="en-IN"/>
        </w:rPr>
        <w:t>behavior</w:t>
      </w:r>
      <w:proofErr w:type="spellEnd"/>
      <w:r w:rsidRPr="0017277D">
        <w:rPr>
          <w:sz w:val="22"/>
          <w:szCs w:val="22"/>
          <w:lang w:val="en-IN"/>
        </w:rPr>
        <w:t xml:space="preserve"> analysis, and fraud detection before a decision agent combines their outputs. Traditional machine learning remains important for prediction and anomaly detection, particularly when labe</w:t>
      </w:r>
      <w:r w:rsidR="00D72D35">
        <w:rPr>
          <w:sz w:val="22"/>
          <w:szCs w:val="22"/>
          <w:lang w:val="en-IN"/>
        </w:rPr>
        <w:t>l</w:t>
      </w:r>
      <w:r w:rsidRPr="0017277D">
        <w:rPr>
          <w:sz w:val="22"/>
          <w:szCs w:val="22"/>
          <w:lang w:val="en-IN"/>
        </w:rPr>
        <w:t>led healthcare data is limited (</w:t>
      </w:r>
      <w:proofErr w:type="spellStart"/>
      <w:r w:rsidRPr="0017277D">
        <w:rPr>
          <w:sz w:val="22"/>
          <w:szCs w:val="22"/>
          <w:lang w:val="en-IN"/>
        </w:rPr>
        <w:t>Breiman</w:t>
      </w:r>
      <w:proofErr w:type="spellEnd"/>
      <w:r w:rsidRPr="0017277D">
        <w:rPr>
          <w:sz w:val="22"/>
          <w:szCs w:val="22"/>
          <w:lang w:val="en-IN"/>
        </w:rPr>
        <w:t>, 2001; Liu et al., 2008).</w:t>
      </w:r>
    </w:p>
    <w:p w14:paraId="763AE807" w14:textId="4582E05C" w:rsidR="0017277D" w:rsidRDefault="00000000" w:rsidP="0017277D">
      <w:pPr>
        <w:pStyle w:val="Heading2"/>
        <w:keepNext w:val="0"/>
        <w:keepLines w:val="0"/>
        <w:spacing w:after="80"/>
        <w:rPr>
          <w:b/>
          <w:bCs/>
        </w:rPr>
      </w:pPr>
      <w:r>
        <w:rPr>
          <w:b/>
          <w:bCs/>
        </w:rPr>
        <w:t>Opportunities for Cotiviti</w:t>
      </w:r>
    </w:p>
    <w:p w14:paraId="085CE1A6" w14:textId="7645FE55" w:rsidR="00C528B0" w:rsidRPr="0017277D" w:rsidRDefault="00C528B0" w:rsidP="00D72D35">
      <w:pPr>
        <w:pStyle w:val="Heading2"/>
        <w:keepNext w:val="0"/>
        <w:keepLines w:val="0"/>
        <w:spacing w:after="80"/>
        <w:ind w:firstLine="720"/>
        <w:rPr>
          <w:b/>
          <w:bCs/>
        </w:rPr>
      </w:pPr>
      <w:r w:rsidRPr="00C528B0">
        <w:rPr>
          <w:sz w:val="22"/>
          <w:szCs w:val="22"/>
          <w:lang w:val="en-IN"/>
        </w:rPr>
        <w:t xml:space="preserve">As a proof of concept, I developed an </w:t>
      </w:r>
      <w:r w:rsidRPr="00C528B0">
        <w:rPr>
          <w:b/>
          <w:bCs/>
          <w:sz w:val="22"/>
          <w:szCs w:val="22"/>
          <w:lang w:val="en-IN"/>
        </w:rPr>
        <w:t>Agentic Healthcare Payment Integrity Review Assistant</w:t>
      </w:r>
      <w:r w:rsidRPr="00C528B0">
        <w:rPr>
          <w:sz w:val="22"/>
          <w:szCs w:val="22"/>
          <w:lang w:val="en-IN"/>
        </w:rPr>
        <w:t xml:space="preserve"> that combines RAG, machine learning, anomaly detection, and LLM reasoning to support healthcare claim review.</w:t>
      </w:r>
    </w:p>
    <w:p w14:paraId="6E4947A3" w14:textId="77777777" w:rsidR="00C528B0" w:rsidRPr="00C528B0" w:rsidRDefault="00C528B0" w:rsidP="00D72D35">
      <w:pPr>
        <w:pStyle w:val="Heading2"/>
        <w:spacing w:after="80"/>
        <w:ind w:firstLine="720"/>
        <w:rPr>
          <w:sz w:val="22"/>
          <w:szCs w:val="22"/>
          <w:lang w:val="en-IN"/>
        </w:rPr>
      </w:pPr>
      <w:r w:rsidRPr="00C528B0">
        <w:rPr>
          <w:sz w:val="22"/>
          <w:szCs w:val="22"/>
          <w:lang w:val="en-IN"/>
        </w:rPr>
        <w:lastRenderedPageBreak/>
        <w:t xml:space="preserve">The architecture includes four specialized tools for clinical assessment, financial prediction, provider </w:t>
      </w:r>
      <w:proofErr w:type="spellStart"/>
      <w:r w:rsidRPr="00C528B0">
        <w:rPr>
          <w:sz w:val="22"/>
          <w:szCs w:val="22"/>
          <w:lang w:val="en-IN"/>
        </w:rPr>
        <w:t>behavior</w:t>
      </w:r>
      <w:proofErr w:type="spellEnd"/>
      <w:r w:rsidRPr="00C528B0">
        <w:rPr>
          <w:sz w:val="22"/>
          <w:szCs w:val="22"/>
          <w:lang w:val="en-IN"/>
        </w:rPr>
        <w:t xml:space="preserve"> analysis, and fraud detection. Their outputs are combined by a Decision Agent that recommends whether a claim should be approved, manually reviewed, or denied while generating an explainable summary for payment integrity reviewers.</w:t>
      </w:r>
    </w:p>
    <w:p w14:paraId="0C4E2A1C" w14:textId="77777777" w:rsidR="00C528B0" w:rsidRPr="00C528B0" w:rsidRDefault="00C528B0" w:rsidP="00D72D35">
      <w:pPr>
        <w:pStyle w:val="Heading2"/>
        <w:spacing w:after="80"/>
        <w:ind w:firstLine="720"/>
        <w:rPr>
          <w:sz w:val="22"/>
          <w:szCs w:val="22"/>
          <w:lang w:val="en-IN"/>
        </w:rPr>
      </w:pPr>
      <w:r w:rsidRPr="00C528B0">
        <w:rPr>
          <w:sz w:val="22"/>
          <w:szCs w:val="22"/>
          <w:lang w:val="en-IN"/>
        </w:rPr>
        <w:t>Beyond this proof of concept, similar systems could support automated policy interpretation, provider benchmarking, real-time claim prioritization, and continuous learning from reviewer feedback.</w:t>
      </w:r>
    </w:p>
    <w:p w14:paraId="0000000E" w14:textId="77777777" w:rsidR="00896ACA" w:rsidRDefault="00000000">
      <w:pPr>
        <w:pStyle w:val="Heading2"/>
        <w:keepNext w:val="0"/>
        <w:keepLines w:val="0"/>
        <w:spacing w:after="80"/>
        <w:rPr>
          <w:b/>
          <w:bCs/>
        </w:rPr>
      </w:pPr>
      <w:r>
        <w:rPr>
          <w:b/>
          <w:bCs/>
        </w:rPr>
        <w:t>Threats and Challenges</w:t>
      </w:r>
    </w:p>
    <w:p w14:paraId="32A24D29" w14:textId="2241EE38" w:rsidR="00C528B0" w:rsidRPr="00C528B0" w:rsidRDefault="00C528B0" w:rsidP="00C528B0">
      <w:pPr>
        <w:spacing w:before="240" w:after="240"/>
        <w:ind w:firstLine="720"/>
        <w:jc w:val="both"/>
        <w:rPr>
          <w:lang w:val="en-IN"/>
        </w:rPr>
      </w:pPr>
      <w:r w:rsidRPr="00C528B0">
        <w:rPr>
          <w:lang w:val="en-IN"/>
        </w:rPr>
        <w:t>Although AI offers significant opportunities, challenges remain. Large Language Models require reliable knowledge sources to avoid unsupported explanations, making RAG and human oversight essential (Lewis et al., 2020).</w:t>
      </w:r>
    </w:p>
    <w:p w14:paraId="1776E47B" w14:textId="77777777" w:rsidR="00C528B0" w:rsidRPr="00C528B0" w:rsidRDefault="00C528B0" w:rsidP="00C528B0">
      <w:pPr>
        <w:spacing w:before="240" w:after="240"/>
        <w:ind w:firstLine="720"/>
        <w:jc w:val="both"/>
        <w:rPr>
          <w:lang w:val="en-IN"/>
        </w:rPr>
      </w:pPr>
      <w:r w:rsidRPr="00C528B0">
        <w:rPr>
          <w:lang w:val="en-IN"/>
        </w:rPr>
        <w:t>Machine learning models may inherit bias from historical claims data, while fraud detection remains difficult because confirmed fraud examples are limited. In addition, healthcare systems must comply with HIPAA requirements when handling sensitive patient information. AI should therefore function as a decision-support tool that assists reviewers while keeping final payment decisions under human oversight (Cognizant, 2024).</w:t>
      </w:r>
    </w:p>
    <w:p w14:paraId="39DDD471" w14:textId="4727FA35" w:rsidR="008258F1" w:rsidRPr="0017277D" w:rsidRDefault="008258F1" w:rsidP="0017277D">
      <w:pPr>
        <w:pStyle w:val="Heading2"/>
        <w:rPr>
          <w:b/>
          <w:bCs/>
        </w:rPr>
      </w:pPr>
      <w:r w:rsidRPr="0017277D">
        <w:rPr>
          <w:b/>
          <w:bCs/>
        </w:rPr>
        <w:t>Strategic Recommendation</w:t>
      </w:r>
    </w:p>
    <w:p w14:paraId="2BAF3980" w14:textId="77777777" w:rsidR="00C528B0" w:rsidRPr="00C528B0" w:rsidRDefault="00C528B0" w:rsidP="00C528B0">
      <w:pPr>
        <w:spacing w:before="240" w:after="240"/>
        <w:ind w:firstLine="720"/>
        <w:jc w:val="both"/>
        <w:rPr>
          <w:lang w:val="en-IN"/>
        </w:rPr>
      </w:pPr>
      <w:r w:rsidRPr="00C528B0">
        <w:rPr>
          <w:lang w:val="en-IN"/>
        </w:rPr>
        <w:t xml:space="preserve">This proof of concept demonstrates how RAG-based clinical reasoning, financial prediction, provider </w:t>
      </w:r>
      <w:proofErr w:type="spellStart"/>
      <w:r w:rsidRPr="00C528B0">
        <w:rPr>
          <w:lang w:val="en-IN"/>
        </w:rPr>
        <w:t>behavior</w:t>
      </w:r>
      <w:proofErr w:type="spellEnd"/>
      <w:r w:rsidRPr="00C528B0">
        <w:rPr>
          <w:lang w:val="en-IN"/>
        </w:rPr>
        <w:t xml:space="preserve"> analysis, and anomaly detection can work together within an agentic architecture to support healthcare payment integrity.</w:t>
      </w:r>
    </w:p>
    <w:p w14:paraId="7C3D9B18" w14:textId="77777777" w:rsidR="00C528B0" w:rsidRPr="00C528B0" w:rsidRDefault="00C528B0" w:rsidP="00C528B0">
      <w:pPr>
        <w:spacing w:before="240" w:after="240"/>
        <w:ind w:firstLine="720"/>
        <w:jc w:val="both"/>
        <w:rPr>
          <w:lang w:val="en-IN"/>
        </w:rPr>
      </w:pPr>
      <w:r w:rsidRPr="00C528B0">
        <w:rPr>
          <w:lang w:val="en-IN"/>
        </w:rPr>
        <w:t>Future work could incorporate payer-specific policies, real-time claims processing, and continuous learning from reviewer feedback to improve scalability, consistency, and decision quality across healthcare payment integrity workflows.</w:t>
      </w:r>
    </w:p>
    <w:sdt>
      <w:sdtPr>
        <w:rPr>
          <w:b/>
          <w:bCs/>
          <w:sz w:val="32"/>
          <w:szCs w:val="32"/>
        </w:rPr>
        <w:id w:val="-1051687012"/>
        <w:docPartObj>
          <w:docPartGallery w:val="Bibliographies"/>
          <w:docPartUnique/>
        </w:docPartObj>
      </w:sdtPr>
      <w:sdtEndPr>
        <w:rPr>
          <w:b w:val="0"/>
          <w:bCs w:val="0"/>
          <w:sz w:val="22"/>
          <w:szCs w:val="22"/>
        </w:rPr>
      </w:sdtEndPr>
      <w:sdtContent>
        <w:p w14:paraId="5AFDB460" w14:textId="3CB5E064" w:rsidR="00725880" w:rsidRPr="00725880" w:rsidRDefault="00725880" w:rsidP="00725880">
          <w:pPr>
            <w:pStyle w:val="Heading1"/>
            <w:rPr>
              <w:b/>
              <w:bCs/>
              <w:sz w:val="32"/>
              <w:szCs w:val="32"/>
            </w:rPr>
          </w:pPr>
          <w:r w:rsidRPr="00725880">
            <w:rPr>
              <w:b/>
              <w:bCs/>
              <w:sz w:val="32"/>
              <w:szCs w:val="32"/>
            </w:rPr>
            <w:t>References</w:t>
          </w:r>
        </w:p>
        <w:sdt>
          <w:sdtPr>
            <w:id w:val="-573587230"/>
            <w:bibliography/>
          </w:sdtPr>
          <w:sdtContent>
            <w:p w14:paraId="78556A64" w14:textId="1E310E48" w:rsidR="00725880" w:rsidRDefault="00C54419" w:rsidP="00725880">
              <w:pPr>
                <w:pStyle w:val="Bibliography"/>
                <w:ind w:left="720" w:hanging="720"/>
                <w:rPr>
                  <w:noProof/>
                  <w:sz w:val="24"/>
                  <w:szCs w:val="24"/>
                </w:rPr>
              </w:pPr>
              <w:r>
                <w:fldChar w:fldCharType="begin"/>
              </w:r>
              <w:r>
                <w:instrText xml:space="preserve"> BIBLIOGRAPHY </w:instrText>
              </w:r>
              <w:r>
                <w:fldChar w:fldCharType="separate"/>
              </w:r>
              <w:r w:rsidR="00725880">
                <w:rPr>
                  <w:noProof/>
                </w:rPr>
                <w:t xml:space="preserve">Breiman, L. (2001). Random forests. </w:t>
              </w:r>
              <w:r w:rsidR="00725880">
                <w:rPr>
                  <w:i/>
                  <w:iCs/>
                  <w:noProof/>
                </w:rPr>
                <w:t>Machine Learning</w:t>
              </w:r>
              <w:r w:rsidR="00725880">
                <w:rPr>
                  <w:noProof/>
                </w:rPr>
                <w:t xml:space="preserve">, 5–32. </w:t>
              </w:r>
              <w:r w:rsidR="00725880" w:rsidRPr="00725880">
                <w:rPr>
                  <w:noProof/>
                </w:rPr>
                <w:t>https://doi.org/10.1023/A:1010933404324</w:t>
              </w:r>
            </w:p>
            <w:p w14:paraId="7FDF7BC1" w14:textId="77777777" w:rsidR="00725880" w:rsidRDefault="00725880" w:rsidP="00725880">
              <w:pPr>
                <w:pStyle w:val="Bibliography"/>
                <w:ind w:left="720" w:hanging="720"/>
                <w:rPr>
                  <w:noProof/>
                </w:rPr>
              </w:pPr>
              <w:r>
                <w:rPr>
                  <w:noProof/>
                </w:rPr>
                <w:t xml:space="preserve">Cognizant. (2024). </w:t>
              </w:r>
              <w:r>
                <w:rPr>
                  <w:i/>
                  <w:iCs/>
                  <w:noProof/>
                </w:rPr>
                <w:t>Enhancing claims processing automation with agentic AI</w:t>
              </w:r>
              <w:r>
                <w:rPr>
                  <w:noProof/>
                </w:rPr>
                <w:t>. From Cognizant: https://www.cognizant.com/us/en/insights/insights-blog/agentic-ai-for-claims-processing</w:t>
              </w:r>
            </w:p>
            <w:p w14:paraId="3B9B9E03" w14:textId="77777777" w:rsidR="00725880" w:rsidRDefault="00725880" w:rsidP="00725880">
              <w:pPr>
                <w:pStyle w:val="Bibliography"/>
                <w:ind w:left="720" w:hanging="720"/>
                <w:rPr>
                  <w:noProof/>
                </w:rPr>
              </w:pPr>
              <w:r>
                <w:rPr>
                  <w:noProof/>
                </w:rPr>
                <w:t xml:space="preserve">Cotiviti. (2024). </w:t>
              </w:r>
              <w:r>
                <w:rPr>
                  <w:i/>
                  <w:iCs/>
                  <w:noProof/>
                </w:rPr>
                <w:t>Payment Integrity Solutions</w:t>
              </w:r>
              <w:r>
                <w:rPr>
                  <w:noProof/>
                </w:rPr>
                <w:t>. From Cotiviti: https://www.cotiviti.com/solutions/payment-integrity</w:t>
              </w:r>
            </w:p>
            <w:p w14:paraId="5C09BF84" w14:textId="77777777" w:rsidR="00725880" w:rsidRDefault="00725880" w:rsidP="00725880">
              <w:pPr>
                <w:pStyle w:val="Bibliography"/>
                <w:ind w:left="720" w:hanging="720"/>
                <w:rPr>
                  <w:noProof/>
                </w:rPr>
              </w:pPr>
              <w:r>
                <w:rPr>
                  <w:noProof/>
                </w:rPr>
                <w:t>Lewis, P., Perez, E., Piktus, A., Petroni, F., Karpukhin, V., Goyal, N., . . . Kiela, D. (2020). Retrieval-augmented generation for knowledge-intensive NLP tasks. Red Hook, NY: Curran Associates, Inc.</w:t>
              </w:r>
            </w:p>
            <w:p w14:paraId="7D051067" w14:textId="77777777" w:rsidR="00725880" w:rsidRDefault="00725880" w:rsidP="00725880">
              <w:pPr>
                <w:pStyle w:val="Bibliography"/>
                <w:ind w:left="720" w:hanging="720"/>
                <w:rPr>
                  <w:noProof/>
                </w:rPr>
              </w:pPr>
              <w:r>
                <w:rPr>
                  <w:noProof/>
                </w:rPr>
                <w:t xml:space="preserve">Liu, F. T., Ting, K. M., &amp; Zhou, Z.-H. (2008). Isolation Forest. </w:t>
              </w:r>
              <w:r>
                <w:rPr>
                  <w:i/>
                  <w:iCs/>
                  <w:noProof/>
                </w:rPr>
                <w:t>IEEE International Conference on Data Mining (ICDM 2008)</w:t>
              </w:r>
              <w:r>
                <w:rPr>
                  <w:noProof/>
                </w:rPr>
                <w:t xml:space="preserve"> (pp. 413–422). Pisa, Italy: IEEE.</w:t>
              </w:r>
            </w:p>
            <w:p w14:paraId="46533D5F" w14:textId="77777777" w:rsidR="00725880" w:rsidRDefault="00725880" w:rsidP="00725880">
              <w:pPr>
                <w:pStyle w:val="Bibliography"/>
                <w:ind w:left="720" w:hanging="720"/>
                <w:rPr>
                  <w:noProof/>
                </w:rPr>
              </w:pPr>
              <w:r>
                <w:rPr>
                  <w:noProof/>
                </w:rPr>
                <w:t xml:space="preserve">MITRE. (2024). </w:t>
              </w:r>
              <w:r>
                <w:rPr>
                  <w:i/>
                  <w:iCs/>
                  <w:noProof/>
                </w:rPr>
                <w:t>MITRE</w:t>
              </w:r>
              <w:r>
                <w:rPr>
                  <w:noProof/>
                </w:rPr>
                <w:t>. From MITRE. (2024). Synthea: Synthetic patient and population health data. https://synthea.mitre.org/: https://synthea.mitre.org/</w:t>
              </w:r>
            </w:p>
            <w:p w14:paraId="02664C64" w14:textId="77777777" w:rsidR="00725880" w:rsidRDefault="00725880" w:rsidP="00725880">
              <w:pPr>
                <w:pStyle w:val="Bibliography"/>
                <w:ind w:left="720" w:hanging="720"/>
                <w:rPr>
                  <w:noProof/>
                </w:rPr>
              </w:pPr>
              <w:r>
                <w:rPr>
                  <w:noProof/>
                </w:rPr>
                <w:t xml:space="preserve">Salesforce. (2024). </w:t>
              </w:r>
              <w:r>
                <w:rPr>
                  <w:i/>
                  <w:iCs/>
                  <w:noProof/>
                </w:rPr>
                <w:t>Healthcare Agentic AI: Benefits &amp; Use Cases.</w:t>
              </w:r>
              <w:r>
                <w:rPr>
                  <w:noProof/>
                </w:rPr>
                <w:t xml:space="preserve"> Retrieved June 27, 2026 from Salesforce: https://www.salesforce.com/healthcare/artificial-intelligence/healthcare-agentic-ai/</w:t>
              </w:r>
            </w:p>
            <w:p w14:paraId="00000020" w14:textId="2215F345" w:rsidR="00896ACA" w:rsidRPr="00725880" w:rsidRDefault="00C54419" w:rsidP="00725880">
              <w:pPr>
                <w:spacing w:after="0"/>
              </w:pPr>
              <w:r>
                <w:rPr>
                  <w:b/>
                  <w:bCs/>
                  <w:noProof/>
                </w:rPr>
                <w:fldChar w:fldCharType="end"/>
              </w:r>
            </w:p>
          </w:sdtContent>
        </w:sdt>
      </w:sdtContent>
    </w:sdt>
    <w:p w14:paraId="00000021" w14:textId="77777777" w:rsidR="00896ACA" w:rsidRDefault="00896ACA">
      <w:pPr>
        <w:spacing w:before="240" w:after="240"/>
        <w:rPr>
          <w:color w:val="1155CC"/>
          <w:u w:val="single"/>
        </w:rPr>
      </w:pPr>
    </w:p>
    <w:p w14:paraId="00000022" w14:textId="77777777" w:rsidR="00896ACA" w:rsidRDefault="00896ACA"/>
    <w:sectPr w:rsidR="00896ACA">
      <w:headerReference w:type="default" r:id="rId7"/>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1992" w14:textId="77777777" w:rsidR="00BC6DF9" w:rsidRDefault="00BC6DF9" w:rsidP="00D72D35">
      <w:pPr>
        <w:spacing w:after="0" w:line="240" w:lineRule="auto"/>
      </w:pPr>
      <w:r>
        <w:separator/>
      </w:r>
    </w:p>
  </w:endnote>
  <w:endnote w:type="continuationSeparator" w:id="0">
    <w:p w14:paraId="55CB7E1C" w14:textId="77777777" w:rsidR="00BC6DF9" w:rsidRDefault="00BC6DF9" w:rsidP="00D7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FB63BC-E73A-4FEA-AFC5-D3A3BBCE512E}"/>
  </w:font>
  <w:font w:name="Cambria">
    <w:panose1 w:val="02040503050406030204"/>
    <w:charset w:val="00"/>
    <w:family w:val="roman"/>
    <w:pitch w:val="variable"/>
    <w:sig w:usb0="E00006FF" w:usb1="420024FF" w:usb2="02000000" w:usb3="00000000" w:csb0="0000019F" w:csb1="00000000"/>
    <w:embedRegular r:id="rId2" w:fontKey="{8FA7ACAF-20F9-4E8F-998D-ED948D85A0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CBF6" w14:textId="77777777" w:rsidR="00BC6DF9" w:rsidRDefault="00BC6DF9" w:rsidP="00D72D35">
      <w:pPr>
        <w:spacing w:after="0" w:line="240" w:lineRule="auto"/>
      </w:pPr>
      <w:r>
        <w:separator/>
      </w:r>
    </w:p>
  </w:footnote>
  <w:footnote w:type="continuationSeparator" w:id="0">
    <w:p w14:paraId="08768819" w14:textId="77777777" w:rsidR="00BC6DF9" w:rsidRDefault="00BC6DF9" w:rsidP="00D72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142802"/>
      <w:docPartObj>
        <w:docPartGallery w:val="Page Numbers (Top of Page)"/>
        <w:docPartUnique/>
      </w:docPartObj>
    </w:sdtPr>
    <w:sdtEndPr>
      <w:rPr>
        <w:noProof/>
      </w:rPr>
    </w:sdtEndPr>
    <w:sdtContent>
      <w:p w14:paraId="0A2C2D85" w14:textId="7D9186DA" w:rsidR="00D72D35" w:rsidRDefault="00D72D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E3C48E" w14:textId="77777777" w:rsidR="00D72D35" w:rsidRDefault="00D72D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ACA"/>
    <w:rsid w:val="0017277D"/>
    <w:rsid w:val="00240848"/>
    <w:rsid w:val="006E3B31"/>
    <w:rsid w:val="00725880"/>
    <w:rsid w:val="008258F1"/>
    <w:rsid w:val="00896ACA"/>
    <w:rsid w:val="00BC6DF9"/>
    <w:rsid w:val="00C528B0"/>
    <w:rsid w:val="00C54419"/>
    <w:rsid w:val="00D72D35"/>
    <w:rsid w:val="00F64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6BC2"/>
  <w15:docId w15:val="{E102FA9E-F706-4F96-968F-8EE72D68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C54419"/>
    <w:rPr>
      <w:sz w:val="40"/>
      <w:szCs w:val="40"/>
    </w:rPr>
  </w:style>
  <w:style w:type="paragraph" w:styleId="Bibliography">
    <w:name w:val="Bibliography"/>
    <w:basedOn w:val="Normal"/>
    <w:next w:val="Normal"/>
    <w:uiPriority w:val="37"/>
    <w:unhideWhenUsed/>
    <w:rsid w:val="00C54419"/>
  </w:style>
  <w:style w:type="character" w:customStyle="1" w:styleId="Heading2Char">
    <w:name w:val="Heading 2 Char"/>
    <w:basedOn w:val="DefaultParagraphFont"/>
    <w:link w:val="Heading2"/>
    <w:uiPriority w:val="9"/>
    <w:rsid w:val="008258F1"/>
    <w:rPr>
      <w:sz w:val="32"/>
      <w:szCs w:val="32"/>
    </w:rPr>
  </w:style>
  <w:style w:type="paragraph" w:styleId="Header">
    <w:name w:val="header"/>
    <w:basedOn w:val="Normal"/>
    <w:link w:val="HeaderChar"/>
    <w:uiPriority w:val="99"/>
    <w:unhideWhenUsed/>
    <w:rsid w:val="00D72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D35"/>
  </w:style>
  <w:style w:type="paragraph" w:styleId="Footer">
    <w:name w:val="footer"/>
    <w:basedOn w:val="Normal"/>
    <w:link w:val="FooterChar"/>
    <w:uiPriority w:val="99"/>
    <w:unhideWhenUsed/>
    <w:rsid w:val="00D72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2014">
      <w:bodyDiv w:val="1"/>
      <w:marLeft w:val="0"/>
      <w:marRight w:val="0"/>
      <w:marTop w:val="0"/>
      <w:marBottom w:val="0"/>
      <w:divBdr>
        <w:top w:val="none" w:sz="0" w:space="0" w:color="auto"/>
        <w:left w:val="none" w:sz="0" w:space="0" w:color="auto"/>
        <w:bottom w:val="none" w:sz="0" w:space="0" w:color="auto"/>
        <w:right w:val="none" w:sz="0" w:space="0" w:color="auto"/>
      </w:divBdr>
    </w:div>
    <w:div w:id="265969668">
      <w:bodyDiv w:val="1"/>
      <w:marLeft w:val="0"/>
      <w:marRight w:val="0"/>
      <w:marTop w:val="0"/>
      <w:marBottom w:val="0"/>
      <w:divBdr>
        <w:top w:val="none" w:sz="0" w:space="0" w:color="auto"/>
        <w:left w:val="none" w:sz="0" w:space="0" w:color="auto"/>
        <w:bottom w:val="none" w:sz="0" w:space="0" w:color="auto"/>
        <w:right w:val="none" w:sz="0" w:space="0" w:color="auto"/>
      </w:divBdr>
    </w:div>
    <w:div w:id="323094510">
      <w:bodyDiv w:val="1"/>
      <w:marLeft w:val="0"/>
      <w:marRight w:val="0"/>
      <w:marTop w:val="0"/>
      <w:marBottom w:val="0"/>
      <w:divBdr>
        <w:top w:val="none" w:sz="0" w:space="0" w:color="auto"/>
        <w:left w:val="none" w:sz="0" w:space="0" w:color="auto"/>
        <w:bottom w:val="none" w:sz="0" w:space="0" w:color="auto"/>
        <w:right w:val="none" w:sz="0" w:space="0" w:color="auto"/>
      </w:divBdr>
    </w:div>
    <w:div w:id="365641420">
      <w:bodyDiv w:val="1"/>
      <w:marLeft w:val="0"/>
      <w:marRight w:val="0"/>
      <w:marTop w:val="0"/>
      <w:marBottom w:val="0"/>
      <w:divBdr>
        <w:top w:val="none" w:sz="0" w:space="0" w:color="auto"/>
        <w:left w:val="none" w:sz="0" w:space="0" w:color="auto"/>
        <w:bottom w:val="none" w:sz="0" w:space="0" w:color="auto"/>
        <w:right w:val="none" w:sz="0" w:space="0" w:color="auto"/>
      </w:divBdr>
    </w:div>
    <w:div w:id="414058049">
      <w:bodyDiv w:val="1"/>
      <w:marLeft w:val="0"/>
      <w:marRight w:val="0"/>
      <w:marTop w:val="0"/>
      <w:marBottom w:val="0"/>
      <w:divBdr>
        <w:top w:val="none" w:sz="0" w:space="0" w:color="auto"/>
        <w:left w:val="none" w:sz="0" w:space="0" w:color="auto"/>
        <w:bottom w:val="none" w:sz="0" w:space="0" w:color="auto"/>
        <w:right w:val="none" w:sz="0" w:space="0" w:color="auto"/>
      </w:divBdr>
    </w:div>
    <w:div w:id="451021320">
      <w:bodyDiv w:val="1"/>
      <w:marLeft w:val="0"/>
      <w:marRight w:val="0"/>
      <w:marTop w:val="0"/>
      <w:marBottom w:val="0"/>
      <w:divBdr>
        <w:top w:val="none" w:sz="0" w:space="0" w:color="auto"/>
        <w:left w:val="none" w:sz="0" w:space="0" w:color="auto"/>
        <w:bottom w:val="none" w:sz="0" w:space="0" w:color="auto"/>
        <w:right w:val="none" w:sz="0" w:space="0" w:color="auto"/>
      </w:divBdr>
    </w:div>
    <w:div w:id="509759360">
      <w:bodyDiv w:val="1"/>
      <w:marLeft w:val="0"/>
      <w:marRight w:val="0"/>
      <w:marTop w:val="0"/>
      <w:marBottom w:val="0"/>
      <w:divBdr>
        <w:top w:val="none" w:sz="0" w:space="0" w:color="auto"/>
        <w:left w:val="none" w:sz="0" w:space="0" w:color="auto"/>
        <w:bottom w:val="none" w:sz="0" w:space="0" w:color="auto"/>
        <w:right w:val="none" w:sz="0" w:space="0" w:color="auto"/>
      </w:divBdr>
    </w:div>
    <w:div w:id="546835807">
      <w:bodyDiv w:val="1"/>
      <w:marLeft w:val="0"/>
      <w:marRight w:val="0"/>
      <w:marTop w:val="0"/>
      <w:marBottom w:val="0"/>
      <w:divBdr>
        <w:top w:val="none" w:sz="0" w:space="0" w:color="auto"/>
        <w:left w:val="none" w:sz="0" w:space="0" w:color="auto"/>
        <w:bottom w:val="none" w:sz="0" w:space="0" w:color="auto"/>
        <w:right w:val="none" w:sz="0" w:space="0" w:color="auto"/>
      </w:divBdr>
    </w:div>
    <w:div w:id="820272677">
      <w:bodyDiv w:val="1"/>
      <w:marLeft w:val="0"/>
      <w:marRight w:val="0"/>
      <w:marTop w:val="0"/>
      <w:marBottom w:val="0"/>
      <w:divBdr>
        <w:top w:val="none" w:sz="0" w:space="0" w:color="auto"/>
        <w:left w:val="none" w:sz="0" w:space="0" w:color="auto"/>
        <w:bottom w:val="none" w:sz="0" w:space="0" w:color="auto"/>
        <w:right w:val="none" w:sz="0" w:space="0" w:color="auto"/>
      </w:divBdr>
    </w:div>
    <w:div w:id="829516404">
      <w:bodyDiv w:val="1"/>
      <w:marLeft w:val="0"/>
      <w:marRight w:val="0"/>
      <w:marTop w:val="0"/>
      <w:marBottom w:val="0"/>
      <w:divBdr>
        <w:top w:val="none" w:sz="0" w:space="0" w:color="auto"/>
        <w:left w:val="none" w:sz="0" w:space="0" w:color="auto"/>
        <w:bottom w:val="none" w:sz="0" w:space="0" w:color="auto"/>
        <w:right w:val="none" w:sz="0" w:space="0" w:color="auto"/>
      </w:divBdr>
    </w:div>
    <w:div w:id="839470808">
      <w:bodyDiv w:val="1"/>
      <w:marLeft w:val="0"/>
      <w:marRight w:val="0"/>
      <w:marTop w:val="0"/>
      <w:marBottom w:val="0"/>
      <w:divBdr>
        <w:top w:val="none" w:sz="0" w:space="0" w:color="auto"/>
        <w:left w:val="none" w:sz="0" w:space="0" w:color="auto"/>
        <w:bottom w:val="none" w:sz="0" w:space="0" w:color="auto"/>
        <w:right w:val="none" w:sz="0" w:space="0" w:color="auto"/>
      </w:divBdr>
    </w:div>
    <w:div w:id="891844234">
      <w:bodyDiv w:val="1"/>
      <w:marLeft w:val="0"/>
      <w:marRight w:val="0"/>
      <w:marTop w:val="0"/>
      <w:marBottom w:val="0"/>
      <w:divBdr>
        <w:top w:val="none" w:sz="0" w:space="0" w:color="auto"/>
        <w:left w:val="none" w:sz="0" w:space="0" w:color="auto"/>
        <w:bottom w:val="none" w:sz="0" w:space="0" w:color="auto"/>
        <w:right w:val="none" w:sz="0" w:space="0" w:color="auto"/>
      </w:divBdr>
    </w:div>
    <w:div w:id="920484795">
      <w:bodyDiv w:val="1"/>
      <w:marLeft w:val="0"/>
      <w:marRight w:val="0"/>
      <w:marTop w:val="0"/>
      <w:marBottom w:val="0"/>
      <w:divBdr>
        <w:top w:val="none" w:sz="0" w:space="0" w:color="auto"/>
        <w:left w:val="none" w:sz="0" w:space="0" w:color="auto"/>
        <w:bottom w:val="none" w:sz="0" w:space="0" w:color="auto"/>
        <w:right w:val="none" w:sz="0" w:space="0" w:color="auto"/>
      </w:divBdr>
    </w:div>
    <w:div w:id="956520805">
      <w:bodyDiv w:val="1"/>
      <w:marLeft w:val="0"/>
      <w:marRight w:val="0"/>
      <w:marTop w:val="0"/>
      <w:marBottom w:val="0"/>
      <w:divBdr>
        <w:top w:val="none" w:sz="0" w:space="0" w:color="auto"/>
        <w:left w:val="none" w:sz="0" w:space="0" w:color="auto"/>
        <w:bottom w:val="none" w:sz="0" w:space="0" w:color="auto"/>
        <w:right w:val="none" w:sz="0" w:space="0" w:color="auto"/>
      </w:divBdr>
    </w:div>
    <w:div w:id="1048455691">
      <w:bodyDiv w:val="1"/>
      <w:marLeft w:val="0"/>
      <w:marRight w:val="0"/>
      <w:marTop w:val="0"/>
      <w:marBottom w:val="0"/>
      <w:divBdr>
        <w:top w:val="none" w:sz="0" w:space="0" w:color="auto"/>
        <w:left w:val="none" w:sz="0" w:space="0" w:color="auto"/>
        <w:bottom w:val="none" w:sz="0" w:space="0" w:color="auto"/>
        <w:right w:val="none" w:sz="0" w:space="0" w:color="auto"/>
      </w:divBdr>
    </w:div>
    <w:div w:id="1231453996">
      <w:bodyDiv w:val="1"/>
      <w:marLeft w:val="0"/>
      <w:marRight w:val="0"/>
      <w:marTop w:val="0"/>
      <w:marBottom w:val="0"/>
      <w:divBdr>
        <w:top w:val="none" w:sz="0" w:space="0" w:color="auto"/>
        <w:left w:val="none" w:sz="0" w:space="0" w:color="auto"/>
        <w:bottom w:val="none" w:sz="0" w:space="0" w:color="auto"/>
        <w:right w:val="none" w:sz="0" w:space="0" w:color="auto"/>
      </w:divBdr>
    </w:div>
    <w:div w:id="1233734452">
      <w:bodyDiv w:val="1"/>
      <w:marLeft w:val="0"/>
      <w:marRight w:val="0"/>
      <w:marTop w:val="0"/>
      <w:marBottom w:val="0"/>
      <w:divBdr>
        <w:top w:val="none" w:sz="0" w:space="0" w:color="auto"/>
        <w:left w:val="none" w:sz="0" w:space="0" w:color="auto"/>
        <w:bottom w:val="none" w:sz="0" w:space="0" w:color="auto"/>
        <w:right w:val="none" w:sz="0" w:space="0" w:color="auto"/>
      </w:divBdr>
    </w:div>
    <w:div w:id="1260406890">
      <w:bodyDiv w:val="1"/>
      <w:marLeft w:val="0"/>
      <w:marRight w:val="0"/>
      <w:marTop w:val="0"/>
      <w:marBottom w:val="0"/>
      <w:divBdr>
        <w:top w:val="none" w:sz="0" w:space="0" w:color="auto"/>
        <w:left w:val="none" w:sz="0" w:space="0" w:color="auto"/>
        <w:bottom w:val="none" w:sz="0" w:space="0" w:color="auto"/>
        <w:right w:val="none" w:sz="0" w:space="0" w:color="auto"/>
      </w:divBdr>
    </w:div>
    <w:div w:id="1282343947">
      <w:bodyDiv w:val="1"/>
      <w:marLeft w:val="0"/>
      <w:marRight w:val="0"/>
      <w:marTop w:val="0"/>
      <w:marBottom w:val="0"/>
      <w:divBdr>
        <w:top w:val="none" w:sz="0" w:space="0" w:color="auto"/>
        <w:left w:val="none" w:sz="0" w:space="0" w:color="auto"/>
        <w:bottom w:val="none" w:sz="0" w:space="0" w:color="auto"/>
        <w:right w:val="none" w:sz="0" w:space="0" w:color="auto"/>
      </w:divBdr>
    </w:div>
    <w:div w:id="1294293430">
      <w:bodyDiv w:val="1"/>
      <w:marLeft w:val="0"/>
      <w:marRight w:val="0"/>
      <w:marTop w:val="0"/>
      <w:marBottom w:val="0"/>
      <w:divBdr>
        <w:top w:val="none" w:sz="0" w:space="0" w:color="auto"/>
        <w:left w:val="none" w:sz="0" w:space="0" w:color="auto"/>
        <w:bottom w:val="none" w:sz="0" w:space="0" w:color="auto"/>
        <w:right w:val="none" w:sz="0" w:space="0" w:color="auto"/>
      </w:divBdr>
    </w:div>
    <w:div w:id="1324623814">
      <w:bodyDiv w:val="1"/>
      <w:marLeft w:val="0"/>
      <w:marRight w:val="0"/>
      <w:marTop w:val="0"/>
      <w:marBottom w:val="0"/>
      <w:divBdr>
        <w:top w:val="none" w:sz="0" w:space="0" w:color="auto"/>
        <w:left w:val="none" w:sz="0" w:space="0" w:color="auto"/>
        <w:bottom w:val="none" w:sz="0" w:space="0" w:color="auto"/>
        <w:right w:val="none" w:sz="0" w:space="0" w:color="auto"/>
      </w:divBdr>
    </w:div>
    <w:div w:id="1458179199">
      <w:bodyDiv w:val="1"/>
      <w:marLeft w:val="0"/>
      <w:marRight w:val="0"/>
      <w:marTop w:val="0"/>
      <w:marBottom w:val="0"/>
      <w:divBdr>
        <w:top w:val="none" w:sz="0" w:space="0" w:color="auto"/>
        <w:left w:val="none" w:sz="0" w:space="0" w:color="auto"/>
        <w:bottom w:val="none" w:sz="0" w:space="0" w:color="auto"/>
        <w:right w:val="none" w:sz="0" w:space="0" w:color="auto"/>
      </w:divBdr>
    </w:div>
    <w:div w:id="1508398223">
      <w:bodyDiv w:val="1"/>
      <w:marLeft w:val="0"/>
      <w:marRight w:val="0"/>
      <w:marTop w:val="0"/>
      <w:marBottom w:val="0"/>
      <w:divBdr>
        <w:top w:val="none" w:sz="0" w:space="0" w:color="auto"/>
        <w:left w:val="none" w:sz="0" w:space="0" w:color="auto"/>
        <w:bottom w:val="none" w:sz="0" w:space="0" w:color="auto"/>
        <w:right w:val="none" w:sz="0" w:space="0" w:color="auto"/>
      </w:divBdr>
    </w:div>
    <w:div w:id="1566331242">
      <w:bodyDiv w:val="1"/>
      <w:marLeft w:val="0"/>
      <w:marRight w:val="0"/>
      <w:marTop w:val="0"/>
      <w:marBottom w:val="0"/>
      <w:divBdr>
        <w:top w:val="none" w:sz="0" w:space="0" w:color="auto"/>
        <w:left w:val="none" w:sz="0" w:space="0" w:color="auto"/>
        <w:bottom w:val="none" w:sz="0" w:space="0" w:color="auto"/>
        <w:right w:val="none" w:sz="0" w:space="0" w:color="auto"/>
      </w:divBdr>
    </w:div>
    <w:div w:id="1599480800">
      <w:bodyDiv w:val="1"/>
      <w:marLeft w:val="0"/>
      <w:marRight w:val="0"/>
      <w:marTop w:val="0"/>
      <w:marBottom w:val="0"/>
      <w:divBdr>
        <w:top w:val="none" w:sz="0" w:space="0" w:color="auto"/>
        <w:left w:val="none" w:sz="0" w:space="0" w:color="auto"/>
        <w:bottom w:val="none" w:sz="0" w:space="0" w:color="auto"/>
        <w:right w:val="none" w:sz="0" w:space="0" w:color="auto"/>
      </w:divBdr>
    </w:div>
    <w:div w:id="1602487994">
      <w:bodyDiv w:val="1"/>
      <w:marLeft w:val="0"/>
      <w:marRight w:val="0"/>
      <w:marTop w:val="0"/>
      <w:marBottom w:val="0"/>
      <w:divBdr>
        <w:top w:val="none" w:sz="0" w:space="0" w:color="auto"/>
        <w:left w:val="none" w:sz="0" w:space="0" w:color="auto"/>
        <w:bottom w:val="none" w:sz="0" w:space="0" w:color="auto"/>
        <w:right w:val="none" w:sz="0" w:space="0" w:color="auto"/>
      </w:divBdr>
    </w:div>
    <w:div w:id="1641031870">
      <w:bodyDiv w:val="1"/>
      <w:marLeft w:val="0"/>
      <w:marRight w:val="0"/>
      <w:marTop w:val="0"/>
      <w:marBottom w:val="0"/>
      <w:divBdr>
        <w:top w:val="none" w:sz="0" w:space="0" w:color="auto"/>
        <w:left w:val="none" w:sz="0" w:space="0" w:color="auto"/>
        <w:bottom w:val="none" w:sz="0" w:space="0" w:color="auto"/>
        <w:right w:val="none" w:sz="0" w:space="0" w:color="auto"/>
      </w:divBdr>
    </w:div>
    <w:div w:id="1705212336">
      <w:bodyDiv w:val="1"/>
      <w:marLeft w:val="0"/>
      <w:marRight w:val="0"/>
      <w:marTop w:val="0"/>
      <w:marBottom w:val="0"/>
      <w:divBdr>
        <w:top w:val="none" w:sz="0" w:space="0" w:color="auto"/>
        <w:left w:val="none" w:sz="0" w:space="0" w:color="auto"/>
        <w:bottom w:val="none" w:sz="0" w:space="0" w:color="auto"/>
        <w:right w:val="none" w:sz="0" w:space="0" w:color="auto"/>
      </w:divBdr>
    </w:div>
    <w:div w:id="1830709827">
      <w:bodyDiv w:val="1"/>
      <w:marLeft w:val="0"/>
      <w:marRight w:val="0"/>
      <w:marTop w:val="0"/>
      <w:marBottom w:val="0"/>
      <w:divBdr>
        <w:top w:val="none" w:sz="0" w:space="0" w:color="auto"/>
        <w:left w:val="none" w:sz="0" w:space="0" w:color="auto"/>
        <w:bottom w:val="none" w:sz="0" w:space="0" w:color="auto"/>
        <w:right w:val="none" w:sz="0" w:space="0" w:color="auto"/>
      </w:divBdr>
    </w:div>
    <w:div w:id="1895002590">
      <w:bodyDiv w:val="1"/>
      <w:marLeft w:val="0"/>
      <w:marRight w:val="0"/>
      <w:marTop w:val="0"/>
      <w:marBottom w:val="0"/>
      <w:divBdr>
        <w:top w:val="none" w:sz="0" w:space="0" w:color="auto"/>
        <w:left w:val="none" w:sz="0" w:space="0" w:color="auto"/>
        <w:bottom w:val="none" w:sz="0" w:space="0" w:color="auto"/>
        <w:right w:val="none" w:sz="0" w:space="0" w:color="auto"/>
      </w:divBdr>
    </w:div>
    <w:div w:id="1952398512">
      <w:bodyDiv w:val="1"/>
      <w:marLeft w:val="0"/>
      <w:marRight w:val="0"/>
      <w:marTop w:val="0"/>
      <w:marBottom w:val="0"/>
      <w:divBdr>
        <w:top w:val="none" w:sz="0" w:space="0" w:color="auto"/>
        <w:left w:val="none" w:sz="0" w:space="0" w:color="auto"/>
        <w:bottom w:val="none" w:sz="0" w:space="0" w:color="auto"/>
        <w:right w:val="none" w:sz="0" w:space="0" w:color="auto"/>
      </w:divBdr>
    </w:div>
    <w:div w:id="1966040534">
      <w:bodyDiv w:val="1"/>
      <w:marLeft w:val="0"/>
      <w:marRight w:val="0"/>
      <w:marTop w:val="0"/>
      <w:marBottom w:val="0"/>
      <w:divBdr>
        <w:top w:val="none" w:sz="0" w:space="0" w:color="auto"/>
        <w:left w:val="none" w:sz="0" w:space="0" w:color="auto"/>
        <w:bottom w:val="none" w:sz="0" w:space="0" w:color="auto"/>
        <w:right w:val="none" w:sz="0" w:space="0" w:color="auto"/>
      </w:divBdr>
    </w:div>
    <w:div w:id="1989282456">
      <w:bodyDiv w:val="1"/>
      <w:marLeft w:val="0"/>
      <w:marRight w:val="0"/>
      <w:marTop w:val="0"/>
      <w:marBottom w:val="0"/>
      <w:divBdr>
        <w:top w:val="none" w:sz="0" w:space="0" w:color="auto"/>
        <w:left w:val="none" w:sz="0" w:space="0" w:color="auto"/>
        <w:bottom w:val="none" w:sz="0" w:space="0" w:color="auto"/>
        <w:right w:val="none" w:sz="0" w:space="0" w:color="auto"/>
      </w:divBdr>
    </w:div>
    <w:div w:id="2029062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27</b:DayAccessed>
    <b:MonthAccessed>June</b:MonthAccessed>
    <b:Title>Healthcare Agentic AI: Benefits &amp; Use Cases</b:Title>
    <b:URL>https://www.salesforce.com/healthcare/artificial-intelligence/healthcare-agentic-ai/</b:URL>
    <b:InternetSiteTitle>Salesforce</b:InternetSiteTitle>
    <b:Year>2024</b:Year>
    <b:YearAccessed>2026</b:YearAccessed>
    <b:Gdcea>{"AccessedType":"Website"}</b:Gdcea>
    <b:Author>
      <b:Author>
        <b:Corporate>Salesforce</b:Corporate>
      </b:Author>
    </b:Author>
    <b:RefOrder>2</b:RefOrder>
  </b:Source>
  <b:Source>
    <b:Tag>MIT24</b:Tag>
    <b:SourceType>InternetSite</b:SourceType>
    <b:Guid>{9D03CA92-C0F3-4FA1-BA66-B64B59AF9B2D}</b:Guid>
    <b:Title>MITRE</b:Title>
    <b:Year>2024</b:Year>
    <b:Author>
      <b:Author>
        <b:Corporate>MITRE</b:Corporate>
      </b:Author>
    </b:Author>
    <b:InternetSiteTitle>MITRE. (2024). Synthea: Synthetic patient and population health data. https://synthea.mitre.org/</b:InternetSiteTitle>
    <b:URL>https://synthea.mitre.org/</b:URL>
    <b:RefOrder>3</b:RefOrder>
  </b:Source>
  <b:Source>
    <b:Tag>Lew20</b:Tag>
    <b:SourceType>ConferenceProceedings</b:SourceType>
    <b:Guid>{40EC1FFF-232D-44EA-94D4-FC70FFF3E87E}</b:Guid>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Title>Retrieval-augmented generation for knowledge-intensive NLP tasks</b:Title>
    <b:Year>2020</b:Year>
    <b:City>Red Hook, NY</b:City>
    <b:Publisher>Curran Associates, Inc.</b:Publisher>
    <b:RefOrder>1</b:RefOrder>
  </b:Source>
  <b:Source>
    <b:Tag>Liu08</b:Tag>
    <b:SourceType>ConferenceProceedings</b:SourceType>
    <b:Guid>{642CFD8C-20A5-426B-819D-C4B5DF7946B6}</b:Guid>
    <b:Author>
      <b:Author>
        <b:NameList>
          <b:Person>
            <b:Last>Liu</b:Last>
            <b:First>Fei</b:First>
            <b:Middle>Tony</b:Middle>
          </b:Person>
          <b:Person>
            <b:Last>Ting</b:Last>
            <b:First>Kai</b:First>
            <b:Middle>Ming</b:Middle>
          </b:Person>
          <b:Person>
            <b:Last>Zhou</b:Last>
            <b:First>Zhi-Hua</b:First>
          </b:Person>
        </b:NameList>
      </b:Author>
    </b:Author>
    <b:Title>Isolation Forest</b:Title>
    <b:Pages>413–422</b:Pages>
    <b:Year>2008</b:Year>
    <b:ConferenceName>IEEE International Conference on Data Mining (ICDM 2008)</b:ConferenceName>
    <b:City>Pisa, Italy</b:City>
    <b:Publisher>IEEE</b:Publisher>
    <b:RefOrder>4</b:RefOrder>
  </b:Source>
  <b:Source>
    <b:Tag>Cot24</b:Tag>
    <b:SourceType>InternetSite</b:SourceType>
    <b:Guid>{993EF504-D613-44E0-A38F-EDAEF5922AAA}</b:Guid>
    <b:Title>Payment Integrity Solutions</b:Title>
    <b:Year>2024</b:Year>
    <b:Author>
      <b:Author>
        <b:Corporate>Cotiviti</b:Corporate>
      </b:Author>
    </b:Author>
    <b:InternetSiteTitle>Cotiviti</b:InternetSiteTitle>
    <b:URL>https://www.cotiviti.com/solutions/payment-integrity</b:URL>
    <b:RefOrder>5</b:RefOrder>
  </b:Source>
  <b:Source>
    <b:Tag>Cog24</b:Tag>
    <b:SourceType>InternetSite</b:SourceType>
    <b:Guid>{A60FA8E1-0364-4981-A5AF-62FBE1D821A1}</b:Guid>
    <b:Author>
      <b:Author>
        <b:Corporate>Cognizant</b:Corporate>
      </b:Author>
    </b:Author>
    <b:Title>Enhancing claims processing automation with agentic AI</b:Title>
    <b:InternetSiteTitle>Cognizant</b:InternetSiteTitle>
    <b:Year>2024</b:Year>
    <b:URL>https://www.cognizant.com/us/en/insights/insights-blog/agentic-ai-for-claims-processing</b:URL>
    <b:RefOrder>6</b:RefOrder>
  </b:Source>
  <b:Source>
    <b:Tag>Bre01</b:Tag>
    <b:SourceType>JournalArticle</b:SourceType>
    <b:Guid>{5F7AE5C2-BE7B-48E9-8D55-0E2EE18D572E}</b:Guid>
    <b:Title>Random forests</b:Title>
    <b:Year>2001</b:Year>
    <b:Author>
      <b:Author>
        <b:NameList>
          <b:Person>
            <b:Last>Breiman</b:Last>
            <b:First>Leo</b:First>
          </b:Person>
        </b:NameList>
      </b:Author>
    </b:Author>
    <b:JournalName>Machine Learning</b:JournalName>
    <b:Pages>5–32</b:Pages>
    <b:RefOrder>7</b:RefOrder>
  </b:Source>
</b:Sources>
</file>

<file path=customXml/itemProps1.xml><?xml version="1.0" encoding="utf-8"?>
<ds:datastoreItem xmlns:ds="http://schemas.openxmlformats.org/officeDocument/2006/customXml" ds:itemID="{071FB441-56EE-413C-B1FA-44BFF3E2F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4</Pages>
  <Words>617</Words>
  <Characters>4233</Characters>
  <Application>Microsoft Office Word</Application>
  <DocSecurity>0</DocSecurity>
  <Lines>56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Maithili Annavarapu</cp:lastModifiedBy>
  <cp:revision>5</cp:revision>
  <dcterms:created xsi:type="dcterms:W3CDTF">2026-06-27T18:44:00Z</dcterms:created>
  <dcterms:modified xsi:type="dcterms:W3CDTF">2026-06-28T01:04:00Z</dcterms:modified>
</cp:coreProperties>
</file>