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13"/>
        <w:gridCol w:w="3212"/>
        <w:gridCol w:w="3213"/>
      </w:tblGrid>
      <w:t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1247775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247775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971675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167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</w:pPr>
    </w:p>
    <w:p>
      <w:pPr>
        <w:spacing w:after="30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0"/>
          <w:szCs w:val="20"/>
        </w:rPr>
        <w:t xml:space="preserve">Projet « Participation Active de la Société Civile pour la Transparence Budgétaire en Côte d'Ivoire » (PACT BUDGÉTAIRE)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73763"/>
          <w:sz w:val="34"/>
          <w:szCs w:val="34"/>
        </w:rPr>
        <w:t xml:space="preserve">PROPOSITION DE COMPOSITION DU JURY</w:t>
      </w:r>
    </w:p>
    <w:p>
      <w:pPr>
        <w:pBdr>
          <w:bottom w:val="single" w:color="073763" w:sz="12" w:space="8"/>
        </w:pBdr>
        <w:spacing w:after="36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Concours national de la transparence budgétaire dans les écoles et universités — Sous-activités 2.2.1 et 2.2.2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0"/>
          <w:szCs w:val="20"/>
        </w:rPr>
        <w:t xml:space="preserve">Document de travail — version du 21 septembre 2026, soumise à validation lors de l’atelier des 15 et 16 octobre 2026.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aps/>
          <w:color w:val="073763"/>
          <w:sz w:val="28"/>
          <w:szCs w:val="28"/>
        </w:rPr>
        <w:t xml:space="preserve">1. Architecture proposée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jury proposé compte sept (7) membres votants — un nombre impair qui évite les égalités de voix —, trois (3) suppléants et des observateurs sans droit de vote. Il est organisé par profil et par institution : à l’exception des deux personnes déjà connues du projet, les membres seront désignés par les institutions sollicitées.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aps/>
          <w:color w:val="073763"/>
          <w:sz w:val="28"/>
          <w:szCs w:val="28"/>
        </w:rPr>
        <w:t xml:space="preserve">2. Membres votants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600"/>
        <w:gridCol w:w="2600"/>
        <w:gridCol w:w="2238"/>
      </w:tblGrid>
      <w:tr>
        <w:trPr>
          <w:tblHeader/>
        </w:trPr>
        <w:tc>
          <w:tcPr>
            <w:tcW w:type="dxa" w:w="500"/>
            <w:shd w:fill="07376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N°</w:t>
            </w:r>
          </w:p>
        </w:tc>
        <w:tc>
          <w:tcPr>
            <w:tcW w:type="dxa" w:w="1700"/>
            <w:shd w:fill="07376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RÔLE</w:t>
            </w:r>
          </w:p>
        </w:tc>
        <w:tc>
          <w:tcPr>
            <w:tcW w:type="dxa" w:w="2600"/>
            <w:shd w:fill="07376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PROFIL RECHERCHÉ</w:t>
            </w:r>
          </w:p>
        </w:tc>
        <w:tc>
          <w:tcPr>
            <w:tcW w:type="dxa" w:w="2600"/>
            <w:shd w:fill="07376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INSTITUTION PRESSENTIE</w:t>
            </w:r>
          </w:p>
        </w:tc>
        <w:tc>
          <w:tcPr>
            <w:tcW w:type="dxa" w:w="2238"/>
            <w:shd w:fill="07376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APPORT</w:t>
            </w:r>
          </w:p>
        </w:tc>
      </w:tr>
      <w:tr>
        <w:trPr>
          <w:cantSplit/>
        </w:trPr>
        <w:tc>
          <w:tcPr>
            <w:tcW w:type="dxa" w:w="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Président(e) du jury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Enseignant-chercheur en finances publiques ou en économie publique, reconnu et indépendant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UFR Sciences économiques et de gestion, Université Félix Houphouët-Boigny (ou Université Alassane Ouattara, Bouaké)</w:t>
            </w:r>
          </w:p>
        </w:tc>
        <w:tc>
          <w:tcPr>
            <w:tcW w:type="dxa" w:w="22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Crédibilité scientifique et neutralité vis-à-vis des établissements candidats</w:t>
            </w:r>
          </w:p>
        </w:tc>
      </w:tr>
      <w:tr>
        <w:trPr>
          <w:cantSplit/>
        </w:trPr>
        <w:tc>
          <w:tcPr>
            <w:tcW w:type="dxa" w:w="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Expert en finances publiques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Cadre chargé de la communication budgétaire ou du budget citoyen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DGBF — Ministère de l’Économie, des Finances et du Budget</w:t>
            </w:r>
          </w:p>
        </w:tc>
        <w:tc>
          <w:tcPr>
            <w:tcW w:type="dxa" w:w="22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Évaluation de la pertinence budgétaire réelle des projets</w:t>
            </w:r>
          </w:p>
        </w:tc>
      </w:tr>
      <w:tr>
        <w:trPr>
          <w:cantSplit/>
        </w:trPr>
        <w:tc>
          <w:tcPr>
            <w:tcW w:type="dxa" w:w="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Expert pédagogique (secondaire)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Inspecteur pédagogique ou responsable de la vie scolaire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MENAET — à désigner par le point focal</w:t>
            </w:r>
          </w:p>
        </w:tc>
        <w:tc>
          <w:tcPr>
            <w:tcW w:type="dxa" w:w="22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Appréciation du réalisme des projets portés par des élèves</w:t>
            </w:r>
          </w:p>
        </w:tc>
      </w:tr>
      <w:tr>
        <w:trPr>
          <w:cantSplit/>
        </w:trPr>
        <w:tc>
          <w:tcPr>
            <w:tcW w:type="dxa" w:w="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Expert enseignement supérieur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Responsable de la vie universitaire ou de l’innovation étudiante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MESRS — à désigner par le point focal</w:t>
            </w:r>
          </w:p>
        </w:tc>
        <w:tc>
          <w:tcPr>
            <w:tcW w:type="dxa" w:w="22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Appréciation des projets portés par des étudiants</w:t>
            </w:r>
          </w:p>
        </w:tc>
      </w:tr>
      <w:tr>
        <w:trPr>
          <w:cantSplit/>
        </w:trPr>
        <w:tc>
          <w:tcPr>
            <w:tcW w:type="dxa" w:w="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Société civile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Membre expérimenté en analyse et plaidoyer budgétaires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Réseau COST Budget CIV</w:t>
            </w:r>
          </w:p>
        </w:tc>
        <w:tc>
          <w:tcPr>
            <w:tcW w:type="dxa" w:w="22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Regard des OSC et lien avec le plaidoyer budgétaire</w:t>
            </w:r>
          </w:p>
        </w:tc>
      </w:tr>
      <w:tr>
        <w:trPr>
          <w:cantSplit/>
        </w:trPr>
        <w:tc>
          <w:tcPr>
            <w:tcW w:type="dxa" w:w="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Gouvernement ouvert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Membre du Comité technique OGP, sur proposition de Mme ANGOUA Chantal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CT-OGP — Ministère du Commerce, de l’Industrie et de l’Artisanat</w:t>
            </w:r>
          </w:p>
        </w:tc>
        <w:tc>
          <w:tcPr>
            <w:tcW w:type="dxa" w:w="22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Passerelle avec l’atelier 2.1.4 et le PAN 6 : les projets primés peuvent y être valorisés</w:t>
            </w:r>
          </w:p>
        </w:tc>
      </w:tr>
      <w:tr>
        <w:trPr>
          <w:cantSplit/>
        </w:trPr>
        <w:tc>
          <w:tcPr>
            <w:tcW w:type="dxa" w:w="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Jeunesse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Représentant(e) d’une organisation nationale de jeunesse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Conseil national des jeunes de Côte d’Ivoire (CNJCI) ou Ministère de la Promotion de la Jeunesse</w:t>
            </w:r>
          </w:p>
        </w:tc>
        <w:tc>
          <w:tcPr>
            <w:tcW w:type="dxa" w:w="22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Voix des jeunes, public cible du concours</w:t>
            </w:r>
          </w:p>
        </w:tc>
      </w:tr>
    </w:tbl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aps/>
          <w:color w:val="073763"/>
          <w:sz w:val="28"/>
          <w:szCs w:val="28"/>
        </w:rPr>
        <w:t xml:space="preserve">3. Suppléants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00"/>
        <w:gridCol w:w="4738"/>
      </w:tblGrid>
      <w:tr>
        <w:trPr>
          <w:tblHeader/>
        </w:trPr>
        <w:tc>
          <w:tcPr>
            <w:tcW w:type="dxa" w:w="600"/>
            <w:shd w:fill="07376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N°</w:t>
            </w:r>
          </w:p>
        </w:tc>
        <w:tc>
          <w:tcPr>
            <w:tcW w:type="dxa" w:w="4300"/>
            <w:shd w:fill="07376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PROFIL RECHERCHÉ</w:t>
            </w:r>
          </w:p>
        </w:tc>
        <w:tc>
          <w:tcPr>
            <w:tcW w:type="dxa" w:w="4738"/>
            <w:shd w:fill="07376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INSTITUTION PRESSENTIE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S1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Journaliste spécialisé en économie ou en finances publiques</w:t>
            </w:r>
          </w:p>
        </w:tc>
        <w:tc>
          <w:tcPr>
            <w:tcW w:type="dxa" w:w="47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Média partenaire (RTI, en lien avec la convention 2.1.2) ou presse économique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S2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Expert en innovation numérique ou civic tech</w:t>
            </w:r>
          </w:p>
        </w:tc>
        <w:tc>
          <w:tcPr>
            <w:tcW w:type="dxa" w:w="47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Incubateur universitaire ou fab lab — utile si de nombreux projets sont des outils numériques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S3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Représentant(e) d’une organisation faîtière de personnes en situation de handicap ou de femmes</w:t>
            </w:r>
          </w:p>
        </w:tc>
        <w:tc>
          <w:tcPr>
            <w:tcW w:type="dxa" w:w="47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OSC faîtière déjà mobilisée sur les activités 1.2.x</w:t>
            </w:r>
          </w:p>
        </w:tc>
      </w:tr>
    </w:tbl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aps/>
          <w:color w:val="073763"/>
          <w:sz w:val="28"/>
          <w:szCs w:val="28"/>
        </w:rPr>
        <w:t xml:space="preserve">4. Observateurs sans droit de vote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shd w:fill="07376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STRUCTURE</w:t>
            </w:r>
          </w:p>
        </w:tc>
        <w:tc>
          <w:tcPr>
            <w:tcW w:type="dxa" w:w="6138"/>
            <w:shd w:fill="07376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3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Délégation de l’Union européenne</w:t>
            </w:r>
          </w:p>
        </w:tc>
        <w:tc>
          <w:tcPr>
            <w:tcW w:type="dxa" w:w="61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Observe le processus sans voter, afin de préserver la neutralité du bailleur.</w:t>
            </w:r>
          </w:p>
        </w:tc>
      </w:tr>
      <w:tr>
        <w:trPr>
          <w:cantSplit/>
        </w:trPr>
        <w:tc>
          <w:tcPr>
            <w:tcW w:type="dxa" w:w="3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CAEF / Assemblée nationale — M. ALLANGBA, point focal</w:t>
            </w:r>
          </w:p>
        </w:tc>
        <w:tc>
          <w:tcPr>
            <w:tcW w:type="dxa" w:w="61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Invitation à la délibération ou à la cérémonie : occasion de faire vivre la relation avec la Commission sur le volet parlementaire du projet.</w:t>
            </w:r>
          </w:p>
        </w:tc>
      </w:tr>
      <w:tr>
        <w:trPr>
          <w:cantSplit/>
        </w:trPr>
        <w:tc>
          <w:tcPr>
            <w:tcW w:type="dxa" w:w="3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ONG Social Justice et IBP — secrétariat technique</w:t>
            </w:r>
          </w:p>
        </w:tc>
        <w:tc>
          <w:tcPr>
            <w:tcW w:type="dxa" w:w="61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Organisation des séances, préparation de la grille et présélection des dossiers, sans droit de vote, afin qu’aucun classement ne puisse être contesté pour cause de conflit d’intérêts.</w:t>
            </w:r>
          </w:p>
        </w:tc>
      </w:tr>
    </w:tbl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aps/>
          <w:color w:val="073763"/>
          <w:sz w:val="28"/>
          <w:szCs w:val="28"/>
        </w:rPr>
        <w:t xml:space="preserve">5. Règles de composition et de fonctionnement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Parité : au moins trois (3) femmes parmi les sept (7) membres votants, en cohérence avec la cible de 50 % du cadre logique ; au moins une personne jeune et une personne en situation de handicap parmi les votants ou les suppléants.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Indépendance : chaque membre signe une déclaration d’absence de conflit d’intérêts. Un membre lié à un établissement candidat s’abstient de noter cet établissement.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Cour des comptes : il est préférable de ne pas solliciter un magistrat en activité, en raison du devoir de réserve. Un magistrat honoraire peut en revanche présider le jury, à la place de l’universitaire.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Deux collèges de notation, pour un même jury : l’un pour l’enseignement secondaire, l’autre pour l’enseignement supérieur. Chaque membre note individuellement avec la grille validée ; le classement résulte de la moyenne des notes.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Secrétariat : assuré par Social Justice, avec l’appui technique d’IBP, sans droit de vote. Chaque séance donne lieu à un procès-verbal signé par le Président ou la Présidente du jury.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aps/>
          <w:color w:val="073763"/>
          <w:sz w:val="28"/>
          <w:szCs w:val="28"/>
        </w:rPr>
        <w:t xml:space="preserve">6. Étapes de constitution du jury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800"/>
        <w:gridCol w:w="1938"/>
      </w:tblGrid>
      <w:tr>
        <w:trPr>
          <w:tblHeader/>
        </w:trPr>
        <w:tc>
          <w:tcPr>
            <w:tcW w:type="dxa" w:w="1900"/>
            <w:shd w:fill="07376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ÉCHÉANCE</w:t>
            </w:r>
          </w:p>
        </w:tc>
        <w:tc>
          <w:tcPr>
            <w:tcW w:type="dxa" w:w="5800"/>
            <w:shd w:fill="07376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ÉTAPE</w:t>
            </w:r>
          </w:p>
        </w:tc>
        <w:tc>
          <w:tcPr>
            <w:tcW w:type="dxa" w:w="1938"/>
            <w:shd w:fill="07376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Fin sept. 2026</w:t>
            </w:r>
          </w:p>
        </w:tc>
        <w:tc>
          <w:tcPr>
            <w:tcW w:type="dxa" w:w="5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Demande de désignation d’un membre adressée au MENAET et au MESRS (en complément des courriers d’autorisation)</w:t>
            </w:r>
          </w:p>
        </w:tc>
        <w:tc>
          <w:tcPr>
            <w:tcW w:type="dxa" w:w="19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Social Justice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15-16 oct. 2026</w:t>
            </w:r>
          </w:p>
        </w:tc>
        <w:tc>
          <w:tcPr>
            <w:tcW w:type="dxa" w:w="5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Validation des règles de composition du jury lors de l’atelier 2.2.1.1</w:t>
            </w:r>
          </w:p>
        </w:tc>
        <w:tc>
          <w:tcPr>
            <w:tcW w:type="dxa" w:w="19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Participants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17-23 oct. 2026</w:t>
            </w:r>
          </w:p>
        </w:tc>
        <w:tc>
          <w:tcPr>
            <w:tcW w:type="dxa" w:w="5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Envoi des courriers de sollicitation aux autres institutions ; recueil des désignations</w:t>
            </w:r>
          </w:p>
        </w:tc>
        <w:tc>
          <w:tcPr>
            <w:tcW w:type="dxa" w:w="19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Social Justice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Avant le 29 oct. 2026</w:t>
            </w:r>
          </w:p>
        </w:tc>
        <w:tc>
          <w:tcPr>
            <w:tcW w:type="dxa" w:w="5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Signature des déclarations d’absence de conflit d’intérêts</w:t>
            </w:r>
          </w:p>
        </w:tc>
        <w:tc>
          <w:tcPr>
            <w:tcW w:type="dxa" w:w="19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Membres du jury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29 oct. 2026</w:t>
            </w:r>
          </w:p>
        </w:tc>
        <w:tc>
          <w:tcPr>
            <w:tcW w:type="dxa" w:w="5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Installation officielle du jury lors du lancement du concours (2.2.1.3)</w:t>
            </w:r>
          </w:p>
        </w:tc>
        <w:tc>
          <w:tcPr>
            <w:tcW w:type="dxa" w:w="19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SJ / Président(e)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Semaine du 7 déc. 2026</w:t>
            </w:r>
          </w:p>
        </w:tc>
        <w:tc>
          <w:tcPr>
            <w:tcW w:type="dxa" w:w="5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Dépouillement et délibération</w:t>
            </w:r>
          </w:p>
        </w:tc>
        <w:tc>
          <w:tcPr>
            <w:tcW w:type="dxa" w:w="19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Jury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4"/>
          <w:szCs w:val="24"/>
        </w:rPr>
        <w:t xml:space="preserve">Point de vigilance : le jury étant installé officiellement le 29 octobre 2026, les demandes de désignation doivent partir immédiatement après l’atelier des 15 et 16 octobre — et dès à présent pour le MENAET et le MESRS.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266683f6f7dc13df526393190ae9e358bbf3a6f.jpg"/><Relationship Id="rId8" Type="http://schemas.openxmlformats.org/officeDocument/2006/relationships/image" Target="media/b4945483567793711e2fab82e9be362cbb7f936d.png"/><Relationship Id="rId9" Type="http://schemas.openxmlformats.org/officeDocument/2006/relationships/image" Target="media/03cc8960b4ab1c71b272114fc570435f09c2696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 de composition du jury — Concours national de la transparence budgétaire</dc:title>
  <dc:creator>ONG Social Justice</dc:creator>
  <cp:lastModifiedBy>Un-named</cp:lastModifiedBy>
  <cp:revision>1</cp:revision>
  <dcterms:created xsi:type="dcterms:W3CDTF">2026-09-21T15:13:52.773Z</dcterms:created>
  <dcterms:modified xsi:type="dcterms:W3CDTF">2026-09-21T15:13:52.784Z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