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3"/>
        <w:gridCol w:w="3212"/>
        <w:gridCol w:w="3213"/>
      </w:tblGrid>
      <w:tr>
        <w:tc>
          <w:tcPr>
            <w:tcW w:type="dxa" w:w="3213"/>
            <w:tcBorders>
              <w:top w:val="none" w:color="FFFFFF" w:sz="0"/>
              <w:left w:val="none" w:color="FFFFFF" w:sz="0"/>
              <w:bottom w:val="none" w:color="FFFFFF" w:sz="0"/>
              <w:right w:val="none" w:color="FFFFFF" w:sz="0"/>
            </w:tcBorders>
            <w:vAlign w:val="center"/>
          </w:tcPr>
          <w:p>
            <w:pPr>
              <w:jc w:val="left"/>
            </w:pPr>
            <w:r>
              <w:drawing>
                <wp:inline distT="0" distB="0" distL="0" distR="0">
                  <wp:extent cx="1247775"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47775" cy="762000"/>
                          </a:xfrm>
                          <a:prstGeom prst="rect">
                            <a:avLst/>
                          </a:prstGeom>
                        </pic:spPr>
                      </pic:pic>
                    </a:graphicData>
                  </a:graphic>
                </wp:inline>
              </w:drawing>
            </w:r>
          </w:p>
        </w:tc>
        <w:tc>
          <w:tcPr>
            <w:tcW w:type="dxa" w:w="3213"/>
            <w:tcBorders>
              <w:top w:val="none" w:color="FFFFFF" w:sz="0"/>
              <w:left w:val="none" w:color="FFFFFF" w:sz="0"/>
              <w:bottom w:val="none" w:color="FFFFFF" w:sz="0"/>
              <w:right w:val="none" w:color="FFFFFF" w:sz="0"/>
            </w:tcBorders>
            <w:vAlign w:val="center"/>
          </w:tcPr>
          <w:p>
            <w:pPr>
              <w:jc w:val="center"/>
            </w:pPr>
            <w:r>
              <w:drawing>
                <wp:inline distT="0" distB="0" distL="0" distR="0">
                  <wp:extent cx="1247775"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47775" cy="762000"/>
                          </a:xfrm>
                          <a:prstGeom prst="rect">
                            <a:avLst/>
                          </a:prstGeom>
                        </pic:spPr>
                      </pic:pic>
                    </a:graphicData>
                  </a:graphic>
                </wp:inline>
              </w:drawing>
            </w:r>
          </w:p>
        </w:tc>
        <w:tc>
          <w:tcPr>
            <w:tcW w:type="dxa" w:w="3213"/>
            <w:tcBorders>
              <w:top w:val="none" w:color="FFFFFF" w:sz="0"/>
              <w:left w:val="none" w:color="FFFFFF" w:sz="0"/>
              <w:bottom w:val="none" w:color="FFFFFF" w:sz="0"/>
              <w:right w:val="none" w:color="FFFFFF" w:sz="0"/>
            </w:tcBorders>
            <w:vAlign w:val="center"/>
          </w:tcPr>
          <w:p>
            <w:pPr>
              <w:jc w:val="right"/>
            </w:pPr>
            <w:r>
              <w:drawing>
                <wp:inline distT="0" distB="0" distL="0" distR="0">
                  <wp:extent cx="1971675"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71675" cy="762000"/>
                          </a:xfrm>
                          <a:prstGeom prst="rect">
                            <a:avLst/>
                          </a:prstGeom>
                        </pic:spPr>
                      </pic:pic>
                    </a:graphicData>
                  </a:graphic>
                </wp:inline>
              </w:drawing>
            </w:r>
          </w:p>
        </w:tc>
      </w:tr>
    </w:tbl>
    <w:p>
      <w:pPr>
        <w:spacing w:after="400"/>
      </w:pPr>
    </w:p>
    <w:p>
      <w:pPr>
        <w:spacing w:after="60" w:line="276"/>
        <w:jc w:val="center"/>
      </w:pPr>
      <w:r>
        <w:rPr>
          <w:rFonts w:ascii="Calibri" w:cs="Calibri" w:eastAsia="Calibri" w:hAnsi="Calibri"/>
          <w:b/>
          <w:bCs/>
          <w:i w:val="false"/>
          <w:iCs w:val="false"/>
          <w:color w:val="000000"/>
          <w:sz w:val="22"/>
          <w:szCs w:val="22"/>
        </w:rPr>
        <w:t xml:space="preserve">ONG SOCIAL JUSTICE  |  INTERNATIONAL BUDGET PARTNERSHIP (IBP)</w:t>
      </w:r>
    </w:p>
    <w:p>
      <w:pPr>
        <w:spacing w:after="60" w:line="276"/>
        <w:jc w:val="center"/>
      </w:pPr>
      <w:r>
        <w:rPr>
          <w:rFonts w:ascii="Calibri" w:cs="Calibri" w:eastAsia="Calibri" w:hAnsi="Calibri"/>
          <w:b w:val="false"/>
          <w:bCs w:val="false"/>
          <w:i/>
          <w:iCs/>
          <w:color w:val="000000"/>
          <w:sz w:val="20"/>
          <w:szCs w:val="20"/>
        </w:rPr>
        <w:t xml:space="preserve">Projet « Participation Active de la Société Civile pour la Transparence Budgétaire en Côte d'Ivoire » (PACT BUDGÉTAIRE)</w:t>
      </w:r>
    </w:p>
    <w:p>
      <w:pPr>
        <w:spacing w:after="900" w:line="276"/>
        <w:jc w:val="center"/>
      </w:pPr>
      <w:r>
        <w:rPr>
          <w:rFonts w:ascii="Calibri" w:cs="Calibri" w:eastAsia="Calibri" w:hAnsi="Calibri"/>
          <w:b w:val="false"/>
          <w:bCs w:val="false"/>
          <w:i/>
          <w:iCs/>
          <w:color w:val="000000"/>
          <w:sz w:val="20"/>
          <w:szCs w:val="20"/>
        </w:rPr>
        <w:t xml:space="preserve">Contrat NDICI AFRICA/2025/483938 — Financement de l’Union européenne</w:t>
      </w:r>
    </w:p>
    <w:p>
      <w:pPr>
        <w:pBdr>
          <w:bottom w:val="single" w:color="073763" w:sz="12" w:space="10"/>
        </w:pBdr>
        <w:spacing w:after="500"/>
        <w:jc w:val="center"/>
      </w:pPr>
      <w:r>
        <w:rPr>
          <w:rFonts w:ascii="Calibri" w:cs="Calibri" w:eastAsia="Calibri" w:hAnsi="Calibri"/>
          <w:b/>
          <w:bCs/>
          <w:color w:val="073763"/>
          <w:sz w:val="44"/>
          <w:szCs w:val="44"/>
        </w:rPr>
        <w:t xml:space="preserve">TERMES DE RÉFÉRENCE</w:t>
      </w:r>
    </w:p>
    <w:p>
      <w:pPr>
        <w:spacing w:after="700" w:line="276"/>
        <w:jc w:val="center"/>
      </w:pPr>
      <w:r>
        <w:rPr>
          <w:rFonts w:ascii="Calibri" w:cs="Calibri" w:eastAsia="Calibri" w:hAnsi="Calibri"/>
          <w:b/>
          <w:bCs/>
          <w:i w:val="false"/>
          <w:iCs w:val="false"/>
          <w:color w:val="000000"/>
          <w:sz w:val="30"/>
          <w:szCs w:val="30"/>
        </w:rPr>
        <w:t xml:space="preserve">ATELIER MULTIPARTITE D’ÉLABORATION DES CRITÈRES DE SÉLECTION DES ÉCOLES ET UNIVERSITÉS PARTICIPANT AU CONCOURS NATIONAL DE LA TRANSPARENCE BUDGÉTAIRE</w:t>
      </w:r>
    </w:p>
    <w:p>
      <w:pPr>
        <w:spacing w:after="80" w:line="276"/>
        <w:jc w:val="center"/>
      </w:pPr>
      <w:r>
        <w:rPr>
          <w:rFonts w:ascii="Calibri" w:cs="Calibri" w:eastAsia="Calibri" w:hAnsi="Calibri"/>
          <w:b w:val="false"/>
          <w:bCs w:val="false"/>
          <w:i w:val="false"/>
          <w:iCs w:val="false"/>
          <w:color w:val="000000"/>
          <w:sz w:val="22"/>
          <w:szCs w:val="22"/>
        </w:rPr>
        <w:t xml:space="preserve">Résultat 2 — Sous-activité 2.2.1.1 du PTA opérationnel Année 2, Semestre 1</w:t>
      </w:r>
    </w:p>
    <w:p>
      <w:pPr>
        <w:spacing w:after="900" w:line="276"/>
        <w:jc w:val="center"/>
      </w:pPr>
      <w:r>
        <w:rPr>
          <w:rFonts w:ascii="Calibri" w:cs="Calibri" w:eastAsia="Calibri" w:hAnsi="Calibri"/>
          <w:b w:val="false"/>
          <w:bCs w:val="false"/>
          <w:i/>
          <w:iCs/>
          <w:color w:val="000000"/>
          <w:sz w:val="22"/>
          <w:szCs w:val="22"/>
        </w:rPr>
        <w:t xml:space="preserve">intégrant la séance de travail sur les critères du jury (sous-activité 2.2.2)</w:t>
      </w:r>
    </w:p>
    <w:p>
      <w:pPr>
        <w:spacing w:after="0" w:line="276"/>
        <w:jc w:val="center"/>
      </w:pPr>
      <w:r>
        <w:rPr>
          <w:rFonts w:ascii="Calibri" w:cs="Calibri" w:eastAsia="Calibri" w:hAnsi="Calibri"/>
          <w:b/>
          <w:bCs/>
          <w:i w:val="false"/>
          <w:iCs w:val="false"/>
          <w:color w:val="000000"/>
          <w:sz w:val="26"/>
          <w:szCs w:val="26"/>
        </w:rPr>
        <w:t xml:space="preserve">ABIDJAN — 15 ET 16 OCTOBRE 2026</w:t>
      </w:r>
    </w:p>
    <w:p>
      <w:r>
        <w:br w:type="page"/>
      </w:r>
    </w:p>
    <w:p>
      <w:pPr>
        <w:pStyle w:val="Heading1"/>
        <w:spacing w:after="180" w:before="320"/>
      </w:pPr>
      <w:r>
        <w:rPr>
          <w:rFonts w:ascii="Calibri" w:cs="Calibri" w:eastAsia="Calibri" w:hAnsi="Calibri"/>
          <w:b/>
          <w:bCs/>
          <w:caps/>
          <w:color w:val="073763"/>
          <w:sz w:val="28"/>
          <w:szCs w:val="28"/>
        </w:rPr>
        <w:t xml:space="preserve">1. Contexte et justifications</w:t>
      </w:r>
    </w:p>
    <w:p>
      <w:pPr>
        <w:spacing w:after="160" w:line="276"/>
        <w:jc w:val="both"/>
      </w:pPr>
      <w:r>
        <w:rPr>
          <w:rFonts w:ascii="Calibri" w:cs="Calibri" w:eastAsia="Calibri" w:hAnsi="Calibri"/>
          <w:b w:val="false"/>
          <w:bCs w:val="false"/>
          <w:i w:val="false"/>
          <w:iCs w:val="false"/>
          <w:color w:val="000000"/>
          <w:sz w:val="24"/>
          <w:szCs w:val="24"/>
        </w:rPr>
        <w:t xml:space="preserve">Le projet PACT Budgétaire, mis en œuvre par l’ONG Social Justice et International Budget Partnership (IBP) avec le soutien financier de l’Union européenne, vise à contribuer à une gestion des finances publiques responsable, inclusive et redevable en Côte d’Ivoire. Son Résultat 2 porte sur le renforcement des mécanismes de transparence et des opportunités de participation citoyenne dans le processus budgétaire.</w:t>
      </w:r>
    </w:p>
    <w:p>
      <w:pPr>
        <w:spacing w:after="160" w:line="276"/>
        <w:jc w:val="both"/>
      </w:pPr>
      <w:r>
        <w:rPr>
          <w:rFonts w:ascii="Calibri" w:cs="Calibri" w:eastAsia="Calibri" w:hAnsi="Calibri"/>
          <w:b w:val="false"/>
          <w:bCs w:val="false"/>
          <w:i w:val="false"/>
          <w:iCs w:val="false"/>
          <w:color w:val="000000"/>
          <w:sz w:val="24"/>
          <w:szCs w:val="24"/>
        </w:rPr>
        <w:t xml:space="preserve">La participation citoyenne demeure le maillon le plus faible du dispositif national. Selon l’Enquête sur le Budget Ouvert (EBO) 2025, elle est évaluée à 6/100, contre 4/100 en 2023, pour une cible de 20/100 en 2027. Pour agir durablement sur cet indicateur, le projet a fait le choix d’investir dans la jeunesse : l’Activité 2.2 prévoit un concours national autour de la transparence budgétaire, par lequel élèves et étudiants sont invités à proposer des innovations citoyennes pour améliorer l’accès à l’information budgétaire, la participation et la redevabilité.</w:t>
      </w:r>
    </w:p>
    <w:p>
      <w:pPr>
        <w:spacing w:after="160" w:line="276"/>
        <w:jc w:val="both"/>
      </w:pPr>
      <w:r>
        <w:rPr>
          <w:rFonts w:ascii="Calibri" w:cs="Calibri" w:eastAsia="Calibri" w:hAnsi="Calibri"/>
          <w:b w:val="false"/>
          <w:bCs w:val="false"/>
          <w:i w:val="false"/>
          <w:iCs w:val="false"/>
          <w:color w:val="000000"/>
          <w:sz w:val="24"/>
          <w:szCs w:val="24"/>
        </w:rPr>
        <w:t xml:space="preserve">Ce concours se déroule en plusieurs étapes enchaînées : l’élaboration des critères de sélection des établissements, le lancement officiel du concours, une caravane d’information dans les établissements, la sélection des projets par un jury, puis la cérémonie de remise du Prix « Hackathon Budget Ouvert » aux trois (3) meilleurs établissements d’enseignement secondaire et aux trois (3) meilleures universités. La note conceptuelle et le plan de communication du Prix annuel de la transparence budgétaire ont été finalisés au cours de l’Année 1.</w:t>
      </w:r>
    </w:p>
    <w:p>
      <w:pPr>
        <w:spacing w:after="160" w:line="276"/>
        <w:jc w:val="both"/>
      </w:pPr>
      <w:r>
        <w:rPr>
          <w:rFonts w:ascii="Calibri" w:cs="Calibri" w:eastAsia="Calibri" w:hAnsi="Calibri"/>
          <w:b w:val="false"/>
          <w:bCs w:val="false"/>
          <w:i w:val="false"/>
          <w:iCs w:val="false"/>
          <w:color w:val="000000"/>
          <w:sz w:val="24"/>
          <w:szCs w:val="24"/>
        </w:rPr>
        <w:t xml:space="preserve">Le présent atelier constitue la première étape de cette chaîne et conditionne toutes les suivantes. Il doit doter le concours de règles claires, objectives et partagées avec les ministères de tutelle, garantes de l’équité entre établissements, de la crédibilité du processus de sélection et de l’inclusion des filles, des élèves et étudiants en situation de handicap et des établissements de l’intérieur du pays. Par souci de cohérence et d’efficience, il intègre la séance de travail sur les critères du jury et la grille de notation initialement prévue au titre de la sous-activité 2.2.2.</w:t>
      </w:r>
    </w:p>
    <w:p>
      <w:pPr>
        <w:pStyle w:val="Heading1"/>
        <w:spacing w:after="180" w:before="320"/>
      </w:pPr>
      <w:r>
        <w:rPr>
          <w:rFonts w:ascii="Calibri" w:cs="Calibri" w:eastAsia="Calibri" w:hAnsi="Calibri"/>
          <w:b/>
          <w:bCs/>
          <w:caps/>
          <w:color w:val="073763"/>
          <w:sz w:val="28"/>
          <w:szCs w:val="28"/>
        </w:rPr>
        <w:t xml:space="preserve">2. Objectif principal</w:t>
      </w:r>
    </w:p>
    <w:p>
      <w:pPr>
        <w:spacing w:after="160" w:line="276"/>
        <w:jc w:val="both"/>
      </w:pPr>
      <w:r>
        <w:rPr>
          <w:rFonts w:ascii="Calibri" w:cs="Calibri" w:eastAsia="Calibri" w:hAnsi="Calibri"/>
          <w:b w:val="false"/>
          <w:bCs w:val="false"/>
          <w:i w:val="false"/>
          <w:iCs w:val="false"/>
          <w:color w:val="000000"/>
          <w:sz w:val="24"/>
          <w:szCs w:val="24"/>
        </w:rPr>
        <w:t xml:space="preserve">L’objectif principal est de définir, de manière concertée avec les acteurs du système éducatif, le cadre réglementaire du concours national de la transparence budgétaire : critères d’éligibilité et de sélection des établissements, règlement du concours, grille d’évaluation des projets et composition du jury.</w:t>
      </w:r>
    </w:p>
    <w:p>
      <w:pPr>
        <w:pStyle w:val="Heading1"/>
        <w:spacing w:after="180" w:before="320"/>
      </w:pPr>
      <w:r>
        <w:rPr>
          <w:rFonts w:ascii="Calibri" w:cs="Calibri" w:eastAsia="Calibri" w:hAnsi="Calibri"/>
          <w:b/>
          <w:bCs/>
          <w:caps/>
          <w:color w:val="073763"/>
          <w:sz w:val="28"/>
          <w:szCs w:val="28"/>
        </w:rPr>
        <w:t xml:space="preserve">3. Objectifs spécifiques</w:t>
      </w:r>
    </w:p>
    <w:p>
      <w:pPr>
        <w:spacing w:after="100" w:line="276"/>
        <w:jc w:val="both"/>
      </w:pPr>
      <w:r>
        <w:rPr>
          <w:rFonts w:ascii="Calibri" w:cs="Calibri" w:eastAsia="Calibri" w:hAnsi="Calibri"/>
          <w:b w:val="false"/>
          <w:bCs w:val="false"/>
          <w:i w:val="false"/>
          <w:iCs w:val="false"/>
          <w:color w:val="000000"/>
          <w:sz w:val="24"/>
          <w:szCs w:val="24"/>
        </w:rPr>
        <w:t xml:space="preserve">De manière spécifique, il s’agira de :</w:t>
      </w:r>
    </w:p>
    <w:p>
      <w:pPr>
        <w:pStyle w:val="ListParagraph"/>
        <w:numPr>
          <w:ilvl w:val="0"/>
          <w:numId w:val="2"/>
        </w:numPr>
        <w:spacing w:after="100" w:line="276"/>
        <w:jc w:val="both"/>
      </w:pPr>
      <w:r>
        <w:rPr>
          <w:rFonts w:ascii="Calibri" w:cs="Calibri" w:eastAsia="Calibri" w:hAnsi="Calibri"/>
          <w:sz w:val="24"/>
          <w:szCs w:val="24"/>
        </w:rPr>
        <w:t xml:space="preserve">définir les critères d’éligibilité et de sélection des établissements d’enseignement secondaire et supérieur participants (répartition géographique, établissements publics et privés, inclusion) ;</w:t>
      </w:r>
    </w:p>
    <w:p>
      <w:pPr>
        <w:pStyle w:val="ListParagraph"/>
        <w:numPr>
          <w:ilvl w:val="0"/>
          <w:numId w:val="2"/>
        </w:numPr>
        <w:spacing w:after="100" w:line="276"/>
        <w:jc w:val="both"/>
      </w:pPr>
      <w:r>
        <w:rPr>
          <w:rFonts w:ascii="Calibri" w:cs="Calibri" w:eastAsia="Calibri" w:hAnsi="Calibri"/>
          <w:sz w:val="24"/>
          <w:szCs w:val="24"/>
        </w:rPr>
        <w:t xml:space="preserve">arrêter les catégories de projets admissibles et le format des dossiers de candidature ;</w:t>
      </w:r>
    </w:p>
    <w:p>
      <w:pPr>
        <w:pStyle w:val="ListParagraph"/>
        <w:numPr>
          <w:ilvl w:val="0"/>
          <w:numId w:val="2"/>
        </w:numPr>
        <w:spacing w:after="100" w:line="276"/>
        <w:jc w:val="both"/>
      </w:pPr>
      <w:r>
        <w:rPr>
          <w:rFonts w:ascii="Calibri" w:cs="Calibri" w:eastAsia="Calibri" w:hAnsi="Calibri"/>
          <w:sz w:val="24"/>
          <w:szCs w:val="24"/>
        </w:rPr>
        <w:t xml:space="preserve">élaborer la grille d’évaluation des projets (pertinence, caractère innovant, faisabilité, contribution à l’accès à l’information budgétaire, prise en compte de l’inclusion) ;</w:t>
      </w:r>
    </w:p>
    <w:p>
      <w:pPr>
        <w:pStyle w:val="ListParagraph"/>
        <w:numPr>
          <w:ilvl w:val="0"/>
          <w:numId w:val="2"/>
        </w:numPr>
        <w:spacing w:after="100" w:line="276"/>
        <w:jc w:val="both"/>
      </w:pPr>
      <w:r>
        <w:rPr>
          <w:rFonts w:ascii="Calibri" w:cs="Calibri" w:eastAsia="Calibri" w:hAnsi="Calibri"/>
          <w:sz w:val="24"/>
          <w:szCs w:val="24"/>
        </w:rPr>
        <w:t xml:space="preserve">définir le profil, la composition et les règles de fonctionnement du jury, y compris les garanties d’indépendance et de prévention des conflits d’intérêts ;</w:t>
      </w:r>
    </w:p>
    <w:p>
      <w:pPr>
        <w:pStyle w:val="ListParagraph"/>
        <w:numPr>
          <w:ilvl w:val="0"/>
          <w:numId w:val="2"/>
        </w:numPr>
        <w:spacing w:after="100" w:line="276"/>
        <w:jc w:val="both"/>
      </w:pPr>
      <w:r>
        <w:rPr>
          <w:rFonts w:ascii="Calibri" w:cs="Calibri" w:eastAsia="Calibri" w:hAnsi="Calibri"/>
          <w:sz w:val="24"/>
          <w:szCs w:val="24"/>
        </w:rPr>
        <w:t xml:space="preserve">valider le calendrier du concours et les zones couvertes par la caravane d’information ;</w:t>
      </w:r>
    </w:p>
    <w:p>
      <w:pPr>
        <w:pStyle w:val="ListParagraph"/>
        <w:numPr>
          <w:ilvl w:val="0"/>
          <w:numId w:val="2"/>
        </w:numPr>
        <w:spacing w:after="100" w:line="276"/>
        <w:jc w:val="both"/>
      </w:pPr>
      <w:r>
        <w:rPr>
          <w:rFonts w:ascii="Calibri" w:cs="Calibri" w:eastAsia="Calibri" w:hAnsi="Calibri"/>
          <w:sz w:val="24"/>
          <w:szCs w:val="24"/>
        </w:rPr>
        <w:t xml:space="preserve">désigner les points focaux des ministères de tutelle et des établissements.</w:t>
      </w:r>
    </w:p>
    <w:p>
      <w:pPr>
        <w:pStyle w:val="Heading1"/>
        <w:spacing w:after="180" w:before="320"/>
      </w:pPr>
      <w:r>
        <w:rPr>
          <w:rFonts w:ascii="Calibri" w:cs="Calibri" w:eastAsia="Calibri" w:hAnsi="Calibri"/>
          <w:b/>
          <w:bCs/>
          <w:caps/>
          <w:color w:val="073763"/>
          <w:sz w:val="28"/>
          <w:szCs w:val="28"/>
        </w:rPr>
        <w:t xml:space="preserve">4. Résultats attendus</w:t>
      </w:r>
    </w:p>
    <w:p>
      <w:pPr>
        <w:spacing w:after="100" w:line="276"/>
        <w:jc w:val="both"/>
      </w:pPr>
      <w:r>
        <w:rPr>
          <w:rFonts w:ascii="Calibri" w:cs="Calibri" w:eastAsia="Calibri" w:hAnsi="Calibri"/>
          <w:b w:val="false"/>
          <w:bCs w:val="false"/>
          <w:i w:val="false"/>
          <w:iCs w:val="false"/>
          <w:color w:val="000000"/>
          <w:sz w:val="24"/>
          <w:szCs w:val="24"/>
        </w:rPr>
        <w:t xml:space="preserve">Les résultats attendus sont les suivants :</w:t>
      </w:r>
    </w:p>
    <w:p>
      <w:pPr>
        <w:pStyle w:val="ListParagraph"/>
        <w:numPr>
          <w:ilvl w:val="0"/>
          <w:numId w:val="2"/>
        </w:numPr>
        <w:spacing w:after="100" w:line="276"/>
        <w:jc w:val="both"/>
      </w:pPr>
      <w:r>
        <w:rPr>
          <w:rFonts w:ascii="Calibri" w:cs="Calibri" w:eastAsia="Calibri" w:hAnsi="Calibri"/>
          <w:sz w:val="24"/>
          <w:szCs w:val="24"/>
        </w:rPr>
        <w:t xml:space="preserve">le règlement du concours national est validé par les participants ;</w:t>
      </w:r>
    </w:p>
    <w:p>
      <w:pPr>
        <w:pStyle w:val="ListParagraph"/>
        <w:numPr>
          <w:ilvl w:val="0"/>
          <w:numId w:val="2"/>
        </w:numPr>
        <w:spacing w:after="100" w:line="276"/>
        <w:jc w:val="both"/>
      </w:pPr>
      <w:r>
        <w:rPr>
          <w:rFonts w:ascii="Calibri" w:cs="Calibri" w:eastAsia="Calibri" w:hAnsi="Calibri"/>
          <w:sz w:val="24"/>
          <w:szCs w:val="24"/>
        </w:rPr>
        <w:t xml:space="preserve">les critères d’éligibilité et de sélection des établissements sont arrêtés, distinctement pour l’enseignement secondaire et pour l’enseignement supérieur ;</w:t>
      </w:r>
    </w:p>
    <w:p>
      <w:pPr>
        <w:pStyle w:val="ListParagraph"/>
        <w:numPr>
          <w:ilvl w:val="0"/>
          <w:numId w:val="2"/>
        </w:numPr>
        <w:spacing w:after="100" w:line="276"/>
        <w:jc w:val="both"/>
      </w:pPr>
      <w:r>
        <w:rPr>
          <w:rFonts w:ascii="Calibri" w:cs="Calibri" w:eastAsia="Calibri" w:hAnsi="Calibri"/>
          <w:sz w:val="24"/>
          <w:szCs w:val="24"/>
        </w:rPr>
        <w:t xml:space="preserve">la grille d’évaluation des projets est adoptée ;</w:t>
      </w:r>
    </w:p>
    <w:p>
      <w:pPr>
        <w:pStyle w:val="ListParagraph"/>
        <w:numPr>
          <w:ilvl w:val="0"/>
          <w:numId w:val="2"/>
        </w:numPr>
        <w:spacing w:after="100" w:line="276"/>
        <w:jc w:val="both"/>
      </w:pPr>
      <w:r>
        <w:rPr>
          <w:rFonts w:ascii="Calibri" w:cs="Calibri" w:eastAsia="Calibri" w:hAnsi="Calibri"/>
          <w:sz w:val="24"/>
          <w:szCs w:val="24"/>
        </w:rPr>
        <w:t xml:space="preserve">le profil et la composition du jury sont définis ;</w:t>
      </w:r>
    </w:p>
    <w:p>
      <w:pPr>
        <w:pStyle w:val="ListParagraph"/>
        <w:numPr>
          <w:ilvl w:val="0"/>
          <w:numId w:val="2"/>
        </w:numPr>
        <w:spacing w:after="100" w:line="276"/>
        <w:jc w:val="both"/>
      </w:pPr>
      <w:r>
        <w:rPr>
          <w:rFonts w:ascii="Calibri" w:cs="Calibri" w:eastAsia="Calibri" w:hAnsi="Calibri"/>
          <w:sz w:val="24"/>
          <w:szCs w:val="24"/>
        </w:rPr>
        <w:t xml:space="preserve">le calendrier du concours et la liste des zones de la caravane sont validés ;</w:t>
      </w:r>
    </w:p>
    <w:p>
      <w:pPr>
        <w:pStyle w:val="ListParagraph"/>
        <w:numPr>
          <w:ilvl w:val="0"/>
          <w:numId w:val="2"/>
        </w:numPr>
        <w:spacing w:after="100" w:line="276"/>
        <w:jc w:val="both"/>
      </w:pPr>
      <w:r>
        <w:rPr>
          <w:rFonts w:ascii="Calibri" w:cs="Calibri" w:eastAsia="Calibri" w:hAnsi="Calibri"/>
          <w:sz w:val="24"/>
          <w:szCs w:val="24"/>
        </w:rPr>
        <w:t xml:space="preserve">les points focaux du MENAET, du MESRS et des établissements pré-identifiés sont désignés.</w:t>
      </w:r>
    </w:p>
    <w:p>
      <w:pPr>
        <w:pStyle w:val="Heading1"/>
        <w:spacing w:after="180" w:before="320"/>
      </w:pPr>
      <w:r>
        <w:rPr>
          <w:rFonts w:ascii="Calibri" w:cs="Calibri" w:eastAsia="Calibri" w:hAnsi="Calibri"/>
          <w:b/>
          <w:bCs/>
          <w:caps/>
          <w:color w:val="073763"/>
          <w:sz w:val="28"/>
          <w:szCs w:val="28"/>
        </w:rPr>
        <w:t xml:space="preserve">5. Méthodologie</w:t>
      </w:r>
    </w:p>
    <w:p>
      <w:pPr>
        <w:spacing w:after="160" w:line="276"/>
        <w:jc w:val="both"/>
      </w:pPr>
      <w:r>
        <w:rPr>
          <w:rFonts w:ascii="Calibri" w:cs="Calibri" w:eastAsia="Calibri" w:hAnsi="Calibri"/>
          <w:b w:val="false"/>
          <w:bCs w:val="false"/>
          <w:i w:val="false"/>
          <w:iCs w:val="false"/>
          <w:color w:val="000000"/>
          <w:sz w:val="24"/>
          <w:szCs w:val="24"/>
        </w:rPr>
        <w:t xml:space="preserve">L’atelier se tiendra sur deux (2) jours et combinera des sessions plénières et des travaux de groupe. La première journée sera consacrée à la présentation du cadre du concours et à l’élaboration des critères de sélection des établissements ; la seconde, à la grille d’évaluation, au jury et au calendrier, puis à la validation en plénière du règlement du concours.</w:t>
      </w:r>
    </w:p>
    <w:p>
      <w:pPr>
        <w:spacing w:after="160" w:line="276"/>
        <w:jc w:val="both"/>
      </w:pPr>
      <w:r>
        <w:rPr>
          <w:rFonts w:ascii="Calibri" w:cs="Calibri" w:eastAsia="Calibri" w:hAnsi="Calibri"/>
          <w:b w:val="false"/>
          <w:bCs w:val="false"/>
          <w:i w:val="false"/>
          <w:iCs w:val="false"/>
          <w:color w:val="000000"/>
          <w:sz w:val="24"/>
          <w:szCs w:val="24"/>
        </w:rPr>
        <w:t xml:space="preserve">Les travaux s’appuieront sur la note conceptuelle du Prix annuel de la transparence budgétaire et sur un projet de règlement du concours préparé par Social Justice avec l’assistance technique d’IBP. Ce projet sera transmis aux participants au moins cinq (5) jours avant l’atelier afin de permettre des échanges approfondis.</w:t>
      </w:r>
    </w:p>
    <w:p>
      <w:pPr>
        <w:spacing w:after="160" w:line="276"/>
        <w:jc w:val="both"/>
      </w:pPr>
      <w:r>
        <w:rPr>
          <w:rFonts w:ascii="Calibri" w:cs="Calibri" w:eastAsia="Calibri" w:hAnsi="Calibri"/>
          <w:b w:val="false"/>
          <w:bCs w:val="false"/>
          <w:i w:val="false"/>
          <w:iCs w:val="false"/>
          <w:color w:val="000000"/>
          <w:sz w:val="24"/>
          <w:szCs w:val="24"/>
        </w:rPr>
        <w:t xml:space="preserve">L’ensemble des supports et de la communication autour de l’atelier respectera les exigences de visibilité de l’Union européenne applicables au projet.</w:t>
      </w:r>
    </w:p>
    <w:p>
      <w:pPr>
        <w:pStyle w:val="Heading1"/>
        <w:spacing w:after="180" w:before="320"/>
      </w:pPr>
      <w:r>
        <w:rPr>
          <w:rFonts w:ascii="Calibri" w:cs="Calibri" w:eastAsia="Calibri" w:hAnsi="Calibri"/>
          <w:b/>
          <w:bCs/>
          <w:caps/>
          <w:color w:val="073763"/>
          <w:sz w:val="28"/>
          <w:szCs w:val="28"/>
        </w:rPr>
        <w:t xml:space="preserve">6. Participants</w:t>
      </w:r>
    </w:p>
    <w:p>
      <w:pPr>
        <w:spacing w:after="100" w:line="276"/>
        <w:jc w:val="both"/>
      </w:pPr>
      <w:r>
        <w:rPr>
          <w:rFonts w:ascii="Calibri" w:cs="Calibri" w:eastAsia="Calibri" w:hAnsi="Calibri"/>
          <w:b w:val="false"/>
          <w:bCs w:val="false"/>
          <w:i w:val="false"/>
          <w:iCs w:val="false"/>
          <w:color w:val="000000"/>
          <w:sz w:val="24"/>
          <w:szCs w:val="24"/>
        </w:rPr>
        <w:t xml:space="preserve">L’atelier réunira entre vingt-cinq (25) et trente (30) participants :</w:t>
      </w:r>
    </w:p>
    <w:p>
      <w:pPr>
        <w:pStyle w:val="ListParagraph"/>
        <w:numPr>
          <w:ilvl w:val="0"/>
          <w:numId w:val="2"/>
        </w:numPr>
        <w:spacing w:after="100" w:line="276"/>
        <w:jc w:val="both"/>
      </w:pPr>
      <w:r>
        <w:rPr>
          <w:rFonts w:ascii="Calibri" w:cs="Calibri" w:eastAsia="Calibri" w:hAnsi="Calibri"/>
          <w:sz w:val="24"/>
          <w:szCs w:val="24"/>
        </w:rPr>
        <w:t xml:space="preserve">les représentants du Ministère de l’Éducation nationale, de l’Alphabétisation et de l’Enseignement technique (MENAET) et du Ministère de l’Enseignement supérieur et de la Recherche scientifique (MESRS) ;</w:t>
      </w:r>
    </w:p>
    <w:p>
      <w:pPr>
        <w:pStyle w:val="ListParagraph"/>
        <w:numPr>
          <w:ilvl w:val="0"/>
          <w:numId w:val="2"/>
        </w:numPr>
        <w:spacing w:after="100" w:line="276"/>
        <w:jc w:val="both"/>
      </w:pPr>
      <w:r>
        <w:rPr>
          <w:rFonts w:ascii="Calibri" w:cs="Calibri" w:eastAsia="Calibri" w:hAnsi="Calibri"/>
          <w:sz w:val="24"/>
          <w:szCs w:val="24"/>
        </w:rPr>
        <w:t xml:space="preserve">des chefs d’établissement d’enseignement secondaire et des représentants des présidences d’universités et des grandes écoles ;</w:t>
      </w:r>
    </w:p>
    <w:p>
      <w:pPr>
        <w:pStyle w:val="ListParagraph"/>
        <w:numPr>
          <w:ilvl w:val="0"/>
          <w:numId w:val="2"/>
        </w:numPr>
        <w:spacing w:after="100" w:line="276"/>
        <w:jc w:val="both"/>
      </w:pPr>
      <w:r>
        <w:rPr>
          <w:rFonts w:ascii="Calibri" w:cs="Calibri" w:eastAsia="Calibri" w:hAnsi="Calibri"/>
          <w:sz w:val="24"/>
          <w:szCs w:val="24"/>
        </w:rPr>
        <w:t xml:space="preserve">des enseignants et encadreurs de clubs scolaires et universitaires ;</w:t>
      </w:r>
    </w:p>
    <w:p>
      <w:pPr>
        <w:pStyle w:val="ListParagraph"/>
        <w:numPr>
          <w:ilvl w:val="0"/>
          <w:numId w:val="2"/>
        </w:numPr>
        <w:spacing w:after="100" w:line="276"/>
        <w:jc w:val="both"/>
      </w:pPr>
      <w:r>
        <w:rPr>
          <w:rFonts w:ascii="Calibri" w:cs="Calibri" w:eastAsia="Calibri" w:hAnsi="Calibri"/>
          <w:sz w:val="24"/>
          <w:szCs w:val="24"/>
        </w:rPr>
        <w:t xml:space="preserve">des représentants d’organisations d’élèves et d’étudiants et d’associations de jeunesse ;</w:t>
      </w:r>
    </w:p>
    <w:p>
      <w:pPr>
        <w:pStyle w:val="ListParagraph"/>
        <w:numPr>
          <w:ilvl w:val="0"/>
          <w:numId w:val="2"/>
        </w:numPr>
        <w:spacing w:after="100" w:line="276"/>
        <w:jc w:val="both"/>
      </w:pPr>
      <w:r>
        <w:rPr>
          <w:rFonts w:ascii="Calibri" w:cs="Calibri" w:eastAsia="Calibri" w:hAnsi="Calibri"/>
          <w:sz w:val="24"/>
          <w:szCs w:val="24"/>
        </w:rPr>
        <w:t xml:space="preserve">la Direction générale du budget et des finances (DGBF), pour l’expertise sur l’information budgétaire ;</w:t>
      </w:r>
    </w:p>
    <w:p>
      <w:pPr>
        <w:pStyle w:val="ListParagraph"/>
        <w:numPr>
          <w:ilvl w:val="0"/>
          <w:numId w:val="2"/>
        </w:numPr>
        <w:spacing w:after="100" w:line="276"/>
        <w:jc w:val="both"/>
      </w:pPr>
      <w:r>
        <w:rPr>
          <w:rFonts w:ascii="Calibri" w:cs="Calibri" w:eastAsia="Calibri" w:hAnsi="Calibri"/>
          <w:sz w:val="24"/>
          <w:szCs w:val="24"/>
        </w:rPr>
        <w:t xml:space="preserve">les OSC membres du réseau COST Budget CIV et les organisations faîtières de jeunes, de femmes et de personnes en situation de handicap ;</w:t>
      </w:r>
    </w:p>
    <w:p>
      <w:pPr>
        <w:pStyle w:val="ListParagraph"/>
        <w:numPr>
          <w:ilvl w:val="0"/>
          <w:numId w:val="2"/>
        </w:numPr>
        <w:spacing w:after="100" w:line="276"/>
        <w:jc w:val="both"/>
      </w:pPr>
      <w:r>
        <w:rPr>
          <w:rFonts w:ascii="Calibri" w:cs="Calibri" w:eastAsia="Calibri" w:hAnsi="Calibri"/>
          <w:sz w:val="24"/>
          <w:szCs w:val="24"/>
        </w:rPr>
        <w:t xml:space="preserve">les médias partenaires, la Délégation de l’Union européenne, IBP et l’ONG Social Justice.</w:t>
      </w:r>
    </w:p>
    <w:p>
      <w:pPr>
        <w:spacing w:after="160" w:line="276"/>
        <w:jc w:val="both"/>
      </w:pPr>
      <w:r>
        <w:rPr>
          <w:rFonts w:ascii="Calibri" w:cs="Calibri" w:eastAsia="Calibri" w:hAnsi="Calibri"/>
          <w:b w:val="false"/>
          <w:bCs w:val="false"/>
          <w:i w:val="false"/>
          <w:iCs w:val="false"/>
          <w:color w:val="000000"/>
          <w:sz w:val="24"/>
          <w:szCs w:val="24"/>
        </w:rPr>
        <w:t xml:space="preserve">Conformément aux cibles d’inclusion du cadre logique du projet, la composition visée est d’au moins 50 % de femmes, 30 % de jeunes et 15 % de personnes en situation de handicap. La liste de présence sera désagrégée selon ces trois critères.</w:t>
      </w:r>
    </w:p>
    <w:p>
      <w:pPr>
        <w:pStyle w:val="Heading1"/>
        <w:spacing w:after="180" w:before="320"/>
      </w:pPr>
      <w:r>
        <w:rPr>
          <w:rFonts w:ascii="Calibri" w:cs="Calibri" w:eastAsia="Calibri" w:hAnsi="Calibri"/>
          <w:b/>
          <w:bCs/>
          <w:caps/>
          <w:color w:val="073763"/>
          <w:sz w:val="28"/>
          <w:szCs w:val="28"/>
        </w:rPr>
        <w:t xml:space="preserve">7. Date et lieu</w:t>
      </w:r>
    </w:p>
    <w:p>
      <w:pPr>
        <w:spacing w:after="160" w:line="276"/>
        <w:jc w:val="both"/>
      </w:pPr>
      <w:r>
        <w:rPr>
          <w:rFonts w:ascii="Calibri" w:cs="Calibri" w:eastAsia="Calibri" w:hAnsi="Calibri"/>
          <w:b w:val="false"/>
          <w:bCs w:val="false"/>
          <w:i w:val="false"/>
          <w:iCs w:val="false"/>
          <w:color w:val="000000"/>
          <w:sz w:val="24"/>
          <w:szCs w:val="24"/>
        </w:rPr>
        <w:t xml:space="preserve">L’atelier se tiendra le jeudi 15 et le vendredi 16 octobre 2026, à Abidjan. Le lieu exact sera communiqué aux participants dès sa confirmation. Les participants sont invités à confirmer leur présence au plus tard le vendredi 9 octobre 2026.</w:t>
      </w:r>
    </w:p>
    <w:p>
      <w:pPr>
        <w:pStyle w:val="Heading1"/>
        <w:spacing w:after="180" w:before="320"/>
      </w:pPr>
      <w:r>
        <w:rPr>
          <w:rFonts w:ascii="Calibri" w:cs="Calibri" w:eastAsia="Calibri" w:hAnsi="Calibri"/>
          <w:b/>
          <w:bCs/>
          <w:caps/>
          <w:color w:val="073763"/>
          <w:sz w:val="28"/>
          <w:szCs w:val="28"/>
        </w:rPr>
        <w:t xml:space="preserve">8. Livrables</w:t>
      </w:r>
    </w:p>
    <w:p>
      <w:pPr>
        <w:spacing w:after="100" w:line="276"/>
        <w:jc w:val="both"/>
      </w:pPr>
      <w:r>
        <w:rPr>
          <w:rFonts w:ascii="Calibri" w:cs="Calibri" w:eastAsia="Calibri" w:hAnsi="Calibri"/>
          <w:b w:val="false"/>
          <w:bCs w:val="false"/>
          <w:i w:val="false"/>
          <w:iCs w:val="false"/>
          <w:color w:val="000000"/>
          <w:sz w:val="24"/>
          <w:szCs w:val="24"/>
        </w:rPr>
        <w:t xml:space="preserve">À l’issue de l’atelier, les livrables suivants seront produits :</w:t>
      </w:r>
    </w:p>
    <w:p>
      <w:pPr>
        <w:pStyle w:val="ListParagraph"/>
        <w:numPr>
          <w:ilvl w:val="0"/>
          <w:numId w:val="2"/>
        </w:numPr>
        <w:spacing w:after="100" w:line="276"/>
        <w:jc w:val="both"/>
      </w:pPr>
      <w:r>
        <w:rPr>
          <w:rFonts w:ascii="Calibri" w:cs="Calibri" w:eastAsia="Calibri" w:hAnsi="Calibri"/>
          <w:sz w:val="24"/>
          <w:szCs w:val="24"/>
        </w:rPr>
        <w:t xml:space="preserve">le rapport de l’atelier, établi selon le canevas « rapport d’activité » du projet ;</w:t>
      </w:r>
    </w:p>
    <w:p>
      <w:pPr>
        <w:pStyle w:val="ListParagraph"/>
        <w:numPr>
          <w:ilvl w:val="0"/>
          <w:numId w:val="2"/>
        </w:numPr>
        <w:spacing w:after="100" w:line="276"/>
        <w:jc w:val="both"/>
      </w:pPr>
      <w:r>
        <w:rPr>
          <w:rFonts w:ascii="Calibri" w:cs="Calibri" w:eastAsia="Calibri" w:hAnsi="Calibri"/>
          <w:sz w:val="24"/>
          <w:szCs w:val="24"/>
        </w:rPr>
        <w:t xml:space="preserve">le règlement du concours national validé, intégrant les critères d’éligibilité et de sélection ;</w:t>
      </w:r>
    </w:p>
    <w:p>
      <w:pPr>
        <w:pStyle w:val="ListParagraph"/>
        <w:numPr>
          <w:ilvl w:val="0"/>
          <w:numId w:val="2"/>
        </w:numPr>
        <w:spacing w:after="100" w:line="276"/>
        <w:jc w:val="both"/>
      </w:pPr>
      <w:r>
        <w:rPr>
          <w:rFonts w:ascii="Calibri" w:cs="Calibri" w:eastAsia="Calibri" w:hAnsi="Calibri"/>
          <w:sz w:val="24"/>
          <w:szCs w:val="24"/>
        </w:rPr>
        <w:t xml:space="preserve">la grille d’évaluation des projets et la fiche de composition du jury ;</w:t>
      </w:r>
    </w:p>
    <w:p>
      <w:pPr>
        <w:pStyle w:val="ListParagraph"/>
        <w:numPr>
          <w:ilvl w:val="0"/>
          <w:numId w:val="2"/>
        </w:numPr>
        <w:spacing w:after="100" w:line="276"/>
        <w:jc w:val="both"/>
      </w:pPr>
      <w:r>
        <w:rPr>
          <w:rFonts w:ascii="Calibri" w:cs="Calibri" w:eastAsia="Calibri" w:hAnsi="Calibri"/>
          <w:sz w:val="24"/>
          <w:szCs w:val="24"/>
        </w:rPr>
        <w:t xml:space="preserve">le calendrier du concours et la liste des zones de la caravane ;</w:t>
      </w:r>
    </w:p>
    <w:p>
      <w:pPr>
        <w:pStyle w:val="ListParagraph"/>
        <w:numPr>
          <w:ilvl w:val="0"/>
          <w:numId w:val="2"/>
        </w:numPr>
        <w:spacing w:after="100" w:line="276"/>
        <w:jc w:val="both"/>
      </w:pPr>
      <w:r>
        <w:rPr>
          <w:rFonts w:ascii="Calibri" w:cs="Calibri" w:eastAsia="Calibri" w:hAnsi="Calibri"/>
          <w:sz w:val="24"/>
          <w:szCs w:val="24"/>
        </w:rPr>
        <w:t xml:space="preserve">la liste de présence signée et désagrégée (femmes, jeunes, personnes en situation de handicap) ;</w:t>
      </w:r>
    </w:p>
    <w:p>
      <w:pPr>
        <w:pStyle w:val="ListParagraph"/>
        <w:numPr>
          <w:ilvl w:val="0"/>
          <w:numId w:val="2"/>
        </w:numPr>
        <w:spacing w:after="100" w:line="276"/>
        <w:jc w:val="both"/>
      </w:pPr>
      <w:r>
        <w:rPr>
          <w:rFonts w:ascii="Calibri" w:cs="Calibri" w:eastAsia="Calibri" w:hAnsi="Calibri"/>
          <w:sz w:val="24"/>
          <w:szCs w:val="24"/>
        </w:rPr>
        <w:t xml:space="preserve">les supports photographiques de l’activité, portant le marquage de visibilité de l’Union européenne.</w:t>
      </w:r>
    </w:p>
    <w:p>
      <w:pPr>
        <w:pStyle w:val="Heading1"/>
        <w:spacing w:after="180" w:before="320"/>
      </w:pPr>
      <w:r>
        <w:rPr>
          <w:rFonts w:ascii="Calibri" w:cs="Calibri" w:eastAsia="Calibri" w:hAnsi="Calibri"/>
          <w:b/>
          <w:bCs/>
          <w:caps/>
          <w:color w:val="073763"/>
          <w:sz w:val="28"/>
          <w:szCs w:val="28"/>
        </w:rPr>
        <w:t xml:space="preserve">9. Coordination et responsabilités</w:t>
      </w:r>
    </w:p>
    <w:p>
      <w:pPr>
        <w:spacing w:after="160" w:line="276"/>
        <w:jc w:val="both"/>
      </w:pPr>
      <w:r>
        <w:rPr>
          <w:rFonts w:ascii="Calibri" w:cs="Calibri" w:eastAsia="Calibri" w:hAnsi="Calibri"/>
          <w:b w:val="false"/>
          <w:bCs w:val="false"/>
          <w:i w:val="false"/>
          <w:iCs w:val="false"/>
          <w:color w:val="000000"/>
          <w:sz w:val="24"/>
          <w:szCs w:val="24"/>
        </w:rPr>
        <w:t xml:space="preserve">La mise en œuvre de l’activité est assurée par l’ONG Social Justice, responsable de l’organisation logistique et de l’animation des travaux. IBP apporte l’expertise technique pour la grille d’évaluation des contenus budgétaires des projets et appuie la rédaction du règlement du concours. La mobilisation du MENAET et du MESRS fait l’objet de courriers officiels de Social Justice sollicitant l’autorisation d’intervenir dans les établissements et la désignation de points focaux. Le suivi est assuré dans le tableau de bord du projet, sous la référence 2.2.1.1.</w:t>
      </w:r>
    </w:p>
    <w:p>
      <w:pPr>
        <w:pStyle w:val="Heading1"/>
        <w:spacing w:after="180" w:before="320"/>
      </w:pPr>
      <w:r>
        <w:rPr>
          <w:rFonts w:ascii="Calibri" w:cs="Calibri" w:eastAsia="Calibri" w:hAnsi="Calibri"/>
          <w:b/>
          <w:bCs/>
          <w:caps/>
          <w:color w:val="073763"/>
          <w:sz w:val="28"/>
          <w:szCs w:val="28"/>
        </w:rPr>
        <w:t xml:space="preserve">10. Calendrier général du concours</w:t>
      </w:r>
    </w:p>
    <w:p>
      <w:pPr>
        <w:spacing w:after="180" w:line="276"/>
        <w:jc w:val="both"/>
      </w:pPr>
      <w:r>
        <w:rPr>
          <w:rFonts w:ascii="Calibri" w:cs="Calibri" w:eastAsia="Calibri" w:hAnsi="Calibri"/>
          <w:b w:val="false"/>
          <w:bCs w:val="false"/>
          <w:i/>
          <w:iCs/>
          <w:color w:val="000000"/>
          <w:sz w:val="24"/>
          <w:szCs w:val="24"/>
        </w:rPr>
        <w:t xml:space="preserve">À titre indicatif, et sous réserve de validation lors de l’atelier :</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6100"/>
        <w:gridCol w:w="2200"/>
      </w:tblGrid>
      <w:tr>
        <w:trPr>
          <w:tblHeader/>
        </w:trPr>
        <w:tc>
          <w:tcPr>
            <w:tcW w:type="dxa" w:w="1900"/>
            <w:shd w:fill="073763"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21"/>
                <w:szCs w:val="21"/>
              </w:rPr>
              <w:t xml:space="preserve">PÉRIODE</w:t>
            </w:r>
          </w:p>
        </w:tc>
        <w:tc>
          <w:tcPr>
            <w:tcW w:type="dxa" w:w="6100"/>
            <w:shd w:fill="073763"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21"/>
                <w:szCs w:val="21"/>
              </w:rPr>
              <w:t xml:space="preserve">ÉTAPE</w:t>
            </w:r>
          </w:p>
        </w:tc>
        <w:tc>
          <w:tcPr>
            <w:tcW w:type="dxa" w:w="2200"/>
            <w:shd w:fill="073763"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21"/>
                <w:szCs w:val="21"/>
              </w:rPr>
              <w:t xml:space="preserve">RESPONSABLE</w:t>
            </w:r>
          </w:p>
        </w:tc>
      </w:tr>
      <w:tr>
        <w:tc>
          <w:tcPr>
            <w:tcW w:type="dxa" w:w="19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Fin sept. 2026</w:t>
            </w:r>
          </w:p>
        </w:tc>
        <w:tc>
          <w:tcPr>
            <w:tcW w:type="dxa" w:w="61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1"/>
                <w:szCs w:val="21"/>
              </w:rPr>
              <w:t xml:space="preserve">Transmission des courriers d'autorisation au MENAET et au MESRS ; désignation du responsable de la caravane</w:t>
            </w:r>
          </w:p>
        </w:tc>
        <w:tc>
          <w:tcPr>
            <w:tcW w:type="dxa" w:w="2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Social Justice</w:t>
            </w:r>
          </w:p>
        </w:tc>
      </w:tr>
      <w:tr>
        <w:tc>
          <w:tcPr>
            <w:tcW w:type="dxa" w:w="19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15-16 oct. 2026</w:t>
            </w:r>
          </w:p>
        </w:tc>
        <w:tc>
          <w:tcPr>
            <w:tcW w:type="dxa" w:w="61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1"/>
                <w:szCs w:val="21"/>
              </w:rPr>
              <w:t xml:space="preserve">Atelier multipartite d'élaboration des critères et du règlement du concours (présents TDR)</w:t>
            </w:r>
          </w:p>
        </w:tc>
        <w:tc>
          <w:tcPr>
            <w:tcW w:type="dxa" w:w="2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SJ / IBP</w:t>
            </w:r>
          </w:p>
        </w:tc>
      </w:tr>
      <w:tr>
        <w:tc>
          <w:tcPr>
            <w:tcW w:type="dxa" w:w="19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Fin oct. 2026</w:t>
            </w:r>
          </w:p>
        </w:tc>
        <w:tc>
          <w:tcPr>
            <w:tcW w:type="dxa" w:w="61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1"/>
                <w:szCs w:val="21"/>
              </w:rPr>
              <w:t xml:space="preserve">Atelier de lancement du concours national (sous-activité 2.2.1.3) et ouverture des candidatures</w:t>
            </w:r>
          </w:p>
        </w:tc>
        <w:tc>
          <w:tcPr>
            <w:tcW w:type="dxa" w:w="2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SJ / IBP</w:t>
            </w:r>
          </w:p>
        </w:tc>
      </w:tr>
      <w:tr>
        <w:tc>
          <w:tcPr>
            <w:tcW w:type="dxa" w:w="19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Novembre 2026</w:t>
            </w:r>
          </w:p>
        </w:tc>
        <w:tc>
          <w:tcPr>
            <w:tcW w:type="dxa" w:w="61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1"/>
                <w:szCs w:val="21"/>
              </w:rPr>
              <w:t xml:space="preserve">Caravane d'information, une journée par zone (sous-activité 2.2.1.2) ; accompagnement des établissements</w:t>
            </w:r>
          </w:p>
        </w:tc>
        <w:tc>
          <w:tcPr>
            <w:tcW w:type="dxa" w:w="2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Social Justice</w:t>
            </w:r>
          </w:p>
        </w:tc>
      </w:tr>
      <w:tr>
        <w:tc>
          <w:tcPr>
            <w:tcW w:type="dxa" w:w="19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Début déc. 2026</w:t>
            </w:r>
          </w:p>
        </w:tc>
        <w:tc>
          <w:tcPr>
            <w:tcW w:type="dxa" w:w="61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1"/>
                <w:szCs w:val="21"/>
              </w:rPr>
              <w:t xml:space="preserve">Clôture des candidatures, dépouillement et délibération du jury (sous-activité 2.2.2)</w:t>
            </w:r>
          </w:p>
        </w:tc>
        <w:tc>
          <w:tcPr>
            <w:tcW w:type="dxa" w:w="2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Jury / SJ</w:t>
            </w:r>
          </w:p>
        </w:tc>
      </w:tr>
      <w:tr>
        <w:tc>
          <w:tcPr>
            <w:tcW w:type="dxa" w:w="19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Mi-déc. 2026</w:t>
            </w:r>
          </w:p>
        </w:tc>
        <w:tc>
          <w:tcPr>
            <w:tcW w:type="dxa" w:w="61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1"/>
                <w:szCs w:val="21"/>
              </w:rPr>
              <w:t xml:space="preserve">Cérémonie de remise du Prix « Hackathon Budget Ouvert » (sous-activité 2.2.3)</w:t>
            </w:r>
          </w:p>
        </w:tc>
        <w:tc>
          <w:tcPr>
            <w:tcW w:type="dxa" w:w="2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SJ / IBP</w:t>
            </w:r>
          </w:p>
        </w:tc>
      </w:tr>
    </w:tbl>
    <w:p>
      <w:pPr>
        <w:pStyle w:val="Heading1"/>
        <w:spacing w:after="180" w:before="320"/>
      </w:pPr>
      <w:r>
        <w:rPr>
          <w:rFonts w:ascii="Calibri" w:cs="Calibri" w:eastAsia="Calibri" w:hAnsi="Calibri"/>
          <w:b/>
          <w:bCs/>
          <w:caps/>
          <w:color w:val="073763"/>
          <w:sz w:val="28"/>
          <w:szCs w:val="28"/>
        </w:rPr>
        <w:t xml:space="preserve">11. Agenda provisoire</w:t>
      </w:r>
    </w:p>
    <w:p>
      <w:pPr>
        <w:keepNext/>
        <w:spacing w:after="120" w:before="240"/>
      </w:pPr>
      <w:r>
        <w:rPr>
          <w:rFonts w:ascii="Calibri" w:cs="Calibri" w:eastAsia="Calibri" w:hAnsi="Calibri"/>
          <w:b/>
          <w:bCs/>
          <w:color w:val="073763"/>
          <w:sz w:val="24"/>
          <w:szCs w:val="24"/>
        </w:rPr>
        <w:t xml:space="preserve">JOUR 1 — Jeudi 15 octobre 2026</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6100"/>
        <w:gridCol w:w="2200"/>
      </w:tblGrid>
      <w:tr>
        <w:trPr>
          <w:tblHeader/>
        </w:trPr>
        <w:tc>
          <w:tcPr>
            <w:tcW w:type="dxa" w:w="1900"/>
            <w:shd w:fill="073763"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21"/>
                <w:szCs w:val="21"/>
              </w:rPr>
              <w:t xml:space="preserve">HORAIRES</w:t>
            </w:r>
          </w:p>
        </w:tc>
        <w:tc>
          <w:tcPr>
            <w:tcW w:type="dxa" w:w="6100"/>
            <w:shd w:fill="073763"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21"/>
                <w:szCs w:val="21"/>
              </w:rPr>
              <w:t xml:space="preserve">ACTIVITÉS</w:t>
            </w:r>
          </w:p>
        </w:tc>
        <w:tc>
          <w:tcPr>
            <w:tcW w:type="dxa" w:w="2200"/>
            <w:shd w:fill="073763"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21"/>
                <w:szCs w:val="21"/>
              </w:rPr>
              <w:t xml:space="preserve">RESPONSABLES</w:t>
            </w:r>
          </w:p>
        </w:tc>
      </w:tr>
      <w:tr>
        <w:tc>
          <w:tcPr>
            <w:tcW w:type="dxa" w:w="19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08 h 30 – 09 h 00</w:t>
            </w:r>
          </w:p>
        </w:tc>
        <w:tc>
          <w:tcPr>
            <w:tcW w:type="dxa" w:w="61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1"/>
                <w:szCs w:val="21"/>
              </w:rPr>
              <w:t xml:space="preserve">Accueil et installation des participants</w:t>
            </w:r>
          </w:p>
        </w:tc>
        <w:tc>
          <w:tcPr>
            <w:tcW w:type="dxa" w:w="2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Social Justice</w:t>
            </w:r>
          </w:p>
        </w:tc>
      </w:tr>
      <w:tr>
        <w:tc>
          <w:tcPr>
            <w:tcW w:type="dxa" w:w="19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09 h 00 – 09 h 30</w:t>
            </w:r>
          </w:p>
        </w:tc>
        <w:tc>
          <w:tcPr>
            <w:tcW w:type="dxa" w:w="61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1"/>
                <w:szCs w:val="21"/>
              </w:rPr>
              <w:t xml:space="preserve">Cérémonie d'ouverture : mot de bienvenue du Président de l'ONG Social Justice, allocutions des représentants du MENAET et du MESRS, rappel des objectifs du projet PACT Budgétaire</w:t>
            </w:r>
          </w:p>
        </w:tc>
        <w:tc>
          <w:tcPr>
            <w:tcW w:type="dxa" w:w="2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SJ / Ministères</w:t>
            </w:r>
          </w:p>
        </w:tc>
      </w:tr>
      <w:tr>
        <w:tc>
          <w:tcPr>
            <w:tcW w:type="dxa" w:w="19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09 h 30 – 09 h 45</w:t>
            </w:r>
          </w:p>
        </w:tc>
        <w:tc>
          <w:tcPr>
            <w:tcW w:type="dxa" w:w="61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1"/>
                <w:szCs w:val="21"/>
              </w:rPr>
              <w:t xml:space="preserve">Pause-café / point de presse</w:t>
            </w:r>
          </w:p>
        </w:tc>
        <w:tc>
          <w:tcPr>
            <w:tcW w:type="dxa" w:w="2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Participants</w:t>
            </w:r>
          </w:p>
        </w:tc>
      </w:tr>
      <w:tr>
        <w:tc>
          <w:tcPr>
            <w:tcW w:type="dxa" w:w="19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09 h 45 – 10 h 30</w:t>
            </w:r>
          </w:p>
        </w:tc>
        <w:tc>
          <w:tcPr>
            <w:tcW w:type="dxa" w:w="61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1"/>
                <w:szCs w:val="21"/>
              </w:rPr>
              <w:t xml:space="preserve">Présentation 1 : résultats de l'EBO 2025 et enjeux de la participation citoyenne des jeunes au processus budgétaire</w:t>
            </w:r>
          </w:p>
        </w:tc>
        <w:tc>
          <w:tcPr>
            <w:tcW w:type="dxa" w:w="2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IBP / Social Justice</w:t>
            </w:r>
          </w:p>
        </w:tc>
      </w:tr>
      <w:tr>
        <w:tc>
          <w:tcPr>
            <w:tcW w:type="dxa" w:w="19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10 h 30 – 11 h 15</w:t>
            </w:r>
          </w:p>
        </w:tc>
        <w:tc>
          <w:tcPr>
            <w:tcW w:type="dxa" w:w="61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1"/>
                <w:szCs w:val="21"/>
              </w:rPr>
              <w:t xml:space="preserve">Présentation 2 : note conceptuelle du Prix annuel et architecture du concours (critères, lancement, caravane, sélection, cérémonie)</w:t>
            </w:r>
          </w:p>
        </w:tc>
        <w:tc>
          <w:tcPr>
            <w:tcW w:type="dxa" w:w="2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Social Justice</w:t>
            </w:r>
          </w:p>
        </w:tc>
      </w:tr>
      <w:tr>
        <w:tc>
          <w:tcPr>
            <w:tcW w:type="dxa" w:w="19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11 h 15 – 12 h 30</w:t>
            </w:r>
          </w:p>
        </w:tc>
        <w:tc>
          <w:tcPr>
            <w:tcW w:type="dxa" w:w="61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1"/>
                <w:szCs w:val="21"/>
              </w:rPr>
              <w:t xml:space="preserve">Échanges en plénière</w:t>
            </w:r>
          </w:p>
        </w:tc>
        <w:tc>
          <w:tcPr>
            <w:tcW w:type="dxa" w:w="2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Participants</w:t>
            </w:r>
          </w:p>
        </w:tc>
      </w:tr>
      <w:tr>
        <w:tc>
          <w:tcPr>
            <w:tcW w:type="dxa" w:w="19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12 h 30 – 14 h 00</w:t>
            </w:r>
          </w:p>
        </w:tc>
        <w:tc>
          <w:tcPr>
            <w:tcW w:type="dxa" w:w="61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1"/>
                <w:szCs w:val="21"/>
              </w:rPr>
              <w:t xml:space="preserve">Pause déjeuner</w:t>
            </w:r>
          </w:p>
        </w:tc>
        <w:tc>
          <w:tcPr>
            <w:tcW w:type="dxa" w:w="2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Participants</w:t>
            </w:r>
          </w:p>
        </w:tc>
      </w:tr>
      <w:tr>
        <w:tc>
          <w:tcPr>
            <w:tcW w:type="dxa" w:w="19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14 h 00 – 15 h 45</w:t>
            </w:r>
          </w:p>
        </w:tc>
        <w:tc>
          <w:tcPr>
            <w:tcW w:type="dxa" w:w="61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1"/>
                <w:szCs w:val="21"/>
              </w:rPr>
              <w:t xml:space="preserve">Travaux de groupe : G1 — critères d'éligibilité et de sélection des établissements secondaires ; G2 — critères pour l'enseignement supérieur ; G3 — catégories de projets et format des dossiers de candidature</w:t>
            </w:r>
          </w:p>
        </w:tc>
        <w:tc>
          <w:tcPr>
            <w:tcW w:type="dxa" w:w="2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Participants</w:t>
            </w:r>
          </w:p>
        </w:tc>
      </w:tr>
      <w:tr>
        <w:tc>
          <w:tcPr>
            <w:tcW w:type="dxa" w:w="19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15 h 45 – 16 h 30</w:t>
            </w:r>
          </w:p>
        </w:tc>
        <w:tc>
          <w:tcPr>
            <w:tcW w:type="dxa" w:w="61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1"/>
                <w:szCs w:val="21"/>
              </w:rPr>
              <w:t xml:space="preserve">Restitution des travaux de groupe et synthèse de la journée</w:t>
            </w:r>
          </w:p>
        </w:tc>
        <w:tc>
          <w:tcPr>
            <w:tcW w:type="dxa" w:w="2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Participants / SJ</w:t>
            </w:r>
          </w:p>
        </w:tc>
      </w:tr>
    </w:tbl>
    <w:p>
      <w:pPr>
        <w:keepNext/>
        <w:spacing w:after="120" w:before="240"/>
      </w:pPr>
      <w:r>
        <w:rPr>
          <w:rFonts w:ascii="Calibri" w:cs="Calibri" w:eastAsia="Calibri" w:hAnsi="Calibri"/>
          <w:b/>
          <w:bCs/>
          <w:color w:val="073763"/>
          <w:sz w:val="24"/>
          <w:szCs w:val="24"/>
        </w:rPr>
        <w:t xml:space="preserve">JOUR 2 — Vendredi 16 octobre 2026</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6100"/>
        <w:gridCol w:w="2200"/>
      </w:tblGrid>
      <w:tr>
        <w:trPr>
          <w:tblHeader/>
        </w:trPr>
        <w:tc>
          <w:tcPr>
            <w:tcW w:type="dxa" w:w="1900"/>
            <w:shd w:fill="073763"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21"/>
                <w:szCs w:val="21"/>
              </w:rPr>
              <w:t xml:space="preserve">HORAIRES</w:t>
            </w:r>
          </w:p>
        </w:tc>
        <w:tc>
          <w:tcPr>
            <w:tcW w:type="dxa" w:w="6100"/>
            <w:shd w:fill="073763"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21"/>
                <w:szCs w:val="21"/>
              </w:rPr>
              <w:t xml:space="preserve">ACTIVITÉS</w:t>
            </w:r>
          </w:p>
        </w:tc>
        <w:tc>
          <w:tcPr>
            <w:tcW w:type="dxa" w:w="2200"/>
            <w:shd w:fill="073763"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21"/>
                <w:szCs w:val="21"/>
              </w:rPr>
              <w:t xml:space="preserve">RESPONSABLES</w:t>
            </w:r>
          </w:p>
        </w:tc>
      </w:tr>
      <w:tr>
        <w:tc>
          <w:tcPr>
            <w:tcW w:type="dxa" w:w="19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08 h 30 – 09 h 00</w:t>
            </w:r>
          </w:p>
        </w:tc>
        <w:tc>
          <w:tcPr>
            <w:tcW w:type="dxa" w:w="61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1"/>
                <w:szCs w:val="21"/>
              </w:rPr>
              <w:t xml:space="preserve">Accueil des participants et rappel des conclusions du Jour 1</w:t>
            </w:r>
          </w:p>
        </w:tc>
        <w:tc>
          <w:tcPr>
            <w:tcW w:type="dxa" w:w="2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Social Justice</w:t>
            </w:r>
          </w:p>
        </w:tc>
      </w:tr>
      <w:tr>
        <w:tc>
          <w:tcPr>
            <w:tcW w:type="dxa" w:w="19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09 h 00 – 10 h 30</w:t>
            </w:r>
          </w:p>
        </w:tc>
        <w:tc>
          <w:tcPr>
            <w:tcW w:type="dxa" w:w="61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1"/>
                <w:szCs w:val="21"/>
              </w:rPr>
              <w:t xml:space="preserve">Présentation du projet de grille d'évaluation des projets et des règles de fonctionnement du jury</w:t>
            </w:r>
          </w:p>
        </w:tc>
        <w:tc>
          <w:tcPr>
            <w:tcW w:type="dxa" w:w="2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IBP</w:t>
            </w:r>
          </w:p>
        </w:tc>
      </w:tr>
      <w:tr>
        <w:tc>
          <w:tcPr>
            <w:tcW w:type="dxa" w:w="19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10 h 30 – 10 h 45</w:t>
            </w:r>
          </w:p>
        </w:tc>
        <w:tc>
          <w:tcPr>
            <w:tcW w:type="dxa" w:w="61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1"/>
                <w:szCs w:val="21"/>
              </w:rPr>
              <w:t xml:space="preserve">Pause-café</w:t>
            </w:r>
          </w:p>
        </w:tc>
        <w:tc>
          <w:tcPr>
            <w:tcW w:type="dxa" w:w="2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Participants</w:t>
            </w:r>
          </w:p>
        </w:tc>
      </w:tr>
      <w:tr>
        <w:tc>
          <w:tcPr>
            <w:tcW w:type="dxa" w:w="19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10 h 45 – 12 h 30</w:t>
            </w:r>
          </w:p>
        </w:tc>
        <w:tc>
          <w:tcPr>
            <w:tcW w:type="dxa" w:w="61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1"/>
                <w:szCs w:val="21"/>
              </w:rPr>
              <w:t xml:space="preserve">Travaux de groupe : G1 — grille d'évaluation ; G2 — composition, indépendance et fonctionnement du jury ; G3 — calendrier du concours et zones de la caravane</w:t>
            </w:r>
          </w:p>
        </w:tc>
        <w:tc>
          <w:tcPr>
            <w:tcW w:type="dxa" w:w="2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Participants</w:t>
            </w:r>
          </w:p>
        </w:tc>
      </w:tr>
      <w:tr>
        <w:tc>
          <w:tcPr>
            <w:tcW w:type="dxa" w:w="19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12 h 30 – 14 h 00</w:t>
            </w:r>
          </w:p>
        </w:tc>
        <w:tc>
          <w:tcPr>
            <w:tcW w:type="dxa" w:w="61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1"/>
                <w:szCs w:val="21"/>
              </w:rPr>
              <w:t xml:space="preserve">Pause déjeuner</w:t>
            </w:r>
          </w:p>
        </w:tc>
        <w:tc>
          <w:tcPr>
            <w:tcW w:type="dxa" w:w="2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Participants</w:t>
            </w:r>
          </w:p>
        </w:tc>
      </w:tr>
      <w:tr>
        <w:tc>
          <w:tcPr>
            <w:tcW w:type="dxa" w:w="19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14 h 00 – 15 h 00</w:t>
            </w:r>
          </w:p>
        </w:tc>
        <w:tc>
          <w:tcPr>
            <w:tcW w:type="dxa" w:w="61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1"/>
                <w:szCs w:val="21"/>
              </w:rPr>
              <w:t xml:space="preserve">Restitution des travaux de groupe</w:t>
            </w:r>
          </w:p>
        </w:tc>
        <w:tc>
          <w:tcPr>
            <w:tcW w:type="dxa" w:w="2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Participants</w:t>
            </w:r>
          </w:p>
        </w:tc>
      </w:tr>
      <w:tr>
        <w:tc>
          <w:tcPr>
            <w:tcW w:type="dxa" w:w="19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15 h 00 – 16 h 00</w:t>
            </w:r>
          </w:p>
        </w:tc>
        <w:tc>
          <w:tcPr>
            <w:tcW w:type="dxa" w:w="61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1"/>
                <w:szCs w:val="21"/>
              </w:rPr>
              <w:t xml:space="preserve">Validation en plénière du règlement du concours et désignation des points focaux</w:t>
            </w:r>
          </w:p>
        </w:tc>
        <w:tc>
          <w:tcPr>
            <w:tcW w:type="dxa" w:w="2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Participants / SJ</w:t>
            </w:r>
          </w:p>
        </w:tc>
      </w:tr>
      <w:tr>
        <w:tc>
          <w:tcPr>
            <w:tcW w:type="dxa" w:w="19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16 h 00 – 16 h 30</w:t>
            </w:r>
          </w:p>
        </w:tc>
        <w:tc>
          <w:tcPr>
            <w:tcW w:type="dxa" w:w="61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21"/>
                <w:szCs w:val="21"/>
              </w:rPr>
              <w:t xml:space="preserve">Synthèse et clôture de l'atelier</w:t>
            </w:r>
          </w:p>
        </w:tc>
        <w:tc>
          <w:tcPr>
            <w:tcW w:type="dxa" w:w="2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21"/>
                <w:szCs w:val="21"/>
              </w:rPr>
              <w:t xml:space="preserve">Social Justice</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66683f6f7dc13df526393190ae9e358bbf3a6f.jpg"/><Relationship Id="rId8" Type="http://schemas.openxmlformats.org/officeDocument/2006/relationships/image" Target="media/b4945483567793711e2fab82e9be362cbb7f936d.png"/><Relationship Id="rId9" Type="http://schemas.openxmlformats.org/officeDocument/2006/relationships/image" Target="media/03cc8960b4ab1c71b272114fc570435f09c2696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TDR — Atelier d’élaboration des critères du concours national de la transparence budgétaire</dc:title>
  <dc:creator>ONG Social Justice</dc:creator>
  <dc:description>Projet PACT Budgétaire — Sous-activité 2.2.1.1</dc:description>
  <cp:lastModifiedBy>Un-named</cp:lastModifiedBy>
  <cp:revision>1</cp:revision>
  <dcterms:created xsi:type="dcterms:W3CDTF">2026-09-21T11:50:21.415Z</dcterms:created>
  <dcterms:modified xsi:type="dcterms:W3CDTF">2026-09-21T11:50:21.416Z</dcterms:modified>
</cp:coreProperties>
</file>

<file path=docProps/custom.xml><?xml version="1.0" encoding="utf-8"?>
<Properties xmlns="http://schemas.openxmlformats.org/officeDocument/2006/custom-properties" xmlns:vt="http://schemas.openxmlformats.org/officeDocument/2006/docPropsVTypes"/>
</file>