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 of Uploaded File</w:t>
      </w:r>
    </w:p>
    <w:p>
      <w:pPr>
        <w:pStyle w:val="Heading1"/>
      </w:pPr>
      <w:r>
        <w:t>Sales Data</w:t>
      </w:r>
    </w:p>
    <w:p>
      <w:r>
        <w:t>The file contains sales figures for Q3 2023 across different regions. Key metrics include total revenue of $15 million, with North America contributing $7.8M and Europe generating $6.4M. The average monthly sales per region were $1.2M in Asia and $1.5M in Latin America.</w:t>
      </w:r>
    </w:p>
    <w:p>
      <w:pPr>
        <w:pStyle w:val="Heading1"/>
      </w:pPr>
      <w:r>
        <w:t>Customer Feedback</w:t>
      </w:r>
    </w:p>
    <w:p>
      <w:r>
        <w:t>The dataset includes 300 customer reviews categorized by sentiment (positive/negative). Positive feedback highlights product quality and service, while negative comments focus on delivery delays and pricing. A majority of respondents rated the overall experience as "neutral," with 28% stating they would recommend the product.</w:t>
      </w:r>
    </w:p>
    <w:p>
      <w:pPr>
        <w:pStyle w:val="Heading1"/>
      </w:pPr>
      <w:r>
        <w:t>Data Analysis Insights</w:t>
      </w:r>
    </w:p>
    <w:p>
      <w:r>
        <w:t>The analysis reveals a 14% increase in sales compared to Q2 2023, driven by seasonal demand in Europe. The average customer spending rose by $500 due to premium pricing strategies. However, regional disparities persist, with lower-income areas showing slower growth.</w:t>
      </w:r>
    </w:p>
    <w:p>
      <w:pPr>
        <w:pStyle w:val="Heading1"/>
      </w:pPr>
      <w:r>
        <w:t>Conclusion</w:t>
      </w:r>
    </w:p>
    <w:p>
      <w:r>
        <w:t>The uploaded file provides comprehensive insights into financial performance and consumer sentiment. Key takeaways include strong sales in certain regions, the impact of marketing campaigns, and opportunities for targeted outreach in underperforming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