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for Inspection Refinery Report</w:t>
      </w:r>
    </w:p>
    <w:p>
      <w:pPr>
        <w:pStyle w:val="Heading1"/>
      </w:pPr>
      <w:r>
        <w:t>Summary</w:t>
      </w:r>
    </w:p>
    <w:p>
      <w:r>
        <w:t>Review: The report indicates the refinery is operating within the established parameters. No significant deviations were noted during the inspection.</w:t>
      </w:r>
    </w:p>
    <w:p>
      <w:pPr>
        <w:pStyle w:val="Heading1"/>
      </w:pPr>
      <w:r>
        <w:t>Inspection Parameters</w:t>
      </w:r>
    </w:p>
    <w:p>
      <w:r>
        <w:t>Inspection Parameters: Temperature, Pressure, Flow Rate, Pressure Drop, Temperature Drop, Pressure Drop Rate, Pressure Drop Rate.</w:t>
      </w:r>
    </w:p>
    <w:p>
      <w:pPr>
        <w:pStyle w:val="Heading1"/>
      </w:pPr>
      <w:r>
        <w:t>Measured Values</w:t>
      </w:r>
    </w:p>
    <w:p>
      <w:r>
        <w:t>Data Recorded: Temperature: 325°C, Pressure: 13.4 MPa, Flow Rate: 67.4 m³/h, Pressure Drop: 0.3 MPa, Temperature Drop: 5.6°C, Pressure Drop Rate: 0.05 MPa/h, Pressure Drop Rate: 0.03 MPa/h.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