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Vessel V-204 Wall Thickness Finding Approval Note</w:t>
      </w:r>
    </w:p>
    <w:p>
      <w:pPr>
        <w:pStyle w:val="Heading1"/>
      </w:pPr>
      <w:r>
        <w:t>Introduction</w:t>
      </w:r>
    </w:p>
    <w:p>
      <w:r>
        <w:t>Approval Note: Vessel V-204 Wall Thickness Finding</w:t>
      </w:r>
    </w:p>
    <w:p>
      <w:r>
        <w:t>The vessel V-204 has been found to have an abnormal wall thickness. A re-inspection is recommended every 6 months.</w:t>
      </w:r>
    </w:p>
    <w:p>
      <w:pPr>
        <w:pStyle w:val="Heading1"/>
      </w:pPr>
      <w:r>
        <w:t>Re-inspection Recommendation</w:t>
      </w:r>
    </w:p>
    <w:p>
      <w:r>
        <w:t>A re-inspection of vessel V-204 is recommended every 6 months due to the abnormal wall thickness findings. The next re-inspection is scheduled for 6 months from the date of this approval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