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Approval Note for Vessel B-1 Leak</w:t>
      </w:r>
    </w:p>
    <w:p>
      <w:pPr>
        <w:pStyle w:val="Heading1"/>
      </w:pPr>
      <w:r>
        <w:t>Background Information</w:t>
      </w:r>
    </w:p>
    <w:p>
      <w:r>
        <w:t>The vessel B-1 experienced a detected leak in the cargo hold on the 15th of the previous month. The immediate action taken was to shut off the affected cargo compartment and an investigation was conducted, revealing a small hole. The repair cost was minimal, and the vessel is back to its operational capacity.</w:t>
      </w:r>
    </w:p>
    <w:p>
      <w:pPr>
        <w:pStyle w:val="Heading1"/>
      </w:pPr>
      <w:r>
        <w:t>Current Status and Analysis</w:t>
      </w:r>
    </w:p>
    <w:p>
      <w:r>
        <w:t>The cargo hold remains closed and isolated, and the leak is no longer an ongoing issue. The ship's maintenance crew has been thoroughly reviewed for any possible causes of the leak, and the vessel is now fully operational.</w:t>
      </w:r>
    </w:p>
    <w:p>
      <w:pPr>
        <w:pStyle w:val="Heading1"/>
      </w:pPr>
      <w:r>
        <w:t>Conclusion</w:t>
      </w:r>
    </w:p>
    <w:p>
      <w:r>
        <w:t>The leak has been successfully rectified, and the vessel is safe for sea operations. A comprehensive safety protocol is now in place to prevent any recurrence.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