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Vessel V-101 Wall Loss Finding Approval Note</w:t>
      </w:r>
    </w:p>
    <w:p>
      <w:pPr>
        <w:pStyle w:val="Heading1"/>
      </w:pPr>
      <w:r>
        <w:t>Finding Description</w:t>
      </w:r>
    </w:p>
    <w:p>
      <w:r>
        <w:t>Vessel V-101 encountered a wall loss condition in the No. 6 deck area on June 20, 2023. The vessel conducted a detailed visual inspection on the 2nd level deck, where the wall thickness measuring 100 mm was found to be below the design thickness of 100 mm. The inspection team noted that the wall loss is localized to a specific area, measuring 200 mm x 300 mm.</w:t>
      </w:r>
    </w:p>
    <w:p>
      <w:pPr>
        <w:pStyle w:val="Heading1"/>
      </w:pPr>
      <w:r>
        <w:t>Cause and Impact</w:t>
      </w:r>
    </w:p>
    <w:p>
      <w:r>
        <w:t>The wall loss was attributed to material deterioration over time due to prolonged exposure to sea water and environmental factors. The impact includes decreased vessel stability, reduced watertight integrity, and potential structural damage in the affected area. The condition was documented with photos and detailed measurements taken in the water tunnel.</w:t>
      </w:r>
    </w:p>
    <w:p>
      <w:pPr>
        <w:pStyle w:val="Heading1"/>
      </w:pPr>
      <w:r>
        <w:t>Action and Recommendations</w:t>
      </w:r>
    </w:p>
    <w:p>
      <w:r>
        <w:t>The vessel's structural department conducted a repair assessment. The recommended action was the application of epoxy resin bonding to the affected area and a replacement of the 100 mm thick steel plate with a 125 mm thick steel plate. The repairs were carried out following the vessel's standard repair protocol, with a focus on ensuring watertight integrity and structural stability.</w:t>
      </w:r>
    </w:p>
    <w:p>
      <w:pPr>
        <w:pStyle w:val="Heading1"/>
      </w:pPr>
      <w:r>
        <w:t>Approval</w:t>
      </w:r>
    </w:p>
    <w:p>
      <w:r>
        <w:t>The vessel's executive management approved the repair action, ensuring that the vessel adheres to the company's maintenance protocols for structural integrity.</w:t>
      </w:r>
    </w:p>
    <w:p>
      <w:pPr>
        <w:pStyle w:val="Heading1"/>
      </w:pPr>
      <w:r>
        <w:t>Conclusion</w:t>
      </w:r>
    </w:p>
    <w:p>
      <w:r>
        <w:t>The vessel's 2023 inspection identified a localized wall loss in the No. 6 deck area, which has been rectified according to the standard repair protocol. The condition has been documented and will be monitored to ensure compliance with the company's structural integrity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