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0"/>
        </w:rPr>
        <w:t>Beauty Product Recommendation and Customer Preference Analysis</w:t>
      </w:r>
    </w:p>
    <w:p>
      <w:pPr>
        <w:jc w:val="center"/>
      </w:pPr>
      <w:r>
        <w:rPr>
          <w:b/>
          <w:color w:val="007F86"/>
          <w:sz w:val="34"/>
        </w:rPr>
        <w:t>Week 4 — Exploratory Data Analysis and Feature Engineering</w:t>
      </w:r>
    </w:p>
    <w:p>
      <w:pPr>
        <w:spacing w:before="400"/>
        <w:jc w:val="center"/>
      </w:pPr>
      <w:r>
        <w:rPr>
          <w:i/>
        </w:rPr>
        <w:t>A six-week applied data science project in the Beauty &amp; Wellness sector</w:t>
        <w:br/>
        <w:t>Prepared as an internship project report</w:t>
        <w:br/>
        <w:t>Date: October 2026</w:t>
      </w:r>
    </w:p>
    <w:p>
      <w:r>
        <w:br w:type="page"/>
      </w:r>
    </w:p>
    <w:p>
      <w:pPr>
        <w:pStyle w:val="Heading1"/>
      </w:pPr>
      <w:r>
        <w:t>Week 4 — Exploratory Data Analysis and Feature Engineering</w:t>
      </w:r>
    </w:p>
    <w:p>
      <w:pPr>
        <w:pStyle w:val="Heading2"/>
      </w:pPr>
      <w:r>
        <w:t>Executive Summary</w:t>
      </w:r>
    </w:p>
    <w:p>
      <w:r>
        <w:t>This report outlines the EDA and feature-engineering plan for the skincare review project. EDA will describe data coverage, distributions, missingness, and relationships; feature engineering will create transparent, decision-relevant predictors while preventing target leakage. Any charts and numerical findings must be generated by the scripts against the actual dataset.</w:t>
      </w:r>
    </w:p>
    <w:p>
      <w:pPr>
        <w:pStyle w:val="Heading2"/>
      </w:pPr>
      <w:r>
        <w:t>1. EDA Principles</w:t>
      </w:r>
    </w:p>
    <w:p>
      <w:r>
        <w:t>Begin with data quality and univariate distributions before exploring relationships. Always display sample sizes and missingness. Distinguish review-level statistics from product-level statistics: a product with many reviews can dominate review-level summaries. Consider aggregating by product when the business question concerns assortment decisions. Use medians and quantiles alongside means when distributions are skewed.</w:t>
      </w:r>
    </w:p>
    <w:p>
      <w:pPr>
        <w:pStyle w:val="Heading2"/>
      </w:pPr>
      <w:r>
        <w:t>2. Univariate Analysis</w:t>
      </w:r>
    </w:p>
    <w:p>
      <w:r>
        <w:t>Inspect rating distribution, class balance for recommendation labels, review length, review dates, product prices, product review counts, category frequencies, brand frequencies, and missingness. Use histograms or density plots for numeric variables, bar charts for categories, and line charts for temporal coverage. Report the number of distinct products and reviewers only if the relevant identifiers are available and appropriate to use.</w:t>
      </w:r>
    </w:p>
    <w:p>
      <w:pPr>
        <w:pStyle w:val="Heading2"/>
      </w:pPr>
      <w:r>
        <w:t>3. Bivariate and Multivariate Analysis</w:t>
      </w:r>
    </w:p>
    <w:p>
      <w:r>
        <w:t>Compare ratings and recommendation rates by category, price band, and available product attributes. Use boxplots/violin plots with sample counts. Examine numeric correlations but avoid interpreting correlation as causation. Use crosstabs and normalized stacked bars for categorical variables. Explore review length and rating, category-price interactions, and differences by review year. For many comparisons, report effect sizes and avoid overclaiming from multiple significance tests.</w:t>
      </w:r>
    </w:p>
    <w:p>
      <w:pPr>
        <w:pStyle w:val="Heading2"/>
      </w:pPr>
      <w:r>
        <w:t>4. Proposed Feature Engineering</w:t>
      </w:r>
    </w:p>
    <w:p>
      <w:r>
        <w:t>Review length: character and token counts; sentiment: optional TF-IDF or a documented sentiment method, validated for this domain; time features: review year/month/season if the timestamp is reliable; price band: quantiles fitted on training data or fixed business thresholds; category encoding: one-hot encoding; product review volume: log1p transform; ingredient indicators: only if ingredient text is available and claims are carefully defined; text representation: TF-IDF with vocabulary fitted inside model pipeline. Avoid features created using future reviews when predicting an earlier outcome.</w:t>
      </w:r>
    </w:p>
    <w:p>
      <w:pPr>
        <w:pStyle w:val="Heading2"/>
      </w:pPr>
      <w:r>
        <w:t>5. Target and Leakage Control</w:t>
      </w:r>
    </w:p>
    <w:p>
      <w:r>
        <w:t>If the target is a recommendation flag recorded for the same review, rating may be a strong but potentially trivial predictor. That is acceptable only if the business use case explicitly occurs after the rating is known. For pre-purchase recommendation, review-level recommendation labels are not direct measures of an individual shopper's suitability. Product-level aggregates must be computed only from training data or historical periods. Exclude direct identifiers and any fields that encode the target. Explain the prediction moment before selecting features.</w:t>
      </w:r>
    </w:p>
    <w:p>
      <w:pPr>
        <w:pStyle w:val="Heading2"/>
      </w:pPr>
      <w:r>
        <w:t>6. Statistical Methods</w:t>
      </w:r>
    </w:p>
    <w:p>
      <w:r>
        <w:t>Use descriptive summaries and confidence intervals for key metrics. Use Spearman correlation for monotonic associations involving ordinal ratings. Use Mann–Whitney U or Kruskal–Wallis when comparing skewed/ordinal outcomes across groups, and chi-square tests for categorical associations when expected cell counts are adequate. For model analysis, use permutation importance or coefficients for interpretation; do not confuse importance with causality. Consider grouped or temporal validation to account for dependence between reviews of the same product.</w:t>
      </w:r>
    </w:p>
    <w:p>
      <w:pPr>
        <w:pStyle w:val="Heading2"/>
      </w:pPr>
      <w:r>
        <w:t>7. Visualization Plan</w:t>
      </w:r>
    </w:p>
    <w:p>
      <w:r>
        <w:t>Figure 1: dataset completeness. Figure 2: rating and target distribution. Figure 3: review volume by category. Figure 4: rating by category. Figure 5: price vs rating with transparency or aggregation to reduce overplotting. Figure 6: review volume over time. Figure 7: confusion matrix and precision-recall curve after modeling. Each figure should include a title, axes, units, sample size where practical, and a short business interpretation.</w:t>
      </w:r>
    </w:p>
    <w:p>
      <w:pPr>
        <w:pStyle w:val="Heading2"/>
      </w:pPr>
      <w:r>
        <w:t>8. Example Business Scenario</w:t>
      </w:r>
    </w:p>
    <w:p>
      <w:r>
        <w:t>If the analysis shows that category-level rating differences persist after accounting for review count and the pattern is stable in grouped validation, a retailer could prioritize further product-page testing for weaker categories or improve product information. If the difference disappears after controlling for review volume, the safer action is to improve review collection and product-page transparency rather than discontinue products. These are conditional examples, not findings.</w:t>
      </w:r>
    </w:p>
    <w:p>
      <w:pPr>
        <w:pStyle w:val="Heading2"/>
      </w:pPr>
      <w:r>
        <w:t>9. Outputs</w:t>
      </w:r>
    </w:p>
    <w:p>
      <w:r>
        <w:t>Expected outputs include a data profile CSV, cleaned dataset, EDA charts, feature dictionary, and a short narrative explaining each major pattern. Record all chart-generation parameters and ensure that chart conclusions are supported by actual outputs.</w:t>
      </w:r>
    </w:p>
    <w:p>
      <w:pPr>
        <w:pStyle w:val="Heading2"/>
      </w:pPr>
      <w:r>
        <w:t>Source Register</w:t>
      </w:r>
    </w:p>
    <w:p>
      <w:pPr>
        <w:pStyle w:val="ListBullet"/>
      </w:pPr>
      <w:r>
        <w:rPr>
          <w:b/>
        </w:rPr>
        <w:t xml:space="preserve">Sephora Skincare Reviews &amp; Sentiment dataset mirror (dataset documentation) — </w:t>
      </w:r>
      <w:r>
        <w:t>https://huggingface.co/datasets/haoxianc/natashamessier_sephora-skincare-reviews-and-sentiment. Dataset documentation describes 40,234 customer reviews across 2,012 skincare products; verify the actual files, schema, and license before use.</w:t>
      </w:r>
    </w:p>
    <w:p>
      <w:pPr>
        <w:pStyle w:val="ListBullet"/>
      </w:pPr>
      <w:r>
        <w:rPr>
          <w:b/>
        </w:rPr>
        <w:t xml:space="preserve">Related Sephora skincare classification project (methodological reference) — </w:t>
      </w:r>
      <w:r>
        <w:t>https://github.com/meiw02/skincare-review-classification. Illustrates a workflow using skincare product/review data, cleaning, feature selection, classification, and class-imbalance discussion; not treated as evidence for this project's results.</w:t>
      </w:r>
    </w:p>
    <w:p>
      <w:pPr>
        <w:pStyle w:val="ListBullet"/>
      </w:pPr>
      <w:r>
        <w:rPr>
          <w:b/>
        </w:rPr>
        <w:t xml:space="preserve">UCI Online Retail dataset — </w:t>
      </w:r>
      <w:r>
        <w:t>https://uci-ics-mlr-prod.aws.uci.edu/dataset/352/online%2Bretail. A real transaction dataset, but it concerns giftware rather than beauty products; optional only for practicing retail analytics, not the core analysis.</w:t>
      </w:r>
    </w:p>
    <w:p>
      <w:pPr>
        <w:pStyle w:val="ListBullet"/>
      </w:pPr>
      <w:r>
        <w:rPr>
          <w:b/>
        </w:rPr>
        <w:t xml:space="preserve">openFDA Cosmetics Adverse Events API — </w:t>
      </w:r>
      <w:r>
        <w:t>https://open.fda.gov/apis/cosmetic/event/. Official US cosmetic adverse-event reporting resource; reports are not a measure of incidence or proof of causation.</w:t>
      </w:r>
    </w:p>
    <w:p>
      <w:pPr>
        <w:pStyle w:val="ListBullet"/>
      </w:pPr>
      <w:r>
        <w:rPr>
          <w:b/>
        </w:rPr>
        <w:t xml:space="preserve">FDA cosmetic adverse event dashboard announcement — </w:t>
      </w:r>
      <w:r>
        <w:t>https://www.fda.gov/news-events/press-announcements/fda-launches-real-time-adverse-event-reporting-dashboard-cosmetic-products. Explains public access to cosmetic adverse-event reports and the dashboard.</w:t>
      </w:r>
    </w:p>
    <w:p>
      <w:pPr>
        <w:pStyle w:val="ListBullet"/>
      </w:pPr>
      <w:r>
        <w:rPr>
          <w:b/>
        </w:rPr>
        <w:t xml:space="preserve">pandas documentation — </w:t>
      </w:r>
      <w:r>
        <w:t>https://pandas.pydata.org/docs/. Data loading, cleaning, transformation, and tabular analysis.</w:t>
      </w:r>
    </w:p>
    <w:p>
      <w:pPr>
        <w:pStyle w:val="ListBullet"/>
      </w:pPr>
      <w:r>
        <w:rPr>
          <w:b/>
        </w:rPr>
        <w:t xml:space="preserve">scikit-learn documentation — </w:t>
      </w:r>
      <w:r>
        <w:t>https://scikit-learn.org/stable/. Model pipelines, train/test splitting, preprocessing, and evaluation.</w:t>
      </w:r>
    </w:p>
    <w:p>
      <w:pPr>
        <w:pStyle w:val="ListBullet"/>
      </w:pPr>
      <w:r>
        <w:rPr>
          <w:b/>
        </w:rPr>
        <w:t xml:space="preserve">Matplotlib documentation — </w:t>
      </w:r>
      <w:r>
        <w:t>https://matplotlib.org/stable/. Static charts and figures.</w:t>
      </w:r>
    </w:p>
    <w:p>
      <w:pPr>
        <w:pStyle w:val="ListBullet"/>
      </w:pPr>
      <w:r>
        <w:rPr>
          <w:b/>
        </w:rPr>
        <w:t xml:space="preserve">Seaborn documentation — </w:t>
      </w:r>
      <w:r>
        <w:t>https://seaborn.pydata.org/. Statistical visualization.</w:t>
      </w:r>
    </w:p>
    <w:p>
      <w:r>
        <w:t>Integrity note: This document separates proposed methods from measured results. No numerical model performance should be reported unless it is produced by running the accompanying code on a documented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