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6 — Model Evaluation, Reporting &amp; Business Impact Communication</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6 — Model Evaluation, Reporting &amp; Business Impact Communication</w:t>
      </w:r>
    </w:p>
    <w:p>
      <w:pPr>
        <w:pStyle w:val="Heading2"/>
      </w:pPr>
      <w:r>
        <w:t>Executive Summary</w:t>
      </w:r>
    </w:p>
    <w:p>
      <w:r>
        <w:t>The final report defines how model performance will be evaluated and communicated to non-technical stakeholders. The key deliverable is not simply the highest score: it is an honest assessment of whether the model generalizes, what errors it makes, and whether its output supports a reasonable business decision. Numerical results must come from the executed pipeline and must not be replaced with illustrative values.</w:t>
      </w:r>
    </w:p>
    <w:p>
      <w:pPr>
        <w:pStyle w:val="Heading2"/>
      </w:pPr>
      <w:r>
        <w:t>1. Evaluation Framework</w:t>
      </w:r>
    </w:p>
    <w:p>
      <w:r>
        <w:t>Stage 1: verify data provenance, schema, and target definition. Stage 2: compare a dummy baseline with candidate models using training-only cross-validation. Stage 3: select a model based on a metric aligned to the business cost of errors. Stage 4: evaluate once on the held-out test set. Stage 5: compare random-split results with product-grouped or time-based results where possible. Stage 6: inspect errors, class balance, and subgroup stability. Stage 7: communicate limitations and a monitoring plan.</w:t>
      </w:r>
    </w:p>
    <w:p>
      <w:pPr>
        <w:pStyle w:val="Heading2"/>
      </w:pPr>
      <w:r>
        <w:t>2. Metrics in Business Language</w:t>
      </w:r>
    </w:p>
    <w:p>
      <w:r>
        <w:t>Precision answers: of items flagged positive by the model, how many were actually positive? Recall answers: of all truly positive items, how many did the model identify? F1 balances precision and recall. ROC-AUC measures ranking discrimination across thresholds, but can look optimistic under severe class imbalance; consider precision-recall analysis as well. A confusion matrix counts true positives, false positives, true negatives, and false negatives. For rating regression, MAE is the typical absolute error in rating units, while RMSE penalizes larger errors more strongly.</w:t>
      </w:r>
    </w:p>
    <w:p>
      <w:pPr>
        <w:pStyle w:val="Heading2"/>
      </w:pPr>
      <w:r>
        <w:t>3. Result Tables and Visualizations</w:t>
      </w:r>
    </w:p>
    <w:p>
      <w:r>
        <w:t>Include a model-comparison table with model name, validation method, metric, score, and baseline. Add a confusion matrix, ROC or precision-recall curve when classification is supported, and a feature-importance chart. For regression, plot predicted versus actual ratings and residuals. Include dataset row counts and target balance. If a model cannot run due to missing columns or insufficient target classes, report the reason explicitly.</w:t>
      </w:r>
    </w:p>
    <w:p>
      <w:pPr>
        <w:pStyle w:val="Heading2"/>
      </w:pPr>
      <w:r>
        <w:t>4. Error Analysis and Robustness</w:t>
      </w:r>
    </w:p>
    <w:p>
      <w:r>
        <w:t>Inspect false positives and false negatives by category, price band, review date, and other non-sensitive fields available in the data. Check whether the model relies heavily on rating when predicting recommendation status. Compare product-grouped results with random-split results to identify memorization. Check performance on common and rare categories. If group sizes are small, avoid strong claims. Re-test with alternative missing-value and threshold choices as a sensitivity analysis.</w:t>
      </w:r>
    </w:p>
    <w:p>
      <w:pPr>
        <w:pStyle w:val="Heading2"/>
      </w:pPr>
      <w:r>
        <w:t>5. Business Impact and Recommended Actions</w:t>
      </w:r>
    </w:p>
    <w:p>
      <w:r>
        <w:t>Potential use cases include improving product-page content, prioritizing products for manual review, identifying categories where review signals are noisy, and helping analysts shortlist products for further testing. Do not use the model to claim that a product is safe, effective, or suitable for a particular skin condition. Before deployment, run an offline pilot, involve merchandising and consumer-protection stakeholders, and test whether recommendations improve meaningful outcomes such as engagement or conversion without increasing complaints or returns.</w:t>
      </w:r>
    </w:p>
    <w:p>
      <w:pPr>
        <w:pStyle w:val="Heading2"/>
      </w:pPr>
      <w:r>
        <w:t>6. Illustrative Decision Matrix</w:t>
      </w:r>
    </w:p>
    <w:p>
      <w:r>
        <w:t>If precision is high but recall is low, use the model as a conservative shortlist and manually review missed cases. If recall is high but precision is low, use it for exploratory discovery rather than automatic ranking. If the model does not beat the baseline or fails grouped validation, do not deploy it; improve data quality or redefine the business target. These are decision rules, not claims about the actual model's result.</w:t>
      </w:r>
    </w:p>
    <w:p>
      <w:pPr>
        <w:pStyle w:val="Heading2"/>
      </w:pPr>
      <w:r>
        <w:t>7. Limitations and Governance</w:t>
      </w:r>
    </w:p>
    <w:p>
      <w:r>
        <w:t>Historical platform reviews may not represent current consumers or other retailers. Publicly visible reviews are self-selected. Ratings and recommendation labels can reflect platform design, brand awareness, and reviewer expectations. Data drift may occur as products, formulations, prices, and trends change. The model should not infer sensitive personal attributes, diagnose skin conditions, or replace professional advice. Keep a model card with intended use, prohibited use, data provenance, metrics, known limitations, and retraining criteria.</w:t>
      </w:r>
    </w:p>
    <w:p>
      <w:pPr>
        <w:pStyle w:val="Heading2"/>
      </w:pPr>
      <w:r>
        <w:t>8. Final Conclusion</w:t>
      </w:r>
    </w:p>
    <w:p>
      <w:r>
        <w:t>The six-week workflow provides a reproducible path from business question to evaluation and communication. Its credibility depends on traceable sources, leakage-safe validation, measured results, and honest uncertainty. Business recommendations should be proportional to the strength of evidence; when the evidence is weak, the right recommendation is further data collection or a controlled experiment rather than confident automation.</w:t>
      </w:r>
    </w:p>
    <w:p>
      <w:pPr>
        <w:pStyle w:val="Heading2"/>
      </w:pPr>
      <w:r>
        <w:t>References</w:t>
      </w:r>
    </w:p>
    <w:p>
      <w:r>
        <w:t>Dataset documentation and software references are listed in the repository README. All model results should be reproducible from the project scripts and the locally obtained dataset.</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