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E88D" w14:textId="77777777" w:rsidR="00CF5A6F" w:rsidRDefault="00000000">
      <w:pPr>
        <w:spacing w:after="100"/>
        <w:jc w:val="center"/>
      </w:pPr>
      <w:proofErr w:type="spellStart"/>
      <w:r>
        <w:rPr>
          <w:rFonts w:ascii="Georgia" w:hAnsi="Georgia"/>
          <w:b/>
          <w:color w:val="9A6F22"/>
          <w:sz w:val="40"/>
        </w:rPr>
        <w:t>VocalIQ</w:t>
      </w:r>
      <w:proofErr w:type="spellEnd"/>
      <w:r>
        <w:rPr>
          <w:rFonts w:ascii="Georgia" w:hAnsi="Georgia"/>
          <w:b/>
          <w:color w:val="9A6F22"/>
          <w:sz w:val="40"/>
        </w:rPr>
        <w:t>: A Framework for Robust Acoustic Analysis and Human-Aligned Singing Evaluation</w:t>
      </w:r>
    </w:p>
    <w:p w14:paraId="2D2E368D" w14:textId="77777777" w:rsidR="00CF5A6F" w:rsidRDefault="00000000">
      <w:pPr>
        <w:spacing w:after="160"/>
        <w:jc w:val="center"/>
      </w:pPr>
      <w:r>
        <w:rPr>
          <w:i/>
          <w:sz w:val="20"/>
        </w:rPr>
        <w:t>Research proposal · September 2026</w:t>
      </w:r>
    </w:p>
    <w:p w14:paraId="60EF8414" w14:textId="77777777" w:rsidR="00CF5A6F" w:rsidRDefault="00000000">
      <w:pPr>
        <w:pStyle w:val="Heading1"/>
        <w:spacing w:before="200" w:after="60"/>
      </w:pPr>
      <w:r>
        <w:rPr>
          <w:sz w:val="28"/>
        </w:rPr>
        <w:t>1. Introduction</w:t>
      </w:r>
    </w:p>
    <w:p w14:paraId="5FAAF0B2" w14:textId="77777777" w:rsidR="00CF5A6F" w:rsidRDefault="00000000">
      <w:pPr>
        <w:spacing w:after="100"/>
        <w:jc w:val="both"/>
      </w:pPr>
      <w:r>
        <w:t xml:space="preserve">Most singing practice happens alone, between lessons that are expensive and infrequent, and consumer apps typically offer only a pitch line or a single score. </w:t>
      </w:r>
      <w:proofErr w:type="spellStart"/>
      <w:r>
        <w:t>VocalIQ</w:t>
      </w:r>
      <w:proofErr w:type="spellEnd"/>
      <w:r>
        <w:t xml:space="preserve"> is a working prototype of an automated singing coach that aims to give lesson-like, explained feedback on every practice session. A singer records a short take, and the system extracts the pitch contour, segments notes and phrases, scores seven areas of technique (intonation, pitch stability, vibrato, breath support, resonance, dynamics and register transitions), and turns the results into coaching tips, a practice plan and live practice tools.</w:t>
      </w:r>
    </w:p>
    <w:p w14:paraId="3BE0B90D" w14:textId="77777777" w:rsidR="00CF5A6F" w:rsidRDefault="00000000">
      <w:pPr>
        <w:spacing w:after="100"/>
        <w:jc w:val="both"/>
      </w:pPr>
      <w:r>
        <w:t xml:space="preserve">The prototype works end to end, but its analysis rests on hand-tuned signal-processing heuristics that have never been validated against expert judgement or tested on real singers recorded on consumer devices. Earlier work has scored pitch-interval accuracy and vibrato without a reference melody (Nakano et al., 2006) and predicted perceptual singing-quality ratings from karaoke recordings (Gupta et al., 2017, 2020). It has not, however, examined how such measures behave across recording conditions, how reliable the expert ratings used as targets are, or whether the resulting feedback helps singers learn. This proposal sets out an eight-week study that addresses these gaps and, in doing so, produces </w:t>
      </w:r>
      <w:proofErr w:type="spellStart"/>
      <w:r>
        <w:t>VocalIQ</w:t>
      </w:r>
      <w:proofErr w:type="spellEnd"/>
      <w:r>
        <w:t>-Bench, a consented corpus of consumer and reference-grade singing with note annotations and multi-rater pedagogical ratings.</w:t>
      </w:r>
    </w:p>
    <w:p w14:paraId="37280024" w14:textId="77777777" w:rsidR="00CF5A6F" w:rsidRDefault="00000000">
      <w:pPr>
        <w:pStyle w:val="Heading1"/>
        <w:spacing w:before="200" w:after="60"/>
      </w:pPr>
      <w:r>
        <w:rPr>
          <w:sz w:val="28"/>
        </w:rPr>
        <w:t>2. Background and preliminary work</w:t>
      </w:r>
    </w:p>
    <w:p w14:paraId="149A2572" w14:textId="77777777" w:rsidR="00CF5A6F" w:rsidRDefault="00000000">
      <w:pPr>
        <w:spacing w:after="100"/>
        <w:jc w:val="both"/>
      </w:pPr>
      <w:r>
        <w:t xml:space="preserve">The analysis engine combines </w:t>
      </w:r>
      <w:proofErr w:type="spellStart"/>
      <w:r>
        <w:t>pYIN</w:t>
      </w:r>
      <w:proofErr w:type="spellEnd"/>
      <w:r>
        <w:t xml:space="preserve"> pitch tracking (Mauch &amp; Dixon, 2014), note segmentation, vibrato estimation, breath and phrase detection, and spectral resonance, formant and dynamics measures. A root-cause engine links symptoms to likely causes, for example pitch drift and breathiness to a collapse in breath support, and a rule-based generator turns them into tips. A reference-song mode uses subsequence dynamic time warping (Müller, 2015) to locate the sung passage within a full recording and score melody and timing. The system runs as a Flask service with a mobile-first web client packaged for iOS and Android, whose live tools use browser-based YIN (de </w:t>
      </w:r>
      <w:proofErr w:type="spellStart"/>
      <w:r>
        <w:t>Cheveigné</w:t>
      </w:r>
      <w:proofErr w:type="spellEnd"/>
      <w:r>
        <w:t xml:space="preserve"> &amp; Kawahara, 2002).</w:t>
      </w:r>
    </w:p>
    <w:p w14:paraId="789B3B03" w14:textId="77777777" w:rsidR="00CF5A6F" w:rsidRDefault="00000000">
      <w:pPr>
        <w:spacing w:after="100"/>
        <w:jc w:val="both"/>
      </w:pPr>
      <w:r>
        <w:t>Four limitations motivate the study. Scores come from thresholds chosen by the developer rather than calibrated against human raters; all testing has used synthetic signals; recording conditions are uncontrolled; and the root-cause explanations, although central to the product, have never been checked against teachers. The study covers solo, unaccompanied or lightly accompanied adult singing in Western popular, musical theatre and classical styles, and excludes clinical voice assessment and large end-to-end models trained from scratch.</w:t>
      </w:r>
    </w:p>
    <w:p w14:paraId="7633CF8F" w14:textId="77777777" w:rsidR="00CF5A6F" w:rsidRDefault="00000000">
      <w:pPr>
        <w:pStyle w:val="Heading1"/>
        <w:spacing w:before="200" w:after="60"/>
      </w:pPr>
      <w:r>
        <w:rPr>
          <w:sz w:val="28"/>
        </w:rPr>
        <w:t>3. Research questions and hypotheses</w:t>
      </w:r>
    </w:p>
    <w:p w14:paraId="3CAE8953" w14:textId="77777777" w:rsidR="00CF5A6F" w:rsidRDefault="00000000">
      <w:pPr>
        <w:spacing w:after="100"/>
        <w:jc w:val="both"/>
      </w:pPr>
      <w:r>
        <w:t xml:space="preserve">The study is </w:t>
      </w:r>
      <w:proofErr w:type="spellStart"/>
      <w:r>
        <w:t>organised</w:t>
      </w:r>
      <w:proofErr w:type="spellEnd"/>
      <w:r>
        <w:t xml:space="preserve"> around four questions that build on each other (Table 1). Hypotheses, primary outcomes and analysis plans will be pre-registered (Nosek et al., 2018) before any expert ratings are </w:t>
      </w:r>
      <w:r>
        <w:lastRenderedPageBreak/>
        <w:t>unblinded, and every analysis holds out whole singers so that no singer contributes to both training and test data.</w:t>
      </w:r>
    </w:p>
    <w:p w14:paraId="0ED7100B" w14:textId="77777777" w:rsidR="00CF5A6F" w:rsidRDefault="00000000">
      <w:pPr>
        <w:keepNext/>
        <w:spacing w:before="60" w:after="40"/>
      </w:pPr>
      <w:r>
        <w:rPr>
          <w:i/>
          <w:color w:val="555555"/>
          <w:sz w:val="18"/>
        </w:rPr>
        <w:t>Table 1. Research questions, primary outcomes and data.</w:t>
      </w:r>
    </w:p>
    <w:tbl>
      <w:tblPr>
        <w:tblStyle w:val="TableGrid"/>
        <w:tblW w:w="0" w:type="auto"/>
        <w:jc w:val="center"/>
        <w:tblLook w:val="04A0" w:firstRow="1" w:lastRow="0" w:firstColumn="1" w:lastColumn="0" w:noHBand="0" w:noVBand="1"/>
      </w:tblPr>
      <w:tblGrid>
        <w:gridCol w:w="620"/>
        <w:gridCol w:w="3500"/>
        <w:gridCol w:w="2700"/>
        <w:gridCol w:w="2421"/>
      </w:tblGrid>
      <w:tr w:rsidR="00CF5A6F" w14:paraId="1BFC509B" w14:textId="77777777">
        <w:trPr>
          <w:tblHeader/>
          <w:jc w:val="center"/>
        </w:trPr>
        <w:tc>
          <w:tcPr>
            <w:tcW w:w="620" w:type="dxa"/>
            <w:shd w:val="clear" w:color="auto" w:fill="EFE6D2"/>
          </w:tcPr>
          <w:p w14:paraId="6B8F3622" w14:textId="77777777" w:rsidR="00CF5A6F" w:rsidRDefault="00000000">
            <w:pPr>
              <w:spacing w:after="0" w:line="240" w:lineRule="auto"/>
            </w:pPr>
            <w:r>
              <w:rPr>
                <w:b/>
                <w:sz w:val="18"/>
              </w:rPr>
              <w:t>RQ</w:t>
            </w:r>
          </w:p>
        </w:tc>
        <w:tc>
          <w:tcPr>
            <w:tcW w:w="3500" w:type="dxa"/>
            <w:shd w:val="clear" w:color="auto" w:fill="EFE6D2"/>
          </w:tcPr>
          <w:p w14:paraId="701CA2C5" w14:textId="77777777" w:rsidR="00CF5A6F" w:rsidRDefault="00000000">
            <w:pPr>
              <w:spacing w:after="0" w:line="240" w:lineRule="auto"/>
            </w:pPr>
            <w:r>
              <w:rPr>
                <w:b/>
                <w:sz w:val="18"/>
              </w:rPr>
              <w:t>Question</w:t>
            </w:r>
          </w:p>
        </w:tc>
        <w:tc>
          <w:tcPr>
            <w:tcW w:w="2700" w:type="dxa"/>
            <w:shd w:val="clear" w:color="auto" w:fill="EFE6D2"/>
          </w:tcPr>
          <w:p w14:paraId="159D597A" w14:textId="77777777" w:rsidR="00CF5A6F" w:rsidRDefault="00000000">
            <w:pPr>
              <w:spacing w:after="0" w:line="240" w:lineRule="auto"/>
            </w:pPr>
            <w:r>
              <w:rPr>
                <w:b/>
                <w:sz w:val="18"/>
              </w:rPr>
              <w:t>Primary outcome</w:t>
            </w:r>
          </w:p>
        </w:tc>
        <w:tc>
          <w:tcPr>
            <w:tcW w:w="2421" w:type="dxa"/>
            <w:shd w:val="clear" w:color="auto" w:fill="EFE6D2"/>
          </w:tcPr>
          <w:p w14:paraId="507E652D" w14:textId="77777777" w:rsidR="00CF5A6F" w:rsidRDefault="00000000">
            <w:pPr>
              <w:spacing w:after="0" w:line="240" w:lineRule="auto"/>
            </w:pPr>
            <w:r>
              <w:rPr>
                <w:b/>
                <w:sz w:val="18"/>
              </w:rPr>
              <w:t>Data</w:t>
            </w:r>
          </w:p>
        </w:tc>
      </w:tr>
      <w:tr w:rsidR="00CF5A6F" w14:paraId="79D6D62D" w14:textId="77777777">
        <w:trPr>
          <w:cantSplit/>
          <w:jc w:val="center"/>
        </w:trPr>
        <w:tc>
          <w:tcPr>
            <w:tcW w:w="620" w:type="dxa"/>
          </w:tcPr>
          <w:p w14:paraId="39AD1B4F" w14:textId="77777777" w:rsidR="00CF5A6F" w:rsidRDefault="00000000">
            <w:pPr>
              <w:spacing w:after="0" w:line="240" w:lineRule="auto"/>
            </w:pPr>
            <w:r>
              <w:rPr>
                <w:sz w:val="18"/>
              </w:rPr>
              <w:t>RQ1</w:t>
            </w:r>
          </w:p>
        </w:tc>
        <w:tc>
          <w:tcPr>
            <w:tcW w:w="3500" w:type="dxa"/>
          </w:tcPr>
          <w:p w14:paraId="40FD66BD" w14:textId="77777777" w:rsidR="00CF5A6F" w:rsidRDefault="00000000">
            <w:pPr>
              <w:spacing w:after="0" w:line="240" w:lineRule="auto"/>
            </w:pPr>
            <w:r>
              <w:rPr>
                <w:sz w:val="18"/>
              </w:rPr>
              <w:t>Are the measurements stable across consumer recording channels?</w:t>
            </w:r>
          </w:p>
        </w:tc>
        <w:tc>
          <w:tcPr>
            <w:tcW w:w="2700" w:type="dxa"/>
          </w:tcPr>
          <w:p w14:paraId="545B2D9C" w14:textId="77777777" w:rsidR="00CF5A6F" w:rsidRDefault="00000000">
            <w:pPr>
              <w:spacing w:after="0" w:line="240" w:lineRule="auto"/>
            </w:pPr>
            <w:r>
              <w:rPr>
                <w:sz w:val="18"/>
              </w:rPr>
              <w:t>Raw pitch accuracy; cross-channel ICC</w:t>
            </w:r>
          </w:p>
        </w:tc>
        <w:tc>
          <w:tcPr>
            <w:tcW w:w="2421" w:type="dxa"/>
          </w:tcPr>
          <w:p w14:paraId="48F1A86A" w14:textId="77777777" w:rsidR="00CF5A6F" w:rsidRDefault="00000000">
            <w:pPr>
              <w:spacing w:after="0" w:line="240" w:lineRule="auto"/>
            </w:pPr>
            <w:r>
              <w:rPr>
                <w:sz w:val="18"/>
              </w:rPr>
              <w:t>15 dual-stream singers; synthetic SNR × RT60 grid</w:t>
            </w:r>
          </w:p>
        </w:tc>
      </w:tr>
      <w:tr w:rsidR="00CF5A6F" w14:paraId="3DF14B22" w14:textId="77777777">
        <w:trPr>
          <w:cantSplit/>
          <w:jc w:val="center"/>
        </w:trPr>
        <w:tc>
          <w:tcPr>
            <w:tcW w:w="620" w:type="dxa"/>
          </w:tcPr>
          <w:p w14:paraId="41E37D39" w14:textId="77777777" w:rsidR="00CF5A6F" w:rsidRDefault="00000000">
            <w:pPr>
              <w:spacing w:after="0" w:line="240" w:lineRule="auto"/>
            </w:pPr>
            <w:r>
              <w:rPr>
                <w:sz w:val="18"/>
              </w:rPr>
              <w:t>RQ2</w:t>
            </w:r>
          </w:p>
        </w:tc>
        <w:tc>
          <w:tcPr>
            <w:tcW w:w="3500" w:type="dxa"/>
          </w:tcPr>
          <w:p w14:paraId="4F47DDBB" w14:textId="77777777" w:rsidR="00CF5A6F" w:rsidRDefault="00000000">
            <w:pPr>
              <w:spacing w:after="0" w:line="240" w:lineRule="auto"/>
            </w:pPr>
            <w:r>
              <w:rPr>
                <w:sz w:val="18"/>
              </w:rPr>
              <w:t>How reliably do teachers agree, and what ceiling does that set?</w:t>
            </w:r>
          </w:p>
        </w:tc>
        <w:tc>
          <w:tcPr>
            <w:tcW w:w="2700" w:type="dxa"/>
          </w:tcPr>
          <w:p w14:paraId="1312299A" w14:textId="77777777" w:rsidR="00CF5A6F" w:rsidRDefault="00000000">
            <w:pPr>
              <w:spacing w:after="0" w:line="240" w:lineRule="auto"/>
            </w:pPr>
            <w:r>
              <w:rPr>
                <w:sz w:val="18"/>
              </w:rPr>
              <w:t>ICC(2,1), ICC(2,3), √ICC(2,3)</w:t>
            </w:r>
          </w:p>
        </w:tc>
        <w:tc>
          <w:tcPr>
            <w:tcW w:w="2421" w:type="dxa"/>
          </w:tcPr>
          <w:p w14:paraId="3AD2A42E" w14:textId="77777777" w:rsidR="00CF5A6F" w:rsidRDefault="00000000">
            <w:pPr>
              <w:spacing w:after="0" w:line="240" w:lineRule="auto"/>
            </w:pPr>
            <w:r>
              <w:rPr>
                <w:sz w:val="18"/>
              </w:rPr>
              <w:t>120 takes × 3 raters, fully crossed</w:t>
            </w:r>
          </w:p>
        </w:tc>
      </w:tr>
      <w:tr w:rsidR="00CF5A6F" w14:paraId="343BE1BC" w14:textId="77777777">
        <w:trPr>
          <w:cantSplit/>
          <w:jc w:val="center"/>
        </w:trPr>
        <w:tc>
          <w:tcPr>
            <w:tcW w:w="620" w:type="dxa"/>
          </w:tcPr>
          <w:p w14:paraId="6CDC29B2" w14:textId="77777777" w:rsidR="00CF5A6F" w:rsidRDefault="00000000">
            <w:pPr>
              <w:spacing w:after="0" w:line="240" w:lineRule="auto"/>
            </w:pPr>
            <w:r>
              <w:rPr>
                <w:sz w:val="18"/>
              </w:rPr>
              <w:t>RQ3</w:t>
            </w:r>
          </w:p>
        </w:tc>
        <w:tc>
          <w:tcPr>
            <w:tcW w:w="3500" w:type="dxa"/>
          </w:tcPr>
          <w:p w14:paraId="55388367" w14:textId="77777777" w:rsidR="00CF5A6F" w:rsidRDefault="00000000">
            <w:pPr>
              <w:spacing w:after="0" w:line="240" w:lineRule="auto"/>
            </w:pPr>
            <w:r>
              <w:rPr>
                <w:sz w:val="18"/>
              </w:rPr>
              <w:t>Does learned hybrid calibration beat the hand-tuned rules?</w:t>
            </w:r>
          </w:p>
        </w:tc>
        <w:tc>
          <w:tcPr>
            <w:tcW w:w="2700" w:type="dxa"/>
          </w:tcPr>
          <w:p w14:paraId="7415FC6D" w14:textId="77777777" w:rsidR="00CF5A6F" w:rsidRDefault="00000000">
            <w:pPr>
              <w:spacing w:after="0" w:line="240" w:lineRule="auto"/>
            </w:pPr>
            <w:r>
              <w:rPr>
                <w:sz w:val="18"/>
              </w:rPr>
              <w:t>Held-out and ceiling-</w:t>
            </w:r>
            <w:proofErr w:type="spellStart"/>
            <w:r>
              <w:rPr>
                <w:sz w:val="18"/>
              </w:rPr>
              <w:t>normalised</w:t>
            </w:r>
            <w:proofErr w:type="spellEnd"/>
            <w:r>
              <w:rPr>
                <w:sz w:val="18"/>
              </w:rPr>
              <w:t xml:space="preserve"> Spearman ρ</w:t>
            </w:r>
          </w:p>
        </w:tc>
        <w:tc>
          <w:tcPr>
            <w:tcW w:w="2421" w:type="dxa"/>
          </w:tcPr>
          <w:p w14:paraId="0A81E507" w14:textId="77777777" w:rsidR="00CF5A6F" w:rsidRDefault="00000000">
            <w:pPr>
              <w:spacing w:after="0" w:line="240" w:lineRule="auto"/>
            </w:pPr>
            <w:r>
              <w:rPr>
                <w:sz w:val="18"/>
              </w:rPr>
              <w:t>Rated takes; nested singer-grouped CV</w:t>
            </w:r>
          </w:p>
        </w:tc>
      </w:tr>
      <w:tr w:rsidR="00CF5A6F" w14:paraId="1108DB9D" w14:textId="77777777">
        <w:trPr>
          <w:cantSplit/>
          <w:jc w:val="center"/>
        </w:trPr>
        <w:tc>
          <w:tcPr>
            <w:tcW w:w="620" w:type="dxa"/>
          </w:tcPr>
          <w:p w14:paraId="784FB8DE" w14:textId="77777777" w:rsidR="00CF5A6F" w:rsidRDefault="00000000">
            <w:pPr>
              <w:spacing w:after="0" w:line="240" w:lineRule="auto"/>
            </w:pPr>
            <w:r>
              <w:rPr>
                <w:sz w:val="18"/>
              </w:rPr>
              <w:t>RQ4</w:t>
            </w:r>
          </w:p>
        </w:tc>
        <w:tc>
          <w:tcPr>
            <w:tcW w:w="3500" w:type="dxa"/>
          </w:tcPr>
          <w:p w14:paraId="2574191B" w14:textId="77777777" w:rsidR="00CF5A6F" w:rsidRDefault="00000000">
            <w:pPr>
              <w:spacing w:after="0" w:line="240" w:lineRule="auto"/>
            </w:pPr>
            <w:r>
              <w:rPr>
                <w:sz w:val="18"/>
              </w:rPr>
              <w:t>Does explaining causes improve learning and retention?</w:t>
            </w:r>
          </w:p>
        </w:tc>
        <w:tc>
          <w:tcPr>
            <w:tcW w:w="2700" w:type="dxa"/>
          </w:tcPr>
          <w:p w14:paraId="71F3EF68" w14:textId="77777777" w:rsidR="00CF5A6F" w:rsidRDefault="00000000">
            <w:pPr>
              <w:spacing w:after="0" w:line="240" w:lineRule="auto"/>
            </w:pPr>
            <w:r>
              <w:rPr>
                <w:sz w:val="18"/>
              </w:rPr>
              <w:t>Pitch-error slope; 7-day retention</w:t>
            </w:r>
          </w:p>
        </w:tc>
        <w:tc>
          <w:tcPr>
            <w:tcW w:w="2421" w:type="dxa"/>
          </w:tcPr>
          <w:p w14:paraId="36345760" w14:textId="77777777" w:rsidR="00CF5A6F" w:rsidRDefault="00000000">
            <w:pPr>
              <w:spacing w:after="0" w:line="240" w:lineRule="auto"/>
            </w:pPr>
            <w:proofErr w:type="spellStart"/>
            <w:r>
              <w:rPr>
                <w:sz w:val="18"/>
              </w:rPr>
              <w:t>Randomised</w:t>
            </w:r>
            <w:proofErr w:type="spellEnd"/>
            <w:r>
              <w:rPr>
                <w:sz w:val="18"/>
              </w:rPr>
              <w:t xml:space="preserve"> pilot, 20–24 singers</w:t>
            </w:r>
          </w:p>
        </w:tc>
      </w:tr>
    </w:tbl>
    <w:p w14:paraId="1BDDD26E" w14:textId="77777777" w:rsidR="00CF5A6F" w:rsidRDefault="00000000">
      <w:pPr>
        <w:pStyle w:val="Heading2"/>
        <w:spacing w:before="140" w:after="60"/>
      </w:pPr>
      <w:r>
        <w:rPr>
          <w:sz w:val="23"/>
        </w:rPr>
        <w:t>3.1 RQ1: Measurement invariance under consumer recording channels</w:t>
      </w:r>
    </w:p>
    <w:p w14:paraId="27DE88E0" w14:textId="77777777" w:rsidR="00CF5A6F" w:rsidRDefault="00000000">
      <w:pPr>
        <w:spacing w:after="100"/>
        <w:jc w:val="both"/>
      </w:pPr>
      <w:r>
        <w:t xml:space="preserve">If the same performance yields different measurements on a phone in a reverberant room than on a studio microphone, score changes may reflect the room rather than the voice, and any learned model will absorb the channel. RQ1 asks how much </w:t>
      </w:r>
      <w:proofErr w:type="spellStart"/>
      <w:r>
        <w:t>VocalIQ’s</w:t>
      </w:r>
      <w:proofErr w:type="spellEnd"/>
      <w:r>
        <w:t xml:space="preserve"> measurements change across signal-to-noise ratios (SNR) of 5–25 dB, reverberation times (RT60) of 0.2–0.8 s, two microphone distances and three device types, and whether neural pitch estimators such as RMVPE (Wei et al., 2023) and CREPE (Kim et al., 2018) are more robust than </w:t>
      </w:r>
      <w:proofErr w:type="spellStart"/>
      <w:r>
        <w:t>pYIN</w:t>
      </w:r>
      <w:proofErr w:type="spellEnd"/>
      <w:r>
        <w:t xml:space="preserve">. We </w:t>
      </w:r>
      <w:proofErr w:type="spellStart"/>
      <w:r>
        <w:t>hypothesise</w:t>
      </w:r>
      <w:proofErr w:type="spellEnd"/>
      <w:r>
        <w:t xml:space="preserve"> that neural estimators keep median error below 15 cents and raw pitch accuracy (RPA) at or above 90% for RT60 ≥ 0.4 s and SNR ≥ 10 dB, while </w:t>
      </w:r>
      <w:proofErr w:type="spellStart"/>
      <w:r>
        <w:t>pYIN</w:t>
      </w:r>
      <w:proofErr w:type="spellEnd"/>
      <w:r>
        <w:t xml:space="preserve"> loses at least 10 RPA points, with errors concentrated just after note onsets where reverberant tails overlap (H1a). We further expect F0-derived features and cepstral peak prominence (Maryn et al., 2009) to keep cross-channel ICC(2,1) ≥ 0.75, whereas jitter, shimmer and harmonics-to-noise ratio fall below 0.50 at SNR ≤ 15 dB (H1b), consistent with their known sensitivity to recording hardware (</w:t>
      </w:r>
      <w:proofErr w:type="spellStart"/>
      <w:r>
        <w:t>Uloza</w:t>
      </w:r>
      <w:proofErr w:type="spellEnd"/>
      <w:r>
        <w:t xml:space="preserve"> et al., 2015).</w:t>
      </w:r>
    </w:p>
    <w:p w14:paraId="1F35B4B8" w14:textId="77777777" w:rsidR="00CF5A6F" w:rsidRDefault="00000000">
      <w:pPr>
        <w:spacing w:after="100"/>
        <w:jc w:val="both"/>
      </w:pPr>
      <w:r>
        <w:t xml:space="preserve">Fifteen singers are recorded simultaneously on a reference microphone and two phones (0.3 m and 1.0 m) in a treated and a reverberant room, and their clean takes are also degraded under control with simulated room impulse responses (Scheibler et al., 2018), noise and phone codecs across a 4 × 5 RT60 × SNR grid. Reference F0 comes from the clean channel, corrected by hand and blind to tracker. We report RPA and raw chroma accuracy (Salamon et al., 2014), onset F-measure at 50 </w:t>
      </w:r>
      <w:proofErr w:type="spellStart"/>
      <w:r>
        <w:t>ms</w:t>
      </w:r>
      <w:proofErr w:type="spellEnd"/>
      <w:r>
        <w:t>, and cross-channel ICC with Bland–Altman limits (Bland &amp; Altman, 1986), and model error with a mixed-effects model over estimator, SNR, RT60 and device with random effects for singer and item (Bates et al., 2015). Because invariance is a claim of no difference, it is tested with equivalence tests (</w:t>
      </w:r>
      <w:proofErr w:type="spellStart"/>
      <w:r>
        <w:t>Lakens</w:t>
      </w:r>
      <w:proofErr w:type="spellEnd"/>
      <w:r>
        <w:t>, 2017) against margins of ±10 cents and ±3 score points. A neural tracker is adopted if it gains at least 5 RPA points under degradation at a real-time factor below 0.2, and quality-gate thresholds are set where equivalence first fails.</w:t>
      </w:r>
    </w:p>
    <w:p w14:paraId="6A62CB49" w14:textId="77777777" w:rsidR="00CF5A6F" w:rsidRDefault="00000000">
      <w:pPr>
        <w:pStyle w:val="Heading2"/>
        <w:spacing w:before="140" w:after="60"/>
      </w:pPr>
      <w:r>
        <w:rPr>
          <w:sz w:val="23"/>
        </w:rPr>
        <w:t>3.2 RQ2: Expert agreement and the human ceiling</w:t>
      </w:r>
    </w:p>
    <w:p w14:paraId="6B1DA48E" w14:textId="77777777" w:rsidR="00CF5A6F" w:rsidRDefault="00000000">
      <w:pPr>
        <w:spacing w:after="100"/>
        <w:jc w:val="both"/>
      </w:pPr>
      <w:r>
        <w:t xml:space="preserve">A system–expert correlation cannot be interpreted without knowing how well experts agree with each other. RQ2 asks how reliably certified voice teachers rate seven dimensions (tuning accuracy, pitch consistency, vibrato stability, breath support, timbral balance, dynamic control and register transitions) and what ceiling this sets. We report ICC(2,1), the reliability of one rater, and ICC(2,3), the reliability of the three-rater mean that models are scored against (Shrout &amp; Fleiss, 1979; Koo &amp; Li, 2016). Because rater noise cannot be predicted from audio, a predictor’s correlation with the panel mean is bounded by √ICC(2,3) (Spearman, 1904), so an ICC of 0.60 caps it at about 0.77. We </w:t>
      </w:r>
      <w:proofErr w:type="spellStart"/>
      <w:r>
        <w:t>hypothesise</w:t>
      </w:r>
      <w:proofErr w:type="spellEnd"/>
      <w:r>
        <w:t xml:space="preserve"> that dimensions with a clear acoustic referent (tuning, pitch consistency, vibrato) reach ICC(2,3) ≥ 0.80 (H2a), that multi-factor dimensions (breath support, timbre, register transitions) reach only 0.50–0.65 (H2b), and that the </w:t>
      </w:r>
      <w:r>
        <w:lastRenderedPageBreak/>
        <w:t>subjective dimensions show a halo effect (Thorndike, 1920), with inter-dimension correlations above 0.70 and a first factor explaining over 60% of the variance (H2c).</w:t>
      </w:r>
    </w:p>
    <w:p w14:paraId="6B3ED125" w14:textId="77777777" w:rsidR="00CF5A6F" w:rsidRDefault="00000000">
      <w:pPr>
        <w:spacing w:after="100"/>
        <w:jc w:val="both"/>
      </w:pPr>
      <w:r>
        <w:t xml:space="preserve">Three teachers from at least two institutions rate the same 120 takes, plus 12 repeats for test–retest reliability, blind to system output, in random order and with anchor recordings for each dimension. Ratings of 3 or below on the 1–7 scale require a one-line rationale and a choice of primary cause, which RQ4 reuses. Bonett’s (2002) approximation shows that about 130 takes are needed for a confidence interval of width 0.2 when the ICC is 0.50, so 120 is the practical minimum. Variance is decomposed into take, rater-severity and residual components, with </w:t>
      </w:r>
      <w:proofErr w:type="spellStart"/>
      <w:r>
        <w:t>Krippendorff’s</w:t>
      </w:r>
      <w:proofErr w:type="spellEnd"/>
      <w:r>
        <w:t xml:space="preserve"> (2018) ordinal α as a check. Dimensions with ICC(2,3) below 0.50 are shown in the app with uncertainty bands rather than single scores, and dimensions with strong halo are merged into a composite.</w:t>
      </w:r>
    </w:p>
    <w:p w14:paraId="63EA787E" w14:textId="77777777" w:rsidR="00CF5A6F" w:rsidRDefault="00000000">
      <w:pPr>
        <w:pStyle w:val="Heading2"/>
        <w:spacing w:before="140" w:after="60"/>
      </w:pPr>
      <w:r>
        <w:rPr>
          <w:sz w:val="23"/>
        </w:rPr>
        <w:t>3.3 RQ3: Learned hybrid calibration versus hand-tuned rules</w:t>
      </w:r>
    </w:p>
    <w:p w14:paraId="351D63F3" w14:textId="77777777" w:rsidR="00CF5A6F" w:rsidRDefault="00000000">
      <w:pPr>
        <w:spacing w:after="100"/>
        <w:jc w:val="both"/>
      </w:pPr>
      <w:r>
        <w:t xml:space="preserve">RQ3 asks whether, with 120–250 rated takes from 40–50 singers, a hybrid model that fuses interpretable acoustic features with a compact projection of frozen self-supervised embeddings from </w:t>
      </w:r>
      <w:proofErr w:type="spellStart"/>
      <w:r>
        <w:t>WavLM</w:t>
      </w:r>
      <w:proofErr w:type="spellEnd"/>
      <w:r>
        <w:t xml:space="preserve"> (Chen et al., 2022) or MERT (Li et al., 2024) predicts expert ratings on unseen singers better than the hand-tuned rules, a model on acoustic features alone, or a probe on the embeddings alone. Because evaluation holds out whole singers, the effective sample size is the number of singers, so model capacity is kept small. We </w:t>
      </w:r>
      <w:proofErr w:type="spellStart"/>
      <w:r>
        <w:t>hypothesise</w:t>
      </w:r>
      <w:proofErr w:type="spellEnd"/>
      <w:r>
        <w:t xml:space="preserve"> that learned calibration on acoustic features alone beats the rules by at least 0.10 in Spearman ρ wherever the ceiling is at least 0.75 (H3a); that the embeddings help mainly on timbre-related dimensions and little on pitch-based ones (H3b); and that the hybrid model reaches ρ ≥ 0.70 and at least 85% of the ceiling on four or more dimensions (H3c). The ceiling-</w:t>
      </w:r>
      <w:proofErr w:type="spellStart"/>
      <w:r>
        <w:t>normalised</w:t>
      </w:r>
      <w:proofErr w:type="spellEnd"/>
      <w:r>
        <w:t xml:space="preserve"> target matters because an absolute ρ of 0.70 is unreachable where the ceiling is 0.72.</w:t>
      </w:r>
    </w:p>
    <w:p w14:paraId="43902384" w14:textId="77777777" w:rsidR="00CF5A6F" w:rsidRDefault="00000000">
      <w:pPr>
        <w:spacing w:after="100"/>
        <w:jc w:val="both"/>
      </w:pPr>
      <w:r>
        <w:t xml:space="preserve">The candidate models are cumulative-link ordinal regression (McCullagh, 1980) and </w:t>
      </w:r>
      <w:proofErr w:type="spellStart"/>
      <w:r>
        <w:t>LightGBM</w:t>
      </w:r>
      <w:proofErr w:type="spellEnd"/>
      <w:r>
        <w:t xml:space="preserve"> with monotone constraints on features whose direction is known (Ke et al., 2017), each with and without the embedding projection. For the ordinal models, with ordered thresholds θₖ, a scoring function f(x) and yᵢₖ = 1[yᵢ ≤ k], so that P(y ≤ k) = σ(θₖ − f(x)), the loss is</w:t>
      </w:r>
    </w:p>
    <w:p w14:paraId="0BAF4850" w14:textId="77777777" w:rsidR="00CF5A6F" w:rsidRDefault="00000000">
      <w:pPr>
        <w:spacing w:before="20" w:after="80"/>
        <w:jc w:val="center"/>
      </w:pPr>
      <w:r>
        <w:rPr>
          <w:sz w:val="21"/>
        </w:rPr>
        <w:t>ℒ = − Σᵢ Σₖ₌₁ᴷ⁻¹ [ yᵢₖ log σ(θₖ − f(xᵢ)) + (1 − yᵢₖ) log(1 − σ(θₖ − f(xᵢ))) ]</w:t>
      </w:r>
    </w:p>
    <w:p w14:paraId="5E75D1DE" w14:textId="77777777" w:rsidR="00CF5A6F" w:rsidRDefault="00000000">
      <w:pPr>
        <w:spacing w:after="100"/>
        <w:jc w:val="both"/>
      </w:pPr>
      <w:r>
        <w:t xml:space="preserve">A label-distribution variant (Geng, 2016) instead fits the smoothed distribution of the three teachers’ ratings, testing whether soft targets give better-calibrated predictions (H3d). Evaluation uses nested, singer-grouped cross-validation (Varma &amp; Simon, 2006) in which every fitted step, including the embedding projection, is refitted inside each fold; confidence intervals come from a cluster bootstrap over singers (Efron &amp; </w:t>
      </w:r>
      <w:proofErr w:type="spellStart"/>
      <w:r>
        <w:t>Tibshirani</w:t>
      </w:r>
      <w:proofErr w:type="spellEnd"/>
      <w:r>
        <w:t>, 1993), and comparisons are Holm-corrected (Holm, 1979). A calibrated model replaces the rules for a dimension only if its gain has a 95% interval above zero and a teacher’s review of its SHAP explanations (Lundberg &amp; Lee, 2017) confirms that it relies on pedagogically sensible features.</w:t>
      </w:r>
    </w:p>
    <w:p w14:paraId="69012350" w14:textId="77777777" w:rsidR="00CF5A6F" w:rsidRDefault="00000000">
      <w:pPr>
        <w:pStyle w:val="Heading2"/>
        <w:spacing w:before="140" w:after="60"/>
      </w:pPr>
      <w:r>
        <w:rPr>
          <w:sz w:val="23"/>
        </w:rPr>
        <w:t>3.4 RQ4: Feedback granularity, learning and retention</w:t>
      </w:r>
    </w:p>
    <w:p w14:paraId="6BB4A2F4" w14:textId="77777777" w:rsidR="00CF5A6F" w:rsidRDefault="00000000">
      <w:pPr>
        <w:spacing w:after="100"/>
        <w:jc w:val="both"/>
      </w:pPr>
      <w:proofErr w:type="spellStart"/>
      <w:r>
        <w:t>VocalIQ’s</w:t>
      </w:r>
      <w:proofErr w:type="spellEnd"/>
      <w:r>
        <w:t xml:space="preserve"> distinctive claim is that explaining the likely cause of a problem helps singers more than showing the symptom. The root-cause engine infers causes from acoustic patterns rather than measuring airflow, so we first check that teachers agree with it: its primary cause should match the RQ2 raters’ majority on at least 60% of low-scoring takes, with Fleiss’ κ ≥ 0.40 (H4a; Fleiss, 1971). The main hypothesis is that singers given root-cause explanations reduce pitch error faster over ten practice sessions than singers given parametric feedback alone (H4b). A competing hypothesis follows from the guidance hypothesis in motor </w:t>
      </w:r>
      <w:r>
        <w:lastRenderedPageBreak/>
        <w:t>learning (</w:t>
      </w:r>
      <w:proofErr w:type="spellStart"/>
      <w:r>
        <w:t>Salmoni</w:t>
      </w:r>
      <w:proofErr w:type="spellEnd"/>
      <w:r>
        <w:t xml:space="preserve"> et al., 1984; </w:t>
      </w:r>
      <w:proofErr w:type="spellStart"/>
      <w:r>
        <w:t>Winstein</w:t>
      </w:r>
      <w:proofErr w:type="spellEnd"/>
      <w:r>
        <w:t xml:space="preserve"> &amp; Schmidt, 1990): detailed feedback may speed up practice but weaken retention once it is removed, so the explanation group’s advantage should shrink at a retention probe a week later (H4c).</w:t>
      </w:r>
    </w:p>
    <w:p w14:paraId="0BDC6441" w14:textId="77777777" w:rsidR="00CF5A6F" w:rsidRDefault="00000000">
      <w:pPr>
        <w:spacing w:after="100"/>
        <w:jc w:val="both"/>
      </w:pPr>
      <w:r>
        <w:t xml:space="preserve">Twenty to 24 singers are </w:t>
      </w:r>
      <w:proofErr w:type="spellStart"/>
      <w:r>
        <w:t>randomised</w:t>
      </w:r>
      <w:proofErr w:type="spellEnd"/>
      <w:r>
        <w:t xml:space="preserve">, within experience strata, to parametric feedback or to the same feedback plus explanations, and complete ten sessions over 14 days, each opening with a fixed probe of sustained notes, a scale and a short excerpt. The primary outcome is median absolute cents error on the probe, </w:t>
      </w:r>
      <w:proofErr w:type="spellStart"/>
      <w:r>
        <w:t>analysed</w:t>
      </w:r>
      <w:proofErr w:type="spellEnd"/>
      <w:r>
        <w:t xml:space="preserve"> with a mixed model in which the session × arm interaction tests H4b; secondary outcomes include blinded expert ratings of the baseline, final and retention probes, adherence, and the System Usability Scale (Brooke, 1996). With about 12 singers per arm the study can detect only large effects (d ≈ 1.2 for a simple comparison), so it is framed as a pilot that estimates effect sizes, variance and drop-out for a properly powered trial. Practice time is logged as a covariate, since more engaging feedback may simply lead to more practice.</w:t>
      </w:r>
    </w:p>
    <w:p w14:paraId="20FEBD99" w14:textId="77777777" w:rsidR="00CF5A6F" w:rsidRDefault="00000000">
      <w:pPr>
        <w:pStyle w:val="Heading1"/>
        <w:spacing w:before="200" w:after="60"/>
      </w:pPr>
      <w:r>
        <w:rPr>
          <w:sz w:val="28"/>
        </w:rPr>
        <w:t>4. Data and modelling approach</w:t>
      </w:r>
    </w:p>
    <w:p w14:paraId="67BC61F5" w14:textId="77777777" w:rsidR="00CF5A6F" w:rsidRDefault="00000000">
      <w:pPr>
        <w:keepNext/>
        <w:spacing w:before="60" w:after="0"/>
        <w:jc w:val="center"/>
      </w:pPr>
      <w:r>
        <w:rPr>
          <w:noProof/>
        </w:rPr>
        <w:drawing>
          <wp:inline distT="0" distB="0" distL="0" distR="0" wp14:anchorId="2268F3C0" wp14:editId="2F5BCA7E">
            <wp:extent cx="3931920" cy="2725473"/>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peline.png"/>
                    <pic:cNvPicPr/>
                  </pic:nvPicPr>
                  <pic:blipFill>
                    <a:blip r:embed="rId6"/>
                    <a:stretch>
                      <a:fillRect/>
                    </a:stretch>
                  </pic:blipFill>
                  <pic:spPr>
                    <a:xfrm>
                      <a:off x="0" y="0"/>
                      <a:ext cx="3931920" cy="2725473"/>
                    </a:xfrm>
                    <a:prstGeom prst="rect">
                      <a:avLst/>
                    </a:prstGeom>
                  </pic:spPr>
                </pic:pic>
              </a:graphicData>
            </a:graphic>
          </wp:inline>
        </w:drawing>
      </w:r>
    </w:p>
    <w:p w14:paraId="4106E9DE" w14:textId="77777777" w:rsidR="00CF5A6F" w:rsidRDefault="00000000">
      <w:pPr>
        <w:spacing w:before="20" w:after="100"/>
        <w:jc w:val="center"/>
      </w:pPr>
      <w:r>
        <w:rPr>
          <w:i/>
          <w:color w:val="555555"/>
          <w:sz w:val="18"/>
        </w:rPr>
        <w:t>Figure 1. Three-layer modelling framework. The embedding branch and fusion step are evaluated as ablations in RQ3.</w:t>
      </w:r>
    </w:p>
    <w:p w14:paraId="4146B8C6" w14:textId="77777777" w:rsidR="00CF5A6F" w:rsidRDefault="00000000">
      <w:pPr>
        <w:pStyle w:val="Heading2"/>
        <w:spacing w:before="140" w:after="60"/>
      </w:pPr>
      <w:r>
        <w:rPr>
          <w:sz w:val="23"/>
        </w:rPr>
        <w:t xml:space="preserve">4.1 </w:t>
      </w:r>
      <w:proofErr w:type="spellStart"/>
      <w:r>
        <w:rPr>
          <w:sz w:val="23"/>
        </w:rPr>
        <w:t>VocalIQ</w:t>
      </w:r>
      <w:proofErr w:type="spellEnd"/>
      <w:r>
        <w:rPr>
          <w:sz w:val="23"/>
        </w:rPr>
        <w:t>-Bench</w:t>
      </w:r>
    </w:p>
    <w:p w14:paraId="512B5693" w14:textId="77777777" w:rsidR="00CF5A6F" w:rsidRDefault="00000000">
      <w:pPr>
        <w:spacing w:after="100"/>
        <w:jc w:val="both"/>
      </w:pPr>
      <w:r>
        <w:t xml:space="preserve">Data are collected through an opt-in research mode in the app, which records a fixed protocol (sustained vowels on set pitches, a five-note scale, an arpeggio, a free-choice excerpt and a public-domain excerpt), together with the dual-stream sessions for RQ1. The target is 40–50 adult singers balanced across voice type and experience, giving 240–300 takes and about 5–6 hours of audio. Public corpora such as </w:t>
      </w:r>
      <w:proofErr w:type="spellStart"/>
      <w:r>
        <w:t>VocalSet</w:t>
      </w:r>
      <w:proofErr w:type="spellEnd"/>
      <w:r>
        <w:t xml:space="preserve"> (Wilkins et al., 2018), MIR-1K (Hsu &amp; Jang, 2010) and DAMP (</w:t>
      </w:r>
      <w:proofErr w:type="spellStart"/>
      <w:r>
        <w:t>Smule</w:t>
      </w:r>
      <w:proofErr w:type="spellEnd"/>
      <w:r>
        <w:t xml:space="preserve">, 2018) provide early benchmarks, although some neural trackers were trained on MIR-1K, so headline results use in-house data. </w:t>
      </w:r>
      <w:proofErr w:type="spellStart"/>
      <w:r>
        <w:t>SingEval</w:t>
      </w:r>
      <w:proofErr w:type="spellEnd"/>
      <w:r>
        <w:t xml:space="preserve"> adds perceptual quality scores to DAMP recordings (Gupta et al., 2020), but to our knowledge no public corpus pairs expert pedagogical ratings with matched phone and studio recordings.</w:t>
      </w:r>
    </w:p>
    <w:p w14:paraId="06A52CA8" w14:textId="77777777" w:rsidR="00CF5A6F" w:rsidRDefault="00000000">
      <w:pPr>
        <w:spacing w:after="100"/>
        <w:jc w:val="both"/>
      </w:pPr>
      <w:r>
        <w:t xml:space="preserve">Annotation has three tiers: hand-corrected F0 contours and vibrato segments; note onsets, offsets and target pitches from two annotators, evaluated at a 50 </w:t>
      </w:r>
      <w:proofErr w:type="spellStart"/>
      <w:r>
        <w:t>ms</w:t>
      </w:r>
      <w:proofErr w:type="spellEnd"/>
      <w:r>
        <w:t xml:space="preserve"> tolerance because sung onsets are ambiguous; and the RQ2 ratings, rationales and cause labels, kept per rater. The corpus will be documented with a datasheet (Gebru et al., 2021) and released after the study with singer-disjoint splits and baseline code. </w:t>
      </w:r>
      <w:r>
        <w:lastRenderedPageBreak/>
        <w:t xml:space="preserve">Consent is tiered, so only singers who opt in to public release are included, and a non-commercial </w:t>
      </w:r>
      <w:proofErr w:type="spellStart"/>
      <w:r>
        <w:t>licence</w:t>
      </w:r>
      <w:proofErr w:type="spellEnd"/>
      <w:r>
        <w:t xml:space="preserve"> such as CC BY-NC 4.0 is likely.</w:t>
      </w:r>
    </w:p>
    <w:p w14:paraId="09AEE80D" w14:textId="77777777" w:rsidR="00CF5A6F" w:rsidRDefault="00000000">
      <w:pPr>
        <w:pStyle w:val="Heading2"/>
        <w:spacing w:before="140" w:after="60"/>
      </w:pPr>
      <w:r>
        <w:rPr>
          <w:sz w:val="23"/>
        </w:rPr>
        <w:t>4.2 Modelling framework</w:t>
      </w:r>
    </w:p>
    <w:p w14:paraId="1608E4FC" w14:textId="77777777" w:rsidR="00CF5A6F" w:rsidRDefault="00000000">
      <w:pPr>
        <w:spacing w:after="100"/>
        <w:jc w:val="both"/>
      </w:pPr>
      <w:r>
        <w:t xml:space="preserve">The analysis is </w:t>
      </w:r>
      <w:proofErr w:type="spellStart"/>
      <w:r>
        <w:t>organised</w:t>
      </w:r>
      <w:proofErr w:type="spellEnd"/>
      <w:r>
        <w:t xml:space="preserve"> in three separable layers (Figure 1), so each can be evaluated and replaced on its own. The first estimates SNR and RT60 to flag takes outside the ranges validated in RQ1 and tracks pitch with </w:t>
      </w:r>
      <w:proofErr w:type="spellStart"/>
      <w:r>
        <w:t>pYIN</w:t>
      </w:r>
      <w:proofErr w:type="spellEnd"/>
      <w:r>
        <w:t xml:space="preserve"> or, if RQ1 supports it, RMVPE. The second computes interpretable features (intonation, vibrato rate and extent, cepstral peak prominence, harmonics-to-noise ratio, formants and the singer’s-formant ratio (Sundberg, 1974), dynamics and phrasing) alongside a 16–32-dimensional projection of the self-supervised embeddings. The third is the ordinal scoring head from RQ3, which outputs a probability for each rating level, so the app can show an expected score with an uncertainty band that is widest where teachers agree least.</w:t>
      </w:r>
    </w:p>
    <w:p w14:paraId="6E455C1B" w14:textId="77777777" w:rsidR="00CF5A6F" w:rsidRDefault="00000000">
      <w:pPr>
        <w:pStyle w:val="Heading1"/>
        <w:spacing w:before="200" w:after="60"/>
      </w:pPr>
      <w:r>
        <w:rPr>
          <w:sz w:val="28"/>
        </w:rPr>
        <w:t>5. Work plan, ethics and risks</w:t>
      </w:r>
    </w:p>
    <w:p w14:paraId="75EB595D" w14:textId="77777777" w:rsidR="00CF5A6F" w:rsidRDefault="00000000">
      <w:pPr>
        <w:keepNext/>
        <w:spacing w:before="60" w:after="40"/>
      </w:pPr>
      <w:r>
        <w:rPr>
          <w:i/>
          <w:color w:val="555555"/>
          <w:sz w:val="18"/>
        </w:rPr>
        <w:t>Table 2. Eight-week work plan.</w:t>
      </w:r>
    </w:p>
    <w:tbl>
      <w:tblPr>
        <w:tblStyle w:val="TableGrid"/>
        <w:tblW w:w="0" w:type="auto"/>
        <w:jc w:val="center"/>
        <w:tblLook w:val="04A0" w:firstRow="1" w:lastRow="0" w:firstColumn="1" w:lastColumn="0" w:noHBand="0" w:noVBand="1"/>
      </w:tblPr>
      <w:tblGrid>
        <w:gridCol w:w="1100"/>
        <w:gridCol w:w="8141"/>
      </w:tblGrid>
      <w:tr w:rsidR="00CF5A6F" w14:paraId="3FA57C61" w14:textId="77777777">
        <w:trPr>
          <w:tblHeader/>
          <w:jc w:val="center"/>
        </w:trPr>
        <w:tc>
          <w:tcPr>
            <w:tcW w:w="1100" w:type="dxa"/>
            <w:shd w:val="clear" w:color="auto" w:fill="EFE6D2"/>
          </w:tcPr>
          <w:p w14:paraId="60D031CE" w14:textId="77777777" w:rsidR="00CF5A6F" w:rsidRDefault="00000000">
            <w:pPr>
              <w:spacing w:after="0" w:line="240" w:lineRule="auto"/>
            </w:pPr>
            <w:r>
              <w:rPr>
                <w:b/>
                <w:sz w:val="18"/>
              </w:rPr>
              <w:t>Weeks</w:t>
            </w:r>
          </w:p>
        </w:tc>
        <w:tc>
          <w:tcPr>
            <w:tcW w:w="8141" w:type="dxa"/>
            <w:shd w:val="clear" w:color="auto" w:fill="EFE6D2"/>
          </w:tcPr>
          <w:p w14:paraId="2E1390C4" w14:textId="77777777" w:rsidR="00CF5A6F" w:rsidRDefault="00000000">
            <w:pPr>
              <w:spacing w:after="0" w:line="240" w:lineRule="auto"/>
            </w:pPr>
            <w:r>
              <w:rPr>
                <w:b/>
                <w:sz w:val="18"/>
              </w:rPr>
              <w:t>Activities</w:t>
            </w:r>
          </w:p>
        </w:tc>
      </w:tr>
      <w:tr w:rsidR="00CF5A6F" w14:paraId="32298E8C" w14:textId="77777777">
        <w:trPr>
          <w:cantSplit/>
          <w:jc w:val="center"/>
        </w:trPr>
        <w:tc>
          <w:tcPr>
            <w:tcW w:w="1100" w:type="dxa"/>
          </w:tcPr>
          <w:p w14:paraId="4AA17286" w14:textId="77777777" w:rsidR="00CF5A6F" w:rsidRDefault="00000000">
            <w:pPr>
              <w:spacing w:after="0" w:line="240" w:lineRule="auto"/>
            </w:pPr>
            <w:r>
              <w:rPr>
                <w:sz w:val="18"/>
              </w:rPr>
              <w:t>1–2</w:t>
            </w:r>
          </w:p>
        </w:tc>
        <w:tc>
          <w:tcPr>
            <w:tcW w:w="8141" w:type="dxa"/>
          </w:tcPr>
          <w:p w14:paraId="2EB35DFD" w14:textId="77777777" w:rsidR="00CF5A6F" w:rsidRDefault="00000000">
            <w:pPr>
              <w:spacing w:after="0" w:line="240" w:lineRule="auto"/>
            </w:pPr>
            <w:r>
              <w:rPr>
                <w:sz w:val="18"/>
              </w:rPr>
              <w:t>Ethics approval, tiered consent, rubric and anchors; research mode and rating tool; pilot with 5 singers; pitch-tracker benchmarks; rater calibration; pre-registration.</w:t>
            </w:r>
          </w:p>
        </w:tc>
      </w:tr>
      <w:tr w:rsidR="00CF5A6F" w14:paraId="185A804B" w14:textId="77777777">
        <w:trPr>
          <w:cantSplit/>
          <w:jc w:val="center"/>
        </w:trPr>
        <w:tc>
          <w:tcPr>
            <w:tcW w:w="1100" w:type="dxa"/>
          </w:tcPr>
          <w:p w14:paraId="7F4E7051" w14:textId="77777777" w:rsidR="00CF5A6F" w:rsidRDefault="00000000">
            <w:pPr>
              <w:spacing w:after="0" w:line="240" w:lineRule="auto"/>
            </w:pPr>
            <w:r>
              <w:rPr>
                <w:sz w:val="18"/>
              </w:rPr>
              <w:t>3–4</w:t>
            </w:r>
          </w:p>
        </w:tc>
        <w:tc>
          <w:tcPr>
            <w:tcW w:w="8141" w:type="dxa"/>
          </w:tcPr>
          <w:p w14:paraId="7F37BCFF" w14:textId="77777777" w:rsidR="00CF5A6F" w:rsidRDefault="00000000">
            <w:pPr>
              <w:spacing w:after="0" w:line="240" w:lineRule="auto"/>
            </w:pPr>
            <w:r>
              <w:rPr>
                <w:sz w:val="18"/>
              </w:rPr>
              <w:t>Recording of all singers, including dual-stream sessions; annotation and blinded ratings begin; RQ4 enrolment and baseline probes.</w:t>
            </w:r>
          </w:p>
        </w:tc>
      </w:tr>
      <w:tr w:rsidR="00CF5A6F" w14:paraId="6F8284CB" w14:textId="77777777">
        <w:trPr>
          <w:cantSplit/>
          <w:jc w:val="center"/>
        </w:trPr>
        <w:tc>
          <w:tcPr>
            <w:tcW w:w="1100" w:type="dxa"/>
          </w:tcPr>
          <w:p w14:paraId="62F8883F" w14:textId="77777777" w:rsidR="00CF5A6F" w:rsidRDefault="00000000">
            <w:pPr>
              <w:spacing w:after="0" w:line="240" w:lineRule="auto"/>
            </w:pPr>
            <w:r>
              <w:rPr>
                <w:sz w:val="18"/>
              </w:rPr>
              <w:t>5–6</w:t>
            </w:r>
          </w:p>
        </w:tc>
        <w:tc>
          <w:tcPr>
            <w:tcW w:w="8141" w:type="dxa"/>
          </w:tcPr>
          <w:p w14:paraId="738FD245" w14:textId="77777777" w:rsidR="00CF5A6F" w:rsidRDefault="00000000">
            <w:pPr>
              <w:spacing w:after="0" w:line="240" w:lineRule="auto"/>
            </w:pPr>
            <w:r>
              <w:rPr>
                <w:sz w:val="18"/>
              </w:rPr>
              <w:t>RQ1 analysis and quality gate; ratings complete and RQ2 analysis; RQ3 cross-validation; RQ4 practice sessions.</w:t>
            </w:r>
          </w:p>
        </w:tc>
      </w:tr>
      <w:tr w:rsidR="00CF5A6F" w14:paraId="429986BC" w14:textId="77777777">
        <w:trPr>
          <w:cantSplit/>
          <w:jc w:val="center"/>
        </w:trPr>
        <w:tc>
          <w:tcPr>
            <w:tcW w:w="1100" w:type="dxa"/>
          </w:tcPr>
          <w:p w14:paraId="7D2D56F4" w14:textId="77777777" w:rsidR="00CF5A6F" w:rsidRDefault="00000000">
            <w:pPr>
              <w:spacing w:after="0" w:line="240" w:lineRule="auto"/>
            </w:pPr>
            <w:r>
              <w:rPr>
                <w:sz w:val="18"/>
              </w:rPr>
              <w:t>7</w:t>
            </w:r>
          </w:p>
        </w:tc>
        <w:tc>
          <w:tcPr>
            <w:tcW w:w="8141" w:type="dxa"/>
          </w:tcPr>
          <w:p w14:paraId="4F6DCE8B" w14:textId="77777777" w:rsidR="00CF5A6F" w:rsidRDefault="00000000">
            <w:pPr>
              <w:spacing w:after="0" w:line="240" w:lineRule="auto"/>
            </w:pPr>
            <w:r>
              <w:rPr>
                <w:sz w:val="18"/>
              </w:rPr>
              <w:t>RQ3 ablations, teacher review and integration behind a feature flag; RQ4 retention interval.</w:t>
            </w:r>
          </w:p>
        </w:tc>
      </w:tr>
      <w:tr w:rsidR="00CF5A6F" w14:paraId="16FC07C5" w14:textId="77777777">
        <w:trPr>
          <w:cantSplit/>
          <w:jc w:val="center"/>
        </w:trPr>
        <w:tc>
          <w:tcPr>
            <w:tcW w:w="1100" w:type="dxa"/>
          </w:tcPr>
          <w:p w14:paraId="16D2A4C7" w14:textId="77777777" w:rsidR="00CF5A6F" w:rsidRDefault="00000000">
            <w:pPr>
              <w:spacing w:after="0" w:line="240" w:lineRule="auto"/>
            </w:pPr>
            <w:r>
              <w:rPr>
                <w:sz w:val="18"/>
              </w:rPr>
              <w:t>8</w:t>
            </w:r>
          </w:p>
        </w:tc>
        <w:tc>
          <w:tcPr>
            <w:tcW w:w="8141" w:type="dxa"/>
          </w:tcPr>
          <w:p w14:paraId="2A082EE6" w14:textId="77777777" w:rsidR="00CF5A6F" w:rsidRDefault="00000000">
            <w:pPr>
              <w:spacing w:after="0" w:line="240" w:lineRule="auto"/>
            </w:pPr>
            <w:r>
              <w:rPr>
                <w:sz w:val="18"/>
              </w:rPr>
              <w:t>RQ4 retention probe and blinded ratings; final analyses; datasheet and release package; final report.</w:t>
            </w:r>
          </w:p>
        </w:tc>
      </w:tr>
    </w:tbl>
    <w:p w14:paraId="5DC2DEB7" w14:textId="77777777" w:rsidR="00CF5A6F" w:rsidRDefault="00CF5A6F">
      <w:pPr>
        <w:spacing w:after="0" w:line="120" w:lineRule="exact"/>
      </w:pPr>
    </w:p>
    <w:p w14:paraId="17E6FDA1" w14:textId="77777777" w:rsidR="00CF5A6F" w:rsidRDefault="00000000">
      <w:pPr>
        <w:spacing w:after="100"/>
        <w:jc w:val="both"/>
      </w:pPr>
      <w:r>
        <w:t>Participants give separate opt-in consent for research use and for public release and can withdraw at any time. Research data carry only participant IDs and banded demographics, storage is encrypted, uploaded reference songs are deleted after analysis, and both RQ4 arms receive working feedback. The main risks are slow recruitment, addressed by recruiting through choirs and music schools from week 1 and over-recruiting RQ4 by 20%; low expert agreement, which RQ2 measures rather than assumes away; optimistic model estimates, guarded against by nested singer-grouped validation; and the tight RQ4 schedule, whose 14 practice days and 7-day retention interval must begin by week 5, with a 5-day retention interval as the fallback.</w:t>
      </w:r>
    </w:p>
    <w:p w14:paraId="139CD997" w14:textId="77777777" w:rsidR="00CF5A6F" w:rsidRDefault="00000000">
      <w:pPr>
        <w:pStyle w:val="Heading1"/>
        <w:spacing w:before="200" w:after="60"/>
      </w:pPr>
      <w:r>
        <w:rPr>
          <w:sz w:val="28"/>
        </w:rPr>
        <w:t>6. Expected contributions</w:t>
      </w:r>
    </w:p>
    <w:p w14:paraId="03543001" w14:textId="77777777" w:rsidR="00CF5A6F" w:rsidRDefault="00000000">
      <w:pPr>
        <w:spacing w:after="100"/>
        <w:jc w:val="both"/>
      </w:pPr>
      <w:r>
        <w:t xml:space="preserve">The study will deliver channel-invariance results and quality-gate thresholds for every core measurement; a per-dimension reliability and ceiling table for expert singing assessment that others evaluating similar systems can reuse; calibrated, uncertainty-aware scoring validated on held-out singers; pilot evidence and a power analysis for explanation-based feedback; and </w:t>
      </w:r>
      <w:proofErr w:type="spellStart"/>
      <w:r>
        <w:t>VocalIQ</w:t>
      </w:r>
      <w:proofErr w:type="spellEnd"/>
      <w:r>
        <w:t xml:space="preserve">-Bench. Together these would move </w:t>
      </w:r>
      <w:proofErr w:type="spellStart"/>
      <w:r>
        <w:t>VocalIQ</w:t>
      </w:r>
      <w:proofErr w:type="spellEnd"/>
      <w:r>
        <w:t xml:space="preserve"> from plausible heuristics to measurements whose accuracy, alignment with teachers and effect on learning are known, and would prepare the ground for models trained directly on expert labels, a fully powered feedback trial, and support for more styles and languages.</w:t>
      </w:r>
    </w:p>
    <w:p w14:paraId="4FC2480A" w14:textId="77777777" w:rsidR="00CF5A6F" w:rsidRDefault="00CF5A6F">
      <w:pPr>
        <w:spacing w:after="0" w:line="20" w:lineRule="exact"/>
        <w:sectPr w:rsidR="00CF5A6F">
          <w:pgSz w:w="12240" w:h="15840"/>
          <w:pgMar w:top="1304" w:right="1361" w:bottom="1304" w:left="1361" w:header="720" w:footer="720" w:gutter="0"/>
          <w:cols w:space="720"/>
        </w:sectPr>
      </w:pPr>
    </w:p>
    <w:p w14:paraId="6B5291E2" w14:textId="77777777" w:rsidR="00CF5A6F" w:rsidRDefault="00000000">
      <w:pPr>
        <w:pStyle w:val="Heading1"/>
        <w:spacing w:before="0" w:after="60"/>
      </w:pPr>
      <w:r>
        <w:rPr>
          <w:sz w:val="28"/>
        </w:rPr>
        <w:t>References</w:t>
      </w:r>
    </w:p>
    <w:p w14:paraId="59B36B4F" w14:textId="77777777" w:rsidR="00CF5A6F" w:rsidRDefault="00000000">
      <w:pPr>
        <w:spacing w:after="40" w:line="228" w:lineRule="auto"/>
        <w:ind w:left="240" w:hanging="240"/>
      </w:pPr>
      <w:r>
        <w:rPr>
          <w:sz w:val="16"/>
        </w:rPr>
        <w:t xml:space="preserve">Bates, D., </w:t>
      </w:r>
      <w:proofErr w:type="spellStart"/>
      <w:r>
        <w:rPr>
          <w:sz w:val="16"/>
        </w:rPr>
        <w:t>Mächler</w:t>
      </w:r>
      <w:proofErr w:type="spellEnd"/>
      <w:r>
        <w:rPr>
          <w:sz w:val="16"/>
        </w:rPr>
        <w:t xml:space="preserve">, M., Bolker, B., &amp; Walker, S. (2015). Fitting linear mixed-effects models using lme4. </w:t>
      </w:r>
      <w:r>
        <w:rPr>
          <w:i/>
          <w:sz w:val="16"/>
        </w:rPr>
        <w:t>Journal of Statistical Software, 67</w:t>
      </w:r>
      <w:r>
        <w:rPr>
          <w:sz w:val="16"/>
        </w:rPr>
        <w:t>(1), 1–48.</w:t>
      </w:r>
    </w:p>
    <w:p w14:paraId="5328983B" w14:textId="77777777" w:rsidR="00CF5A6F" w:rsidRDefault="00000000">
      <w:pPr>
        <w:spacing w:after="40" w:line="228" w:lineRule="auto"/>
        <w:ind w:left="240" w:hanging="240"/>
      </w:pPr>
      <w:r>
        <w:rPr>
          <w:sz w:val="16"/>
        </w:rPr>
        <w:t xml:space="preserve">Bland, J. M., &amp; Altman, D. G. (1986). Statistical methods for assessing agreement between two methods of clinical measurement. </w:t>
      </w:r>
      <w:r>
        <w:rPr>
          <w:i/>
          <w:sz w:val="16"/>
        </w:rPr>
        <w:t>The Lancet, 327</w:t>
      </w:r>
      <w:r>
        <w:rPr>
          <w:sz w:val="16"/>
        </w:rPr>
        <w:t>(8476), 307–310.</w:t>
      </w:r>
    </w:p>
    <w:p w14:paraId="5764E3CD" w14:textId="77777777" w:rsidR="00CF5A6F" w:rsidRDefault="00000000">
      <w:pPr>
        <w:spacing w:after="40" w:line="228" w:lineRule="auto"/>
        <w:ind w:left="240" w:hanging="240"/>
      </w:pPr>
      <w:r>
        <w:rPr>
          <w:sz w:val="16"/>
        </w:rPr>
        <w:t xml:space="preserve">Bonett, D. G. (2002). Sample size requirements for estimating intraclass correlations with desired precision. </w:t>
      </w:r>
      <w:r>
        <w:rPr>
          <w:i/>
          <w:sz w:val="16"/>
        </w:rPr>
        <w:t>Statistics in Medicine, 21</w:t>
      </w:r>
      <w:r>
        <w:rPr>
          <w:sz w:val="16"/>
        </w:rPr>
        <w:t>(9), 1331–1335.</w:t>
      </w:r>
    </w:p>
    <w:p w14:paraId="54841D8B" w14:textId="77777777" w:rsidR="00CF5A6F" w:rsidRDefault="00000000">
      <w:pPr>
        <w:spacing w:after="40" w:line="228" w:lineRule="auto"/>
        <w:ind w:left="240" w:hanging="240"/>
      </w:pPr>
      <w:r>
        <w:rPr>
          <w:sz w:val="16"/>
        </w:rPr>
        <w:lastRenderedPageBreak/>
        <w:t xml:space="preserve">Brooke, J. (1996). SUS: A “quick and dirty” usability scale. In P. W. Jordan, B. Thomas, B. A. </w:t>
      </w:r>
      <w:proofErr w:type="spellStart"/>
      <w:r>
        <w:rPr>
          <w:sz w:val="16"/>
        </w:rPr>
        <w:t>Weerdmeester</w:t>
      </w:r>
      <w:proofErr w:type="spellEnd"/>
      <w:r>
        <w:rPr>
          <w:sz w:val="16"/>
        </w:rPr>
        <w:t xml:space="preserve">, &amp; I. L. McClelland (Eds.), </w:t>
      </w:r>
      <w:r>
        <w:rPr>
          <w:i/>
          <w:sz w:val="16"/>
        </w:rPr>
        <w:t>Usability evaluation in industry</w:t>
      </w:r>
      <w:r>
        <w:rPr>
          <w:sz w:val="16"/>
        </w:rPr>
        <w:t xml:space="preserve"> (pp. 189–194). Taylor &amp; Francis.</w:t>
      </w:r>
    </w:p>
    <w:p w14:paraId="6B6E30D0" w14:textId="77777777" w:rsidR="00CF5A6F" w:rsidRDefault="00000000">
      <w:pPr>
        <w:spacing w:after="40" w:line="228" w:lineRule="auto"/>
        <w:ind w:left="240" w:hanging="240"/>
      </w:pPr>
      <w:r>
        <w:rPr>
          <w:sz w:val="16"/>
        </w:rPr>
        <w:t xml:space="preserve">Chen, S., Wang, C., Chen, Z., Wu, Y., Liu, S., Chen, Z., et al. (2022). </w:t>
      </w:r>
      <w:proofErr w:type="spellStart"/>
      <w:r>
        <w:rPr>
          <w:sz w:val="16"/>
        </w:rPr>
        <w:t>WavLM</w:t>
      </w:r>
      <w:proofErr w:type="spellEnd"/>
      <w:r>
        <w:rPr>
          <w:sz w:val="16"/>
        </w:rPr>
        <w:t xml:space="preserve">: Large-scale self-supervised pre-training for full stack speech processing. </w:t>
      </w:r>
      <w:r>
        <w:rPr>
          <w:i/>
          <w:sz w:val="16"/>
        </w:rPr>
        <w:t>IEEE Journal of Selected Topics in Signal Processing, 16</w:t>
      </w:r>
      <w:r>
        <w:rPr>
          <w:sz w:val="16"/>
        </w:rPr>
        <w:t>(6), 1505–1518.</w:t>
      </w:r>
    </w:p>
    <w:p w14:paraId="7D539B29" w14:textId="77777777" w:rsidR="00CF5A6F" w:rsidRDefault="00000000">
      <w:pPr>
        <w:spacing w:after="40" w:line="228" w:lineRule="auto"/>
        <w:ind w:left="240" w:hanging="240"/>
      </w:pPr>
      <w:r>
        <w:rPr>
          <w:sz w:val="16"/>
        </w:rPr>
        <w:t xml:space="preserve">de </w:t>
      </w:r>
      <w:proofErr w:type="spellStart"/>
      <w:r>
        <w:rPr>
          <w:sz w:val="16"/>
        </w:rPr>
        <w:t>Cheveigné</w:t>
      </w:r>
      <w:proofErr w:type="spellEnd"/>
      <w:r>
        <w:rPr>
          <w:sz w:val="16"/>
        </w:rPr>
        <w:t xml:space="preserve">, A., &amp; Kawahara, H. (2002). YIN, a fundamental frequency estimator for speech and music. </w:t>
      </w:r>
      <w:r>
        <w:rPr>
          <w:i/>
          <w:sz w:val="16"/>
        </w:rPr>
        <w:t>The Journal of the Acoustical Society of America, 111</w:t>
      </w:r>
      <w:r>
        <w:rPr>
          <w:sz w:val="16"/>
        </w:rPr>
        <w:t>(4), 1917–1930.</w:t>
      </w:r>
    </w:p>
    <w:p w14:paraId="0B7480FD" w14:textId="77777777" w:rsidR="00CF5A6F" w:rsidRDefault="00000000">
      <w:pPr>
        <w:spacing w:after="40" w:line="228" w:lineRule="auto"/>
        <w:ind w:left="240" w:hanging="240"/>
      </w:pPr>
      <w:r>
        <w:rPr>
          <w:sz w:val="16"/>
        </w:rPr>
        <w:t xml:space="preserve">Efron, B., &amp; </w:t>
      </w:r>
      <w:proofErr w:type="spellStart"/>
      <w:r>
        <w:rPr>
          <w:sz w:val="16"/>
        </w:rPr>
        <w:t>Tibshirani</w:t>
      </w:r>
      <w:proofErr w:type="spellEnd"/>
      <w:r>
        <w:rPr>
          <w:sz w:val="16"/>
        </w:rPr>
        <w:t xml:space="preserve">, R. J. (1993). </w:t>
      </w:r>
      <w:r>
        <w:rPr>
          <w:i/>
          <w:sz w:val="16"/>
        </w:rPr>
        <w:t>An introduction to the bootstrap</w:t>
      </w:r>
      <w:r>
        <w:rPr>
          <w:sz w:val="16"/>
        </w:rPr>
        <w:t>. Chapman &amp; Hall.</w:t>
      </w:r>
    </w:p>
    <w:p w14:paraId="0F851E97" w14:textId="77777777" w:rsidR="00CF5A6F" w:rsidRDefault="00000000">
      <w:pPr>
        <w:spacing w:after="40" w:line="228" w:lineRule="auto"/>
        <w:ind w:left="240" w:hanging="240"/>
      </w:pPr>
      <w:r>
        <w:rPr>
          <w:sz w:val="16"/>
        </w:rPr>
        <w:t xml:space="preserve">Fleiss, J. L. (1971). Measuring nominal scale agreement among many raters. </w:t>
      </w:r>
      <w:r>
        <w:rPr>
          <w:i/>
          <w:sz w:val="16"/>
        </w:rPr>
        <w:t>Psychological Bulletin, 76</w:t>
      </w:r>
      <w:r>
        <w:rPr>
          <w:sz w:val="16"/>
        </w:rPr>
        <w:t>(5), 378–382.</w:t>
      </w:r>
    </w:p>
    <w:p w14:paraId="00F32E92" w14:textId="77777777" w:rsidR="00CF5A6F" w:rsidRDefault="00000000">
      <w:pPr>
        <w:spacing w:after="40" w:line="228" w:lineRule="auto"/>
        <w:ind w:left="240" w:hanging="240"/>
      </w:pPr>
      <w:r>
        <w:rPr>
          <w:sz w:val="16"/>
        </w:rPr>
        <w:t xml:space="preserve">Gebru, T., Morgenstern, J., Vecchione, B., Vaughan, J. W., Wallach, H., </w:t>
      </w:r>
      <w:proofErr w:type="spellStart"/>
      <w:r>
        <w:rPr>
          <w:sz w:val="16"/>
        </w:rPr>
        <w:t>Daumé</w:t>
      </w:r>
      <w:proofErr w:type="spellEnd"/>
      <w:r>
        <w:rPr>
          <w:sz w:val="16"/>
        </w:rPr>
        <w:t xml:space="preserve"> III, H., &amp; Crawford, K. (2021). Datasheets for datasets. </w:t>
      </w:r>
      <w:r>
        <w:rPr>
          <w:i/>
          <w:sz w:val="16"/>
        </w:rPr>
        <w:t>Communications of the ACM, 64</w:t>
      </w:r>
      <w:r>
        <w:rPr>
          <w:sz w:val="16"/>
        </w:rPr>
        <w:t>(12), 86–92.</w:t>
      </w:r>
    </w:p>
    <w:p w14:paraId="0C4E54DC" w14:textId="77777777" w:rsidR="00CF5A6F" w:rsidRDefault="00000000">
      <w:pPr>
        <w:spacing w:after="40" w:line="228" w:lineRule="auto"/>
        <w:ind w:left="240" w:hanging="240"/>
      </w:pPr>
      <w:r>
        <w:rPr>
          <w:sz w:val="16"/>
        </w:rPr>
        <w:t xml:space="preserve">Geng, X. (2016). Label distribution learning. </w:t>
      </w:r>
      <w:r>
        <w:rPr>
          <w:i/>
          <w:sz w:val="16"/>
        </w:rPr>
        <w:t>IEEE Transactions on Knowledge and Data Engineering, 28</w:t>
      </w:r>
      <w:r>
        <w:rPr>
          <w:sz w:val="16"/>
        </w:rPr>
        <w:t>(7), 1734–1748.</w:t>
      </w:r>
    </w:p>
    <w:p w14:paraId="341A29C8" w14:textId="77777777" w:rsidR="00CF5A6F" w:rsidRDefault="00000000">
      <w:pPr>
        <w:spacing w:after="40" w:line="228" w:lineRule="auto"/>
        <w:ind w:left="240" w:hanging="240"/>
      </w:pPr>
      <w:r>
        <w:rPr>
          <w:sz w:val="16"/>
        </w:rPr>
        <w:t xml:space="preserve">Gupta, C., Li, H., &amp; Wang, Y. (2017). Perceptual evaluation of singing quality. In </w:t>
      </w:r>
      <w:r>
        <w:rPr>
          <w:i/>
          <w:sz w:val="16"/>
        </w:rPr>
        <w:t>Proceedings of the Asia-Pacific Signal and Information Processing Association Annual Summit and Conference (APSIPA ASC)</w:t>
      </w:r>
      <w:r>
        <w:rPr>
          <w:sz w:val="16"/>
        </w:rPr>
        <w:t>.</w:t>
      </w:r>
    </w:p>
    <w:p w14:paraId="6AC1A2ED" w14:textId="77777777" w:rsidR="00CF5A6F" w:rsidRDefault="00000000">
      <w:pPr>
        <w:spacing w:after="40" w:line="228" w:lineRule="auto"/>
        <w:ind w:left="240" w:hanging="240"/>
      </w:pPr>
      <w:r>
        <w:rPr>
          <w:sz w:val="16"/>
        </w:rPr>
        <w:t xml:space="preserve">Gupta, C., Li, H., &amp; Wang, Y. (2020). Automatic leaderboard: Evaluation of singing quality without a standard reference. </w:t>
      </w:r>
      <w:r>
        <w:rPr>
          <w:i/>
          <w:sz w:val="16"/>
        </w:rPr>
        <w:t>IEEE/ACM Transactions on Audio, Speech, and Language Processing, 28</w:t>
      </w:r>
      <w:r>
        <w:rPr>
          <w:sz w:val="16"/>
        </w:rPr>
        <w:t>, 13–26.</w:t>
      </w:r>
    </w:p>
    <w:p w14:paraId="21944850" w14:textId="77777777" w:rsidR="00CF5A6F" w:rsidRDefault="00000000">
      <w:pPr>
        <w:spacing w:after="40" w:line="228" w:lineRule="auto"/>
        <w:ind w:left="240" w:hanging="240"/>
      </w:pPr>
      <w:r>
        <w:rPr>
          <w:sz w:val="16"/>
        </w:rPr>
        <w:t xml:space="preserve">Holm, S. (1979). A simple sequentially rejective multiple test procedure. </w:t>
      </w:r>
      <w:r>
        <w:rPr>
          <w:i/>
          <w:sz w:val="16"/>
        </w:rPr>
        <w:t>Scandinavian Journal of Statistics, 6</w:t>
      </w:r>
      <w:r>
        <w:rPr>
          <w:sz w:val="16"/>
        </w:rPr>
        <w:t>(2), 65–70.</w:t>
      </w:r>
    </w:p>
    <w:p w14:paraId="50A6D790" w14:textId="77777777" w:rsidR="00CF5A6F" w:rsidRDefault="00000000">
      <w:pPr>
        <w:spacing w:after="40" w:line="228" w:lineRule="auto"/>
        <w:ind w:left="240" w:hanging="240"/>
      </w:pPr>
      <w:r>
        <w:rPr>
          <w:sz w:val="16"/>
        </w:rPr>
        <w:t xml:space="preserve">Hsu, C.-L., &amp; Jang, J.-S. R. (2010). On the improvement of singing voice separation for monaural recordings using the MIR-1K dataset. </w:t>
      </w:r>
      <w:r>
        <w:rPr>
          <w:i/>
          <w:sz w:val="16"/>
        </w:rPr>
        <w:t>IEEE Transactions on Audio, Speech, and Language Processing, 18</w:t>
      </w:r>
      <w:r>
        <w:rPr>
          <w:sz w:val="16"/>
        </w:rPr>
        <w:t>(2), 310–319.</w:t>
      </w:r>
    </w:p>
    <w:p w14:paraId="2BA8997D" w14:textId="77777777" w:rsidR="00CF5A6F" w:rsidRDefault="00000000">
      <w:pPr>
        <w:spacing w:after="40" w:line="228" w:lineRule="auto"/>
        <w:ind w:left="240" w:hanging="240"/>
      </w:pPr>
      <w:r>
        <w:rPr>
          <w:sz w:val="16"/>
        </w:rPr>
        <w:t xml:space="preserve">Ke, G., Meng, Q., Finley, T., Wang, T., Chen, W., Ma, W., Ye, Q., &amp; Liu, T.-Y. (2017). </w:t>
      </w:r>
      <w:proofErr w:type="spellStart"/>
      <w:r>
        <w:rPr>
          <w:sz w:val="16"/>
        </w:rPr>
        <w:t>LightGBM</w:t>
      </w:r>
      <w:proofErr w:type="spellEnd"/>
      <w:r>
        <w:rPr>
          <w:sz w:val="16"/>
        </w:rPr>
        <w:t xml:space="preserve">: A highly efficient gradient boosting decision tree. In </w:t>
      </w:r>
      <w:r>
        <w:rPr>
          <w:i/>
          <w:sz w:val="16"/>
        </w:rPr>
        <w:t>Advances in Neural Information Processing Systems 30</w:t>
      </w:r>
      <w:r>
        <w:rPr>
          <w:sz w:val="16"/>
        </w:rPr>
        <w:t>.</w:t>
      </w:r>
    </w:p>
    <w:p w14:paraId="7E1512A5" w14:textId="77777777" w:rsidR="00CF5A6F" w:rsidRDefault="00000000">
      <w:pPr>
        <w:spacing w:after="40" w:line="228" w:lineRule="auto"/>
        <w:ind w:left="240" w:hanging="240"/>
      </w:pPr>
      <w:r>
        <w:rPr>
          <w:sz w:val="16"/>
        </w:rPr>
        <w:t xml:space="preserve">Kim, J. W., Salamon, J., Li, P., &amp; Bello, J. P. (2018). CREPE: A convolutional representation for pitch estimation. In </w:t>
      </w:r>
      <w:r>
        <w:rPr>
          <w:i/>
          <w:sz w:val="16"/>
        </w:rPr>
        <w:t>Proceedings of the IEEE International Conference on Acoustics, Speech and Signal Processing (ICASSP)</w:t>
      </w:r>
      <w:r>
        <w:rPr>
          <w:sz w:val="16"/>
        </w:rPr>
        <w:t xml:space="preserve"> (pp. 161–165).</w:t>
      </w:r>
    </w:p>
    <w:p w14:paraId="097933AA" w14:textId="77777777" w:rsidR="00CF5A6F" w:rsidRDefault="00000000">
      <w:pPr>
        <w:spacing w:after="40" w:line="228" w:lineRule="auto"/>
        <w:ind w:left="240" w:hanging="240"/>
      </w:pPr>
      <w:r>
        <w:rPr>
          <w:sz w:val="16"/>
        </w:rPr>
        <w:t xml:space="preserve">Koo, T. K., &amp; Li, M. Y. (2016). A guideline of selecting and reporting intraclass correlation coefficients for reliability research. </w:t>
      </w:r>
      <w:r>
        <w:rPr>
          <w:i/>
          <w:sz w:val="16"/>
        </w:rPr>
        <w:t>Journal of Chiropractic Medicine, 15</w:t>
      </w:r>
      <w:r>
        <w:rPr>
          <w:sz w:val="16"/>
        </w:rPr>
        <w:t>(2), 155–163.</w:t>
      </w:r>
    </w:p>
    <w:p w14:paraId="09BFADA5" w14:textId="77777777" w:rsidR="00CF5A6F" w:rsidRDefault="00000000">
      <w:pPr>
        <w:spacing w:after="40" w:line="228" w:lineRule="auto"/>
        <w:ind w:left="240" w:hanging="240"/>
      </w:pPr>
      <w:r>
        <w:rPr>
          <w:sz w:val="16"/>
        </w:rPr>
        <w:t xml:space="preserve">Krippendorff, K. (2018). </w:t>
      </w:r>
      <w:r>
        <w:rPr>
          <w:i/>
          <w:sz w:val="16"/>
        </w:rPr>
        <w:t>Content analysis: An introduction to its methodology</w:t>
      </w:r>
      <w:r>
        <w:rPr>
          <w:sz w:val="16"/>
        </w:rPr>
        <w:t xml:space="preserve"> (4th ed.). SAGE.</w:t>
      </w:r>
    </w:p>
    <w:p w14:paraId="19753EDA" w14:textId="77777777" w:rsidR="00CF5A6F" w:rsidRDefault="00000000">
      <w:pPr>
        <w:spacing w:after="40" w:line="228" w:lineRule="auto"/>
        <w:ind w:left="240" w:hanging="240"/>
      </w:pPr>
      <w:proofErr w:type="spellStart"/>
      <w:r>
        <w:rPr>
          <w:sz w:val="16"/>
        </w:rPr>
        <w:t>Lakens</w:t>
      </w:r>
      <w:proofErr w:type="spellEnd"/>
      <w:r>
        <w:rPr>
          <w:sz w:val="16"/>
        </w:rPr>
        <w:t xml:space="preserve">, D. (2017). Equivalence tests: A practical primer for t tests, correlations, and meta-analyses. </w:t>
      </w:r>
      <w:r>
        <w:rPr>
          <w:i/>
          <w:sz w:val="16"/>
        </w:rPr>
        <w:t>Social Psychological and Personality Science, 8</w:t>
      </w:r>
      <w:r>
        <w:rPr>
          <w:sz w:val="16"/>
        </w:rPr>
        <w:t>(4), 355–362.</w:t>
      </w:r>
    </w:p>
    <w:p w14:paraId="41F8F59B" w14:textId="77777777" w:rsidR="00CF5A6F" w:rsidRDefault="00000000">
      <w:pPr>
        <w:spacing w:after="40" w:line="228" w:lineRule="auto"/>
        <w:ind w:left="240" w:hanging="240"/>
      </w:pPr>
      <w:r>
        <w:rPr>
          <w:sz w:val="16"/>
        </w:rPr>
        <w:t xml:space="preserve">Li, Y., Yuan, R., Zhang, G., Ma, Y., Chen, X., Yin, H., et al. (2024). MERT: Acoustic music understanding model with large-scale self-supervised training. In </w:t>
      </w:r>
      <w:r>
        <w:rPr>
          <w:i/>
          <w:sz w:val="16"/>
        </w:rPr>
        <w:t>Proceedings of the International Conference on Learning Representations (ICLR)</w:t>
      </w:r>
      <w:r>
        <w:rPr>
          <w:sz w:val="16"/>
        </w:rPr>
        <w:t>.</w:t>
      </w:r>
    </w:p>
    <w:p w14:paraId="06F30EEF" w14:textId="77777777" w:rsidR="00CF5A6F" w:rsidRDefault="00000000">
      <w:pPr>
        <w:spacing w:after="40" w:line="228" w:lineRule="auto"/>
        <w:ind w:left="240" w:hanging="240"/>
      </w:pPr>
      <w:r>
        <w:rPr>
          <w:sz w:val="16"/>
        </w:rPr>
        <w:t xml:space="preserve">Lundberg, S. M., &amp; Lee, S.-I. (2017). A unified approach to interpreting model predictions. In </w:t>
      </w:r>
      <w:r>
        <w:rPr>
          <w:i/>
          <w:sz w:val="16"/>
        </w:rPr>
        <w:t>Advances in Neural Information Processing Systems 30</w:t>
      </w:r>
      <w:r>
        <w:rPr>
          <w:sz w:val="16"/>
        </w:rPr>
        <w:t>.</w:t>
      </w:r>
    </w:p>
    <w:p w14:paraId="35908F36" w14:textId="77777777" w:rsidR="00CF5A6F" w:rsidRDefault="00000000">
      <w:pPr>
        <w:spacing w:after="40" w:line="228" w:lineRule="auto"/>
        <w:ind w:left="240" w:hanging="240"/>
      </w:pPr>
      <w:r>
        <w:rPr>
          <w:sz w:val="16"/>
        </w:rPr>
        <w:t xml:space="preserve">Maryn, Y., Roy, N., De </w:t>
      </w:r>
      <w:proofErr w:type="spellStart"/>
      <w:r>
        <w:rPr>
          <w:sz w:val="16"/>
        </w:rPr>
        <w:t>Bodt</w:t>
      </w:r>
      <w:proofErr w:type="spellEnd"/>
      <w:r>
        <w:rPr>
          <w:sz w:val="16"/>
        </w:rPr>
        <w:t xml:space="preserve">, M., Van Cauwenberge, P., &amp; </w:t>
      </w:r>
      <w:proofErr w:type="spellStart"/>
      <w:r>
        <w:rPr>
          <w:sz w:val="16"/>
        </w:rPr>
        <w:t>Corthals</w:t>
      </w:r>
      <w:proofErr w:type="spellEnd"/>
      <w:r>
        <w:rPr>
          <w:sz w:val="16"/>
        </w:rPr>
        <w:t xml:space="preserve">, P. (2009). Acoustic measurement of overall voice quality: A meta-analysis. </w:t>
      </w:r>
      <w:r>
        <w:rPr>
          <w:i/>
          <w:sz w:val="16"/>
        </w:rPr>
        <w:t>The Journal of the Acoustical Society of America, 126</w:t>
      </w:r>
      <w:r>
        <w:rPr>
          <w:sz w:val="16"/>
        </w:rPr>
        <w:t>(5), 2619–2634.</w:t>
      </w:r>
    </w:p>
    <w:p w14:paraId="05D2E0CA" w14:textId="77777777" w:rsidR="00CF5A6F" w:rsidRDefault="00000000">
      <w:pPr>
        <w:spacing w:after="40" w:line="228" w:lineRule="auto"/>
        <w:ind w:left="240" w:hanging="240"/>
      </w:pPr>
      <w:r>
        <w:rPr>
          <w:sz w:val="16"/>
        </w:rPr>
        <w:t xml:space="preserve">Mauch, M., &amp; Dixon, S. (2014). </w:t>
      </w:r>
      <w:proofErr w:type="spellStart"/>
      <w:r>
        <w:rPr>
          <w:sz w:val="16"/>
        </w:rPr>
        <w:t>pYIN</w:t>
      </w:r>
      <w:proofErr w:type="spellEnd"/>
      <w:r>
        <w:rPr>
          <w:sz w:val="16"/>
        </w:rPr>
        <w:t xml:space="preserve">: A fundamental frequency estimator using probabilistic threshold distributions. In </w:t>
      </w:r>
      <w:r>
        <w:rPr>
          <w:i/>
          <w:sz w:val="16"/>
        </w:rPr>
        <w:t>Proceedings of the IEEE International Conference on Acoustics, Speech and Signal Processing (ICASSP)</w:t>
      </w:r>
      <w:r>
        <w:rPr>
          <w:sz w:val="16"/>
        </w:rPr>
        <w:t xml:space="preserve"> (pp. 659–663).</w:t>
      </w:r>
    </w:p>
    <w:p w14:paraId="06065484" w14:textId="77777777" w:rsidR="00CF5A6F" w:rsidRDefault="00000000">
      <w:pPr>
        <w:spacing w:after="40" w:line="228" w:lineRule="auto"/>
        <w:ind w:left="240" w:hanging="240"/>
      </w:pPr>
      <w:r>
        <w:rPr>
          <w:sz w:val="16"/>
        </w:rPr>
        <w:t xml:space="preserve">McCullagh, P. (1980). Regression models for ordinal data. </w:t>
      </w:r>
      <w:r>
        <w:rPr>
          <w:i/>
          <w:sz w:val="16"/>
        </w:rPr>
        <w:t>Journal of the Royal Statistical Society: Series B (Methodological), 42</w:t>
      </w:r>
      <w:r>
        <w:rPr>
          <w:sz w:val="16"/>
        </w:rPr>
        <w:t>(2), 109–142.</w:t>
      </w:r>
    </w:p>
    <w:p w14:paraId="3BE50918" w14:textId="77777777" w:rsidR="00CF5A6F" w:rsidRDefault="00000000">
      <w:pPr>
        <w:spacing w:after="40" w:line="228" w:lineRule="auto"/>
        <w:ind w:left="240" w:hanging="240"/>
      </w:pPr>
      <w:r>
        <w:rPr>
          <w:sz w:val="16"/>
        </w:rPr>
        <w:t xml:space="preserve">Müller, M. (2015). </w:t>
      </w:r>
      <w:r>
        <w:rPr>
          <w:i/>
          <w:sz w:val="16"/>
        </w:rPr>
        <w:t>Fundamentals of music processing: Audio, analysis, algorithms, applications</w:t>
      </w:r>
      <w:r>
        <w:rPr>
          <w:sz w:val="16"/>
        </w:rPr>
        <w:t>. Springer.</w:t>
      </w:r>
    </w:p>
    <w:p w14:paraId="5C9ABFF3" w14:textId="77777777" w:rsidR="00CF5A6F" w:rsidRDefault="00000000">
      <w:pPr>
        <w:spacing w:after="40" w:line="228" w:lineRule="auto"/>
        <w:ind w:left="240" w:hanging="240"/>
      </w:pPr>
      <w:r>
        <w:rPr>
          <w:sz w:val="16"/>
        </w:rPr>
        <w:t xml:space="preserve">Nakano, T., Goto, M., &amp; Hiraga, Y. (2006). An automatic singing skill evaluation method for unknown melodies using pitch interval accuracy and vibrato features. In </w:t>
      </w:r>
      <w:r>
        <w:rPr>
          <w:i/>
          <w:sz w:val="16"/>
        </w:rPr>
        <w:t xml:space="preserve">Proceedings of </w:t>
      </w:r>
      <w:proofErr w:type="spellStart"/>
      <w:r>
        <w:rPr>
          <w:i/>
          <w:sz w:val="16"/>
        </w:rPr>
        <w:t>Interspeech</w:t>
      </w:r>
      <w:proofErr w:type="spellEnd"/>
      <w:r>
        <w:rPr>
          <w:i/>
          <w:sz w:val="16"/>
        </w:rPr>
        <w:t xml:space="preserve"> 2006</w:t>
      </w:r>
      <w:r>
        <w:rPr>
          <w:sz w:val="16"/>
        </w:rPr>
        <w:t>.</w:t>
      </w:r>
    </w:p>
    <w:p w14:paraId="37C2AC23" w14:textId="77777777" w:rsidR="00CF5A6F" w:rsidRDefault="00000000">
      <w:pPr>
        <w:spacing w:after="40" w:line="228" w:lineRule="auto"/>
        <w:ind w:left="240" w:hanging="240"/>
      </w:pPr>
      <w:r>
        <w:rPr>
          <w:sz w:val="16"/>
        </w:rPr>
        <w:t xml:space="preserve">Nosek, B. A., Ebersole, C. R., DeHaven, A. C., &amp; Mellor, D. T. (2018). The preregistration revolution. </w:t>
      </w:r>
      <w:r>
        <w:rPr>
          <w:i/>
          <w:sz w:val="16"/>
        </w:rPr>
        <w:t>Proceedings of the National Academy of Sciences, 115</w:t>
      </w:r>
      <w:r>
        <w:rPr>
          <w:sz w:val="16"/>
        </w:rPr>
        <w:t>(11), 2600–2606.</w:t>
      </w:r>
    </w:p>
    <w:p w14:paraId="425292E8" w14:textId="77777777" w:rsidR="00CF5A6F" w:rsidRDefault="00000000">
      <w:pPr>
        <w:spacing w:after="40" w:line="228" w:lineRule="auto"/>
        <w:ind w:left="240" w:hanging="240"/>
      </w:pPr>
      <w:r>
        <w:rPr>
          <w:sz w:val="16"/>
        </w:rPr>
        <w:t xml:space="preserve">Salamon, J., Gómez, E., Ellis, D. P. W., &amp; Richard, G. (2014). Melody extraction from polyphonic music signals: Approaches, applications, and challenges. </w:t>
      </w:r>
      <w:r>
        <w:rPr>
          <w:i/>
          <w:sz w:val="16"/>
        </w:rPr>
        <w:t>IEEE Signal Processing Magazine, 31</w:t>
      </w:r>
      <w:r>
        <w:rPr>
          <w:sz w:val="16"/>
        </w:rPr>
        <w:t>(2), 118–134.</w:t>
      </w:r>
    </w:p>
    <w:p w14:paraId="74DAA01A" w14:textId="77777777" w:rsidR="00CF5A6F" w:rsidRDefault="00000000">
      <w:pPr>
        <w:spacing w:after="40" w:line="228" w:lineRule="auto"/>
        <w:ind w:left="240" w:hanging="240"/>
      </w:pPr>
      <w:proofErr w:type="spellStart"/>
      <w:r>
        <w:rPr>
          <w:sz w:val="16"/>
        </w:rPr>
        <w:t>Salmoni</w:t>
      </w:r>
      <w:proofErr w:type="spellEnd"/>
      <w:r>
        <w:rPr>
          <w:sz w:val="16"/>
        </w:rPr>
        <w:t xml:space="preserve">, A. W., Schmidt, R. A., &amp; Walter, C. B. (1984). Knowledge of results and motor learning: A review and critical reappraisal. </w:t>
      </w:r>
      <w:r>
        <w:rPr>
          <w:i/>
          <w:sz w:val="16"/>
        </w:rPr>
        <w:t>Psychological Bulletin, 95</w:t>
      </w:r>
      <w:r>
        <w:rPr>
          <w:sz w:val="16"/>
        </w:rPr>
        <w:t>(3), 355–386.</w:t>
      </w:r>
    </w:p>
    <w:p w14:paraId="023CECC7" w14:textId="77777777" w:rsidR="00CF5A6F" w:rsidRDefault="00000000">
      <w:pPr>
        <w:spacing w:after="40" w:line="228" w:lineRule="auto"/>
        <w:ind w:left="240" w:hanging="240"/>
      </w:pPr>
      <w:r>
        <w:rPr>
          <w:sz w:val="16"/>
        </w:rPr>
        <w:t xml:space="preserve">Scheibler, R., Bezzam, E., &amp; </w:t>
      </w:r>
      <w:proofErr w:type="spellStart"/>
      <w:r>
        <w:rPr>
          <w:sz w:val="16"/>
        </w:rPr>
        <w:t>Dokmanić</w:t>
      </w:r>
      <w:proofErr w:type="spellEnd"/>
      <w:r>
        <w:rPr>
          <w:sz w:val="16"/>
        </w:rPr>
        <w:t xml:space="preserve">, I. (2018). </w:t>
      </w:r>
      <w:proofErr w:type="spellStart"/>
      <w:r>
        <w:rPr>
          <w:sz w:val="16"/>
        </w:rPr>
        <w:t>Pyroomacoustics</w:t>
      </w:r>
      <w:proofErr w:type="spellEnd"/>
      <w:r>
        <w:rPr>
          <w:sz w:val="16"/>
        </w:rPr>
        <w:t xml:space="preserve">: A Python package for audio room simulation and array processing algorithms. In </w:t>
      </w:r>
      <w:r>
        <w:rPr>
          <w:i/>
          <w:sz w:val="16"/>
        </w:rPr>
        <w:t>Proceedings of the IEEE International Conference on Acoustics, Speech and Signal Processing (ICASSP)</w:t>
      </w:r>
      <w:r>
        <w:rPr>
          <w:sz w:val="16"/>
        </w:rPr>
        <w:t>.</w:t>
      </w:r>
    </w:p>
    <w:p w14:paraId="76542DFC" w14:textId="77777777" w:rsidR="00CF5A6F" w:rsidRDefault="00000000">
      <w:pPr>
        <w:spacing w:after="40" w:line="228" w:lineRule="auto"/>
        <w:ind w:left="240" w:hanging="240"/>
      </w:pPr>
      <w:r>
        <w:rPr>
          <w:sz w:val="16"/>
        </w:rPr>
        <w:t xml:space="preserve">Shrout, P. E., &amp; Fleiss, J. L. (1979). Intraclass correlations: Uses in assessing rater reliability. </w:t>
      </w:r>
      <w:r>
        <w:rPr>
          <w:i/>
          <w:sz w:val="16"/>
        </w:rPr>
        <w:t>Psychological Bulletin, 86</w:t>
      </w:r>
      <w:r>
        <w:rPr>
          <w:sz w:val="16"/>
        </w:rPr>
        <w:t>(2), 420–428.</w:t>
      </w:r>
    </w:p>
    <w:p w14:paraId="16751663" w14:textId="77777777" w:rsidR="00CF5A6F" w:rsidRDefault="00000000">
      <w:pPr>
        <w:spacing w:after="40" w:line="228" w:lineRule="auto"/>
        <w:ind w:left="240" w:hanging="240"/>
      </w:pPr>
      <w:proofErr w:type="spellStart"/>
      <w:r>
        <w:rPr>
          <w:sz w:val="16"/>
        </w:rPr>
        <w:t>Smule</w:t>
      </w:r>
      <w:proofErr w:type="spellEnd"/>
      <w:r>
        <w:rPr>
          <w:sz w:val="16"/>
        </w:rPr>
        <w:t xml:space="preserve">, Inc. (2018). </w:t>
      </w:r>
      <w:r>
        <w:rPr>
          <w:i/>
          <w:sz w:val="16"/>
        </w:rPr>
        <w:t xml:space="preserve">DAMP-MVP: Digital Archive of Mobile Performances – </w:t>
      </w:r>
      <w:proofErr w:type="spellStart"/>
      <w:r>
        <w:rPr>
          <w:i/>
          <w:sz w:val="16"/>
        </w:rPr>
        <w:t>Smule</w:t>
      </w:r>
      <w:proofErr w:type="spellEnd"/>
      <w:r>
        <w:rPr>
          <w:i/>
          <w:sz w:val="16"/>
        </w:rPr>
        <w:t xml:space="preserve"> Multilingual Vocal Performance 300x30x2</w:t>
      </w:r>
      <w:r>
        <w:rPr>
          <w:sz w:val="16"/>
        </w:rPr>
        <w:t xml:space="preserve"> [Data set]. </w:t>
      </w:r>
      <w:proofErr w:type="spellStart"/>
      <w:r>
        <w:rPr>
          <w:sz w:val="16"/>
        </w:rPr>
        <w:t>Zenodo</w:t>
      </w:r>
      <w:proofErr w:type="spellEnd"/>
      <w:r>
        <w:rPr>
          <w:sz w:val="16"/>
        </w:rPr>
        <w:t>. https://doi.org/10.5281/zenodo.2747436</w:t>
      </w:r>
    </w:p>
    <w:p w14:paraId="24E8857F" w14:textId="77777777" w:rsidR="00CF5A6F" w:rsidRDefault="00000000">
      <w:pPr>
        <w:spacing w:after="40" w:line="228" w:lineRule="auto"/>
        <w:ind w:left="240" w:hanging="240"/>
      </w:pPr>
      <w:r>
        <w:rPr>
          <w:sz w:val="16"/>
        </w:rPr>
        <w:t xml:space="preserve">Spearman, C. (1904). The proof and measurement of association between two things. </w:t>
      </w:r>
      <w:r>
        <w:rPr>
          <w:i/>
          <w:sz w:val="16"/>
        </w:rPr>
        <w:t>The American Journal of Psychology, 15</w:t>
      </w:r>
      <w:r>
        <w:rPr>
          <w:sz w:val="16"/>
        </w:rPr>
        <w:t>(1), 72–101.</w:t>
      </w:r>
    </w:p>
    <w:p w14:paraId="07560F17" w14:textId="77777777" w:rsidR="00CF5A6F" w:rsidRDefault="00000000">
      <w:pPr>
        <w:spacing w:after="40" w:line="228" w:lineRule="auto"/>
        <w:ind w:left="240" w:hanging="240"/>
      </w:pPr>
      <w:r>
        <w:rPr>
          <w:sz w:val="16"/>
        </w:rPr>
        <w:t xml:space="preserve">Sundberg, J. (1974). Articulatory interpretation of the “singing formant”. </w:t>
      </w:r>
      <w:r>
        <w:rPr>
          <w:i/>
          <w:sz w:val="16"/>
        </w:rPr>
        <w:t>The Journal of the Acoustical Society of America, 55</w:t>
      </w:r>
      <w:r>
        <w:rPr>
          <w:sz w:val="16"/>
        </w:rPr>
        <w:t>(4), 838–844.</w:t>
      </w:r>
    </w:p>
    <w:p w14:paraId="0B8D9071" w14:textId="77777777" w:rsidR="00CF5A6F" w:rsidRDefault="00000000">
      <w:pPr>
        <w:spacing w:after="40" w:line="228" w:lineRule="auto"/>
        <w:ind w:left="240" w:hanging="240"/>
      </w:pPr>
      <w:r>
        <w:rPr>
          <w:sz w:val="16"/>
        </w:rPr>
        <w:t xml:space="preserve">Thorndike, E. L. (1920). A constant error in psychological ratings. </w:t>
      </w:r>
      <w:r>
        <w:rPr>
          <w:i/>
          <w:sz w:val="16"/>
        </w:rPr>
        <w:t>Journal of Applied Psychology, 4</w:t>
      </w:r>
      <w:r>
        <w:rPr>
          <w:sz w:val="16"/>
        </w:rPr>
        <w:t>(1), 25–29.</w:t>
      </w:r>
    </w:p>
    <w:p w14:paraId="50EB0389" w14:textId="77777777" w:rsidR="00CF5A6F" w:rsidRDefault="00000000">
      <w:pPr>
        <w:spacing w:after="40" w:line="228" w:lineRule="auto"/>
        <w:ind w:left="240" w:hanging="240"/>
      </w:pPr>
      <w:proofErr w:type="spellStart"/>
      <w:r>
        <w:rPr>
          <w:sz w:val="16"/>
        </w:rPr>
        <w:t>Uloza</w:t>
      </w:r>
      <w:proofErr w:type="spellEnd"/>
      <w:r>
        <w:rPr>
          <w:sz w:val="16"/>
        </w:rPr>
        <w:t xml:space="preserve">, V., Padervinskis, E., </w:t>
      </w:r>
      <w:proofErr w:type="spellStart"/>
      <w:r>
        <w:rPr>
          <w:sz w:val="16"/>
        </w:rPr>
        <w:t>Vegiene</w:t>
      </w:r>
      <w:proofErr w:type="spellEnd"/>
      <w:r>
        <w:rPr>
          <w:sz w:val="16"/>
        </w:rPr>
        <w:t xml:space="preserve">, A., </w:t>
      </w:r>
      <w:proofErr w:type="spellStart"/>
      <w:r>
        <w:rPr>
          <w:sz w:val="16"/>
        </w:rPr>
        <w:t>Pribuisiene</w:t>
      </w:r>
      <w:proofErr w:type="spellEnd"/>
      <w:r>
        <w:rPr>
          <w:sz w:val="16"/>
        </w:rPr>
        <w:t xml:space="preserve">, R., </w:t>
      </w:r>
      <w:proofErr w:type="spellStart"/>
      <w:r>
        <w:rPr>
          <w:sz w:val="16"/>
        </w:rPr>
        <w:t>Saferis</w:t>
      </w:r>
      <w:proofErr w:type="spellEnd"/>
      <w:r>
        <w:rPr>
          <w:sz w:val="16"/>
        </w:rPr>
        <w:t xml:space="preserve">, V., Vaiciukynas, E., et al. (2015). Exploring the feasibility of smart phone microphone for measurement of acoustic voice parameters and voice pathology screening. </w:t>
      </w:r>
      <w:r>
        <w:rPr>
          <w:i/>
          <w:sz w:val="16"/>
        </w:rPr>
        <w:t>European Archives of Oto-Rhino-Laryngology, 272</w:t>
      </w:r>
      <w:r>
        <w:rPr>
          <w:sz w:val="16"/>
        </w:rPr>
        <w:t>(11), 3391–3399.</w:t>
      </w:r>
    </w:p>
    <w:p w14:paraId="62F3795B" w14:textId="77777777" w:rsidR="00CF5A6F" w:rsidRDefault="00000000">
      <w:pPr>
        <w:spacing w:after="40" w:line="228" w:lineRule="auto"/>
        <w:ind w:left="240" w:hanging="240"/>
      </w:pPr>
      <w:r>
        <w:rPr>
          <w:sz w:val="16"/>
        </w:rPr>
        <w:t xml:space="preserve">Varma, S., &amp; Simon, R. (2006). Bias in error estimation when using cross-validation for model selection. </w:t>
      </w:r>
      <w:r>
        <w:rPr>
          <w:i/>
          <w:sz w:val="16"/>
        </w:rPr>
        <w:t>BMC Bioinformatics, 7</w:t>
      </w:r>
      <w:r>
        <w:rPr>
          <w:sz w:val="16"/>
        </w:rPr>
        <w:t>, 91.</w:t>
      </w:r>
    </w:p>
    <w:p w14:paraId="3183890D" w14:textId="77777777" w:rsidR="00CF5A6F" w:rsidRDefault="00000000">
      <w:pPr>
        <w:spacing w:after="40" w:line="228" w:lineRule="auto"/>
        <w:ind w:left="240" w:hanging="240"/>
      </w:pPr>
      <w:r>
        <w:rPr>
          <w:sz w:val="16"/>
        </w:rPr>
        <w:t xml:space="preserve">Wei, H., Cao, X., Dan, T., &amp; Chen, Y. (2023). RMVPE: A robust model for vocal pitch estimation in polyphonic music. In </w:t>
      </w:r>
      <w:r>
        <w:rPr>
          <w:i/>
          <w:sz w:val="16"/>
        </w:rPr>
        <w:t xml:space="preserve">Proceedings of </w:t>
      </w:r>
      <w:proofErr w:type="spellStart"/>
      <w:r>
        <w:rPr>
          <w:i/>
          <w:sz w:val="16"/>
        </w:rPr>
        <w:t>Interspeech</w:t>
      </w:r>
      <w:proofErr w:type="spellEnd"/>
      <w:r>
        <w:rPr>
          <w:i/>
          <w:sz w:val="16"/>
        </w:rPr>
        <w:t xml:space="preserve"> 2023</w:t>
      </w:r>
      <w:r>
        <w:rPr>
          <w:sz w:val="16"/>
        </w:rPr>
        <w:t>.</w:t>
      </w:r>
    </w:p>
    <w:p w14:paraId="1E2D8E44" w14:textId="77777777" w:rsidR="00CF5A6F" w:rsidRDefault="00000000">
      <w:pPr>
        <w:spacing w:after="40" w:line="228" w:lineRule="auto"/>
        <w:ind w:left="240" w:hanging="240"/>
      </w:pPr>
      <w:r>
        <w:rPr>
          <w:sz w:val="16"/>
        </w:rPr>
        <w:t xml:space="preserve">Wilkins, J., Seetharaman, P., Wahl, A., &amp; Pardo, B. (2018). </w:t>
      </w:r>
      <w:proofErr w:type="spellStart"/>
      <w:r>
        <w:rPr>
          <w:sz w:val="16"/>
        </w:rPr>
        <w:t>VocalSet</w:t>
      </w:r>
      <w:proofErr w:type="spellEnd"/>
      <w:r>
        <w:rPr>
          <w:sz w:val="16"/>
        </w:rPr>
        <w:t xml:space="preserve">: A singing voice dataset. In </w:t>
      </w:r>
      <w:r>
        <w:rPr>
          <w:i/>
          <w:sz w:val="16"/>
        </w:rPr>
        <w:t>Proceedings of the 19th International Society for Music Information Retrieval Conference (ISMIR)</w:t>
      </w:r>
      <w:r>
        <w:rPr>
          <w:sz w:val="16"/>
        </w:rPr>
        <w:t>.</w:t>
      </w:r>
    </w:p>
    <w:p w14:paraId="54B798AC" w14:textId="77777777" w:rsidR="00CF5A6F" w:rsidRDefault="00000000">
      <w:pPr>
        <w:spacing w:after="40" w:line="228" w:lineRule="auto"/>
        <w:ind w:left="240" w:hanging="240"/>
      </w:pPr>
      <w:proofErr w:type="spellStart"/>
      <w:r>
        <w:rPr>
          <w:sz w:val="16"/>
        </w:rPr>
        <w:t>Winstein</w:t>
      </w:r>
      <w:proofErr w:type="spellEnd"/>
      <w:r>
        <w:rPr>
          <w:sz w:val="16"/>
        </w:rPr>
        <w:t xml:space="preserve">, C. J., &amp; Schmidt, R. A. (1990). Reduced frequency of knowledge of results enhances motor skill learning. </w:t>
      </w:r>
      <w:r>
        <w:rPr>
          <w:i/>
          <w:sz w:val="16"/>
        </w:rPr>
        <w:t>Journal of Experimental Psychology: Learning, Memory, and Cognition, 16</w:t>
      </w:r>
      <w:r>
        <w:rPr>
          <w:sz w:val="16"/>
        </w:rPr>
        <w:t>(4), 677–691.</w:t>
      </w:r>
    </w:p>
    <w:sectPr w:rsidR="00CF5A6F">
      <w:type w:val="continuous"/>
      <w:pgSz w:w="12240" w:h="15840"/>
      <w:pgMar w:top="1304" w:right="1361" w:bottom="1304" w:left="1361"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949320">
    <w:abstractNumId w:val="8"/>
  </w:num>
  <w:num w:numId="2" w16cid:durableId="1189682638">
    <w:abstractNumId w:val="6"/>
  </w:num>
  <w:num w:numId="3" w16cid:durableId="235744712">
    <w:abstractNumId w:val="5"/>
  </w:num>
  <w:num w:numId="4" w16cid:durableId="226501589">
    <w:abstractNumId w:val="4"/>
  </w:num>
  <w:num w:numId="5" w16cid:durableId="701397173">
    <w:abstractNumId w:val="7"/>
  </w:num>
  <w:num w:numId="6" w16cid:durableId="2072458253">
    <w:abstractNumId w:val="3"/>
  </w:num>
  <w:num w:numId="7" w16cid:durableId="2064789211">
    <w:abstractNumId w:val="2"/>
  </w:num>
  <w:num w:numId="8" w16cid:durableId="657197419">
    <w:abstractNumId w:val="1"/>
  </w:num>
  <w:num w:numId="9" w16cid:durableId="194341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4BA"/>
    <w:rsid w:val="00034616"/>
    <w:rsid w:val="0006063C"/>
    <w:rsid w:val="0015074B"/>
    <w:rsid w:val="0029639D"/>
    <w:rsid w:val="00326F90"/>
    <w:rsid w:val="00335739"/>
    <w:rsid w:val="00541564"/>
    <w:rsid w:val="008060C6"/>
    <w:rsid w:val="00942318"/>
    <w:rsid w:val="009B5E64"/>
    <w:rsid w:val="00AA1D8D"/>
    <w:rsid w:val="00B47730"/>
    <w:rsid w:val="00B6332D"/>
    <w:rsid w:val="00CB0664"/>
    <w:rsid w:val="00CF5A6F"/>
    <w:rsid w:val="00E868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CD637A"/>
  <w14:defaultImageDpi w14:val="300"/>
  <w15:docId w15:val="{2C856B4D-651B-49D1-BF54-FB885376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9A6F22"/>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21A1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3493</Words>
  <Characters>19915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Mukherjee, Lopamudra</cp:lastModifiedBy>
  <cp:revision>2</cp:revision>
  <dcterms:created xsi:type="dcterms:W3CDTF">2026-09-30T19:14:00Z</dcterms:created>
  <dcterms:modified xsi:type="dcterms:W3CDTF">2026-09-30T19:14:00Z</dcterms:modified>
  <cp:category/>
</cp:coreProperties>
</file>