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</w:p>
    <w:p>
      <w:pPr>
        <w:numPr>
          <w:ilvl w:val="0"/>
          <w:numId w:val="1001"/>
        </w:numPr>
        <w:pStyle w:val="Compact"/>
      </w:pPr>
      <w:r>
        <w:t xml:space="preserve">Table 4: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3"/>
        </w:numPr>
        <w:pStyle w:val="Compact"/>
      </w:pPr>
      <w:r>
        <w:t xml:space="preserve">Baseline models include study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include: study site, gender, age group, smoking (binary; otherwise we get small group problems), education</w:t>
      </w:r>
      <w:r>
        <w:t xml:space="preserve"> </w:t>
      </w:r>
      <w:r>
        <w:t xml:space="preserve"> 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2f00c6bdf6cbcc55c0651f83a6b200db54b114e"/>
    <w:p>
      <w:pPr>
        <w:pStyle w:val="Heading2"/>
      </w:pPr>
      <w:r>
        <w:t xml:space="preserve">Table 2. Cardiovascular risk for community follow-up HIV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 0.56)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 0.64)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 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 0.51)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 6.43)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(-0.35, 6.19)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</w:tbl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49411f7f7edb8d0b85d0233ed18598079b616da"/>
    <w:p>
      <w:pPr>
        <w:pStyle w:val="Heading2"/>
      </w:pPr>
      <w:r>
        <w:t xml:space="preserve">Table 3: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(0.77,1.16)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 1.17)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(-1.31,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(2.27,9.15)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29" w:name="X676962ddfc158ad4ce517388ad4876cc46473b2"/>
    <w:p>
      <w:pPr>
        <w:pStyle w:val="Heading2"/>
      </w:pPr>
      <w:r>
        <w:t xml:space="preserve">Table 4: Cardiovascular risk for persons virally suppressed versus not suppressed at exit,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 0.67)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2.59)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 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 0.20)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 7.39)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( 2.93,12.10)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bookmarkEnd w:id="29"/>
    <w:bookmarkStart w:id="36" w:name="Xe4a1c7933a0a131b1f20fa71f2ece99ff8e2d80"/>
    <w:p>
      <w:pPr>
        <w:pStyle w:val="Heading2"/>
      </w:pPr>
      <w:r>
        <w:t xml:space="preserve">S4 Figure 2: Distribution of cardiovascular risk, by viral suppression status at exit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2024-02-15T00:45:44Z</dcterms:created>
  <dcterms:modified xsi:type="dcterms:W3CDTF">2024-02-15T00:45:44Z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February, 2024</vt:lpwstr>
  </property>
  <property fmtid="{D5CDD505-2E9C-101B-9397-08002B2CF9AE}" pid="3" name="output">
    <vt:lpwstr/>
  </property>
</Properties>
</file>