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predictor, stratified by treatment arm; with interaction term for VS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**Note that regression analysis uses smoking as a binary variable (even though descriptive shows categorical, because some of the regressions don’t run otherwise - maybe getting small group problems)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2f00c6bdf6cbcc55c0651f83a6b200db54b114e"/>
    <w:p>
      <w:pPr>
        <w:pStyle w:val="Heading2"/>
      </w:pPr>
      <w:r>
        <w:t xml:space="preserve">Table 2. Cardiovascular risk for community follow-up HIV care versus clinic follow-up care,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(0.76,2.02)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(0.76,2.04)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(-2.16,0.56)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(-1.97,0.73)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(-1.96,0.75)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(-1,1.12)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(-0.97,1.14)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(-0.68,0.64)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(-0.74,0.5)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(-0.83,0.4)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(-0.73,5.85)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3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3"/>
        </w:numPr>
        <w:pStyle w:val="Compact"/>
      </w:pPr>
      <w:r>
        <w:t xml:space="preserve">Baseline model adjusts for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3"/>
        </w:numPr>
        <w:pStyle w:val="Compact"/>
      </w:pPr>
      <w:r>
        <w:t xml:space="preserve">Extended model includes model endline viral suppression [binary] plus all adjustment variables</w:t>
      </w:r>
    </w:p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8" w:name="X33e13613a0ccd2ef58470aef60efb21fc5b8288"/>
    <w:p>
      <w:pPr>
        <w:pStyle w:val="Heading2"/>
      </w:pPr>
      <w:r>
        <w:t xml:space="preserve">Table 3: Cardiovascular risk for persons virally suppressed versus not suppressed at endline, South Africa (N = 983).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(0.71,1.17)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(0.93,1.44)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(0.34,1.79)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(-3.89,0.61)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(-0.9,2.48)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(-2.64,0.69)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(0.4,1.97)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(-3.27,7.41)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(2.91,12.04)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Note, we drop 27 participants without endline viral load available.</w:t>
      </w:r>
    </w:p>
    <w:p>
      <w:pPr>
        <w:numPr>
          <w:ilvl w:val="0"/>
          <w:numId w:val="1004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4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4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4"/>
        </w:numPr>
        <w:pStyle w:val="Compact"/>
      </w:pPr>
      <w:r>
        <w:t xml:space="preserve">The p-value for interaction term comes from the adjusted model with an interaction term between viral suppression and trial arm</w:t>
      </w:r>
    </w:p>
    <w:p>
      <w:pPr>
        <w:numPr>
          <w:ilvl w:val="0"/>
          <w:numId w:val="1004"/>
        </w:numPr>
        <w:pStyle w:val="Compact"/>
      </w:pPr>
      <w:r>
        <w:t xml:space="preserve">For smoker, the adjusted and extended analyses do not adjust for smoking</w:t>
      </w:r>
    </w:p>
    <w:bookmarkStart w:id="27" w:name="page-break-3"/>
    <w:p>
      <w:pPr>
        <w:pStyle w:val="Heading3"/>
      </w:pPr>
      <w:r>
        <w:t xml:space="preserve">Page Break</w:t>
      </w:r>
    </w:p>
    <w:bookmarkEnd w:id="27"/>
    <w:bookmarkEnd w:id="28"/>
    <w:bookmarkStart w:id="35" w:name="Xe425e0cdce5fa2a475de4482a54f1663e1b1e74"/>
    <w:p>
      <w:pPr>
        <w:pStyle w:val="Heading2"/>
      </w:pPr>
      <w:r>
        <w:t xml:space="preserve">Figure 1: Distribution of cardiovascular risk, by viral suppression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_ncd_tables_gee_revise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_ncd_tables_gee_revised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2022-09-26T22:46:51Z</dcterms:created>
  <dcterms:modified xsi:type="dcterms:W3CDTF">2022-09-26T22:46:51Z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September, 2022</vt:lpwstr>
  </property>
  <property fmtid="{D5CDD505-2E9C-101B-9397-08002B2CF9AE}" pid="3" name="output">
    <vt:lpwstr/>
  </property>
</Properties>
</file>