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predictor, stratified by treatment arm; with interaction term for VS</w:t>
      </w:r>
    </w:p>
    <w:bookmarkEnd w:id="20"/>
    <w:bookmarkStart w:id="22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VS versus not</w:t>
      </w:r>
    </w:p>
    <w:bookmarkStart w:id="21" w:name="page-break"/>
    <w:p>
      <w:pPr>
        <w:pStyle w:val="Heading3"/>
      </w:pPr>
      <w:r>
        <w:t xml:space="preserve">Page Break</w:t>
      </w:r>
    </w:p>
    <w:bookmarkEnd w:id="21"/>
    <w:bookmarkEnd w:id="22"/>
    <w:bookmarkStart w:id="30" w:name="X08843622efb5bded176fffa5a3a5cb7b3c0c921"/>
    <w:p>
      <w:pPr>
        <w:pStyle w:val="Heading2"/>
      </w:pPr>
      <w:r>
        <w:t xml:space="preserve">Figure 1: Distribution of clinical CVD measures, by arm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_ncd_croi_figure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_ncd_croi_figure_files/figure-docx/unnamed-chunk-1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page-break-1"/>
    <w:p>
      <w:pPr>
        <w:pStyle w:val="Heading3"/>
      </w:pPr>
      <w:r>
        <w:t xml:space="preserve">Page Break</w:t>
      </w:r>
    </w:p>
    <w:bookmarkEnd w:id="29"/>
    <w:bookmarkEnd w:id="30"/>
    <w:bookmarkStart w:id="37" w:name="X0c053df5cac92452de8601ac5b39a4d2d31b67a"/>
    <w:p>
      <w:pPr>
        <w:pStyle w:val="Heading2"/>
      </w:pPr>
      <w:r>
        <w:t xml:space="preserve">Figure 2: Distribution, by viral suppression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_ncd_croi_figure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_ncd_croi_figure_files/figure-docx/unnamed-chunk-2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2022-09-20T23:43:01Z</dcterms:created>
  <dcterms:modified xsi:type="dcterms:W3CDTF">2022-09-20T23:43:01Z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September, 2022</vt:lpwstr>
  </property>
  <property fmtid="{D5CDD505-2E9C-101B-9397-08002B2CF9AE}" pid="3" name="output">
    <vt:lpwstr/>
  </property>
</Properties>
</file>