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200" w:before="0"/>
        <w:jc w:val="center"/>
      </w:pPr>
      <w:r>
        <w:rPr>
          <w:rFonts w:ascii="Arial" w:cs="Arial" w:eastAsia="Arial" w:hAnsi="Arial"/>
          <w:b/>
          <w:bCs/>
          <w:color w:val="1E3A5F"/>
          <w:sz w:val="52"/>
          <w:szCs w:val="52"/>
        </w:rPr>
        <w:t xml:space="preserve">INVENTORY MANAGEMENT SYSTEM</w:t>
      </w:r>
    </w:p>
    <w:p>
      <w:pPr>
        <w:spacing w:after="120" w:before="0"/>
        <w:jc w:val="center"/>
      </w:pPr>
      <w:r>
        <w:rPr>
          <w:rFonts w:ascii="Arial" w:cs="Arial" w:eastAsia="Arial" w:hAnsi="Arial"/>
          <w:color w:val="2563EB"/>
          <w:sz w:val="30"/>
          <w:szCs w:val="30"/>
        </w:rPr>
        <w:t xml:space="preserve">Unstructured Database Architecture</w:t>
      </w:r>
    </w:p>
    <w:p>
      <w:pPr>
        <w:pBdr>
          <w:bottom w:val="single" w:color="2563EB" w:sz="8" w:space="4"/>
        </w:pBdr>
        <w:spacing w:after="600" w:before="120"/>
        <w:jc w:val="center"/>
      </w:pPr>
      <w:r>
        <w:rPr>
          <w:rFonts w:ascii="Courier New" w:cs="Courier New" w:eastAsia="Courier New" w:hAnsi="Courier New"/>
          <w:color w:val="6B7280"/>
          <w:sz w:val="24"/>
          <w:szCs w:val="24"/>
        </w:rPr>
        <w:t xml:space="preserve">Redis · MongoDB · Neo4j</w:t>
      </w:r>
    </w:p>
    <w:p>
      <w:pPr>
        <w:spacing w:after="80" w:before="80"/>
      </w:pPr>
      <w:r>
        <w:t xml:space="preserve"/>
      </w:r>
    </w:p>
    <w:p>
      <w:pPr>
        <w:spacing w:after="80" w:before="80"/>
      </w:pPr>
      <w:r>
        <w:t xml:space="preserve"/>
      </w:r>
    </w:p>
    <w:p>
      <w:pPr>
        <w:jc w:val="center"/>
      </w:pPr>
      <w:r>
        <w:rPr>
          <w:rFonts w:ascii="Arial" w:cs="Arial" w:eastAsia="Arial" w:hAnsi="Arial"/>
          <w:color w:val="6B7280"/>
          <w:sz w:val="22"/>
          <w:szCs w:val="22"/>
        </w:rPr>
        <w:t xml:space="preserve">Submitted by:</w:t>
      </w:r>
    </w:p>
    <w:p>
      <w:pPr>
        <w:jc w:val="center"/>
      </w:pPr>
      <w:r>
        <w:rPr>
          <w:rFonts w:ascii="Arial" w:cs="Arial" w:eastAsia="Arial" w:hAnsi="Arial"/>
          <w:b/>
          <w:bCs/>
          <w:color w:val="1E3A5F"/>
          <w:sz w:val="26"/>
          <w:szCs w:val="26"/>
        </w:rPr>
        <w:t xml:space="preserve">[Student Name / Roll No]</w:t>
      </w:r>
    </w:p>
    <w:p>
      <w:pPr>
        <w:jc w:val="center"/>
      </w:pPr>
      <w:r>
        <w:rPr>
          <w:rFonts w:ascii="Arial" w:cs="Arial" w:eastAsia="Arial" w:hAnsi="Arial"/>
          <w:color w:val="6B7280"/>
          <w:sz w:val="22"/>
          <w:szCs w:val="22"/>
        </w:rPr>
        <w:t xml:space="preserve">[Course / Department / Institution]</w:t>
      </w:r>
    </w:p>
    <w:p>
      <w:pPr>
        <w:jc w:val="center"/>
      </w:pPr>
      <w:r>
        <w:rPr>
          <w:rFonts w:ascii="Arial" w:cs="Arial" w:eastAsia="Arial" w:hAnsi="Arial"/>
          <w:color w:val="9CA3AF"/>
          <w:sz w:val="20"/>
          <w:szCs w:val="20"/>
        </w:rPr>
        <w:t xml:space="preserve">10 April 2026</w:t>
      </w:r>
    </w:p>
    <w:p>
      <w:r>
        <w:br w:type="page"/>
      </w:r>
    </w:p>
    <w:p>
      <w:pPr>
        <w:pStyle w:val="Heading1"/>
        <w:spacing w:after="120" w:before="280"/>
      </w:pPr>
      <w:r>
        <w:rPr>
          <w:rFonts w:ascii="Arial" w:cs="Arial" w:eastAsia="Arial" w:hAnsi="Arial"/>
          <w:b/>
          <w:bCs/>
          <w:color w:val="1E3A5F"/>
        </w:rPr>
        <w:t xml:space="preserve">1. Project Overview</w:t>
      </w:r>
    </w:p>
    <w:p>
      <w:pPr>
        <w:spacing w:after="80" w:before="80"/>
      </w:pPr>
      <w:r>
        <w:rPr>
          <w:rFonts w:ascii="Arial" w:cs="Arial" w:eastAsia="Arial" w:hAnsi="Arial"/>
          <w:sz w:val="22"/>
          <w:szCs w:val="22"/>
        </w:rPr>
        <w:t xml:space="preserve">This document describes the design and implementation of an Inventory Management System (IMS) built on three distinct unstructured (NoSQL and Graph) databases. Each subsystem addresses a unique operational concern with a database that is architecturally best suited for that problem. The three subsystems are: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800"/>
        <w:gridCol w:w="3160"/>
      </w:tblGrid>
      <w:tr>
        <w:trPr>
          <w:tblHeader/>
        </w:trPr>
        <w:tc>
          <w:tcPr>
            <w:tcW w:type="dxa" w:w="24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Subsystem</w:t>
            </w:r>
          </w:p>
        </w:tc>
        <w:tc>
          <w:tcPr>
            <w:tcW w:type="dxa" w:w="20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Database</w:t>
            </w:r>
          </w:p>
        </w:tc>
        <w:tc>
          <w:tcPr>
            <w:tcW w:type="dxa" w:w="18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Port / Interface</w:t>
            </w:r>
          </w:p>
        </w:tc>
        <w:tc>
          <w:tcPr>
            <w:tcW w:type="dxa" w:w="316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Primary Role</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Rate Limiter</w:t>
            </w:r>
          </w:p>
        </w:tc>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Redis (Key-Value)</w:t>
            </w:r>
          </w:p>
        </w:tc>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:2100</w:t>
            </w:r>
          </w:p>
        </w:tc>
        <w:tc>
          <w:tcPr>
            <w:tcW w:type="dxa" w:w="31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Throttle API requests — 5 req/60s window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Inventory CRUD + Stack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MongoDB (Document)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 API</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Store, retrieve, update, delete product records</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Product-Manufacturer Graph</w:t>
            </w:r>
          </w:p>
        </w:tc>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Neo4j (Graph)</w:t>
            </w:r>
          </w:p>
        </w:tc>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Bolt / HTTP</w:t>
            </w:r>
          </w:p>
        </w:tc>
        <w:tc>
          <w:tcPr>
            <w:tcW w:type="dxa" w:w="31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Model and query supply-chain relationships</w:t>
            </w:r>
          </w:p>
        </w:tc>
      </w:tr>
    </w:tbl>
    <w:p>
      <w:pPr>
        <w:spacing w:after="80" w:before="80"/>
      </w:pPr>
      <w:r>
        <w:t xml:space="preserve"/>
      </w:r>
    </w:p>
    <w:p>
      <w:pPr>
        <w:spacing w:after="80" w:before="80"/>
      </w:pPr>
      <w:r>
        <w:t xml:space="preserve"/>
      </w:r>
    </w:p>
    <w:p>
      <w:pPr>
        <w:pStyle w:val="Heading1"/>
        <w:spacing w:after="120" w:before="280"/>
      </w:pPr>
      <w:r>
        <w:rPr>
          <w:rFonts w:ascii="Arial" w:cs="Arial" w:eastAsia="Arial" w:hAnsi="Arial"/>
          <w:b/>
          <w:bCs/>
          <w:color w:val="1E3A5F"/>
        </w:rPr>
        <w:t xml:space="preserve">2. Theory — How Each Application Works</w:t>
      </w:r>
    </w:p>
    <w:p>
      <w:pPr>
        <w:pStyle w:val="Heading2"/>
        <w:spacing w:after="120" w:before="280"/>
      </w:pPr>
      <w:r>
        <w:rPr>
          <w:rFonts w:ascii="Arial" w:cs="Arial" w:eastAsia="Arial" w:hAnsi="Arial"/>
          <w:b/>
          <w:bCs/>
          <w:color w:val="1E3A5F"/>
        </w:rPr>
        <w:t xml:space="preserve">2.1 Rate Limiter (Redis · Port 2100)</w:t>
      </w:r>
    </w:p>
    <w:p>
      <w:pPr>
        <w:pBdr>
          <w:bottom w:val="single" w:color="DC2626" w:sz="6" w:space="1"/>
        </w:pBdr>
        <w:spacing w:after="100" w:before="200"/>
      </w:pPr>
      <w:r>
        <w:rPr>
          <w:rFonts w:ascii="Arial" w:cs="Arial" w:eastAsia="Arial" w:hAnsi="Arial"/>
          <w:b/>
          <w:bCs/>
          <w:color w:val="DC2626"/>
          <w:sz w:val="26"/>
          <w:szCs w:val="26"/>
        </w:rPr>
        <w:t xml:space="preserve">Working of the Application</w:t>
      </w:r>
    </w:p>
    <w:p>
      <w:pPr>
        <w:spacing w:after="80" w:before="80"/>
      </w:pPr>
      <w:r>
        <w:rPr>
          <w:rFonts w:ascii="Arial" w:cs="Arial" w:eastAsia="Arial" w:hAnsi="Arial"/>
          <w:sz w:val="22"/>
          <w:szCs w:val="22"/>
        </w:rPr>
        <w:t xml:space="preserve">The rate limiter enforces a sliding-window policy: each client (identified by IP address or user token) is allowed a maximum of 5 requests within any 60-second window. When a request arrives at port 2100, the middleware checks a Redis key in the form:</w:t>
      </w:r>
    </w:p>
    <w:p>
      <w:pPr>
        <w:spacing w:after="60" w:before="60"/>
        <w:ind w:left="720"/>
      </w:pPr>
      <w:r>
        <w:rPr>
          <w:rFonts w:ascii="Courier New" w:cs="Courier New" w:eastAsia="Courier New" w:hAnsi="Courier New"/>
          <w:color w:val="1D4ED8"/>
          <w:sz w:val="18"/>
          <w:szCs w:val="18"/>
        </w:rPr>
        <w:t xml:space="preserve">rate:{user}:{endpoint}</w:t>
      </w:r>
    </w:p>
    <w:p>
      <w:pPr>
        <w:spacing w:after="80" w:before="80"/>
      </w:pPr>
      <w:r>
        <w:rPr>
          <w:rFonts w:ascii="Arial" w:cs="Arial" w:eastAsia="Arial" w:hAnsi="Arial"/>
          <w:sz w:val="22"/>
          <w:szCs w:val="22"/>
        </w:rPr>
        <w:t xml:space="preserve">It executes an atomic INCR command. If the counter was previously absent it is created with a TTL of 60 seconds — this is the window. If the returned count is ≤ 5, the request is passed through (HTTP 200). If the count exceeds 5, the request is rejected with HTTP 429 Too Many Requests and a Retry-After header set to the remaining TTL of the key.</w:t>
      </w:r>
    </w:p>
    <w:p>
      <w:pPr>
        <w:spacing w:after="80" w:before="80"/>
      </w:pPr>
      <w:r>
        <w:t xml:space="preserve"/>
      </w:r>
    </w:p>
    <w:p>
      <w:pPr>
        <w:pBdr>
          <w:bottom w:val="single" w:color="DC2626" w:sz="6" w:space="1"/>
        </w:pBdr>
        <w:spacing w:after="100" w:before="200"/>
      </w:pPr>
      <w:r>
        <w:rPr>
          <w:rFonts w:ascii="Arial" w:cs="Arial" w:eastAsia="Arial" w:hAnsi="Arial"/>
          <w:b/>
          <w:bCs/>
          <w:color w:val="DC2626"/>
          <w:sz w:val="26"/>
          <w:szCs w:val="26"/>
        </w:rPr>
        <w:t xml:space="preserve">Structural Concept — Why Redis</w:t>
      </w:r>
    </w:p>
    <w:p>
      <w:pPr>
        <w:spacing w:after="80" w:before="80"/>
      </w:pPr>
      <w:r>
        <w:rPr>
          <w:rFonts w:ascii="Arial" w:cs="Arial" w:eastAsia="Arial" w:hAnsi="Arial"/>
          <w:sz w:val="22"/>
          <w:szCs w:val="22"/>
        </w:rPr>
        <w:t xml:space="preserve">Redis is a pure in-memory key-value store. It is chosen here for four reasons:</w:t>
      </w:r>
    </w:p>
    <w:p>
      <w:pPr>
        <w:pStyle w:val="ListParagraph"/>
        <w:numPr>
          <w:ilvl w:val="0"/>
          <w:numId w:val="2"/>
        </w:numPr>
        <w:spacing w:after="60" w:before="60"/>
      </w:pPr>
      <w:r>
        <w:rPr>
          <w:rFonts w:ascii="Arial" w:cs="Arial" w:eastAsia="Arial" w:hAnsi="Arial"/>
          <w:sz w:val="22"/>
          <w:szCs w:val="22"/>
        </w:rPr>
        <w:t xml:space="preserve">Atomicity: INCR is a single CPU instruction in Redis — no race conditions even under concurrent load from thousands of clients.</w:t>
      </w:r>
    </w:p>
    <w:p>
      <w:pPr>
        <w:pStyle w:val="ListParagraph"/>
        <w:numPr>
          <w:ilvl w:val="0"/>
          <w:numId w:val="2"/>
        </w:numPr>
        <w:spacing w:after="60" w:before="60"/>
      </w:pPr>
      <w:r>
        <w:rPr>
          <w:rFonts w:ascii="Arial" w:cs="Arial" w:eastAsia="Arial" w:hAnsi="Arial"/>
          <w:sz w:val="22"/>
          <w:szCs w:val="22"/>
        </w:rPr>
        <w:t xml:space="preserve">Automatic expiry: The EXPIRE / TTL mechanism is built-in. The counter self-destructs at the end of the window, resetting the user's quota with zero application code.</w:t>
      </w:r>
    </w:p>
    <w:p>
      <w:pPr>
        <w:pStyle w:val="ListParagraph"/>
        <w:numPr>
          <w:ilvl w:val="0"/>
          <w:numId w:val="2"/>
        </w:numPr>
        <w:spacing w:after="60" w:before="60"/>
      </w:pPr>
      <w:r>
        <w:rPr>
          <w:rFonts w:ascii="Arial" w:cs="Arial" w:eastAsia="Arial" w:hAnsi="Arial"/>
          <w:sz w:val="22"/>
          <w:szCs w:val="22"/>
        </w:rPr>
        <w:t xml:space="preserve">Sub-millisecond latency: Every request passes through the rate limiter. A 100 µs check is invisible to the user; a 5 ms SQL query would add meaningful overhead at scale.</w:t>
      </w:r>
    </w:p>
    <w:p>
      <w:pPr>
        <w:pStyle w:val="ListParagraph"/>
        <w:numPr>
          <w:ilvl w:val="0"/>
          <w:numId w:val="2"/>
        </w:numPr>
        <w:spacing w:after="60" w:before="60"/>
      </w:pPr>
      <w:r>
        <w:rPr>
          <w:rFonts w:ascii="Arial" w:cs="Arial" w:eastAsia="Arial" w:hAnsi="Arial"/>
          <w:sz w:val="22"/>
          <w:szCs w:val="22"/>
        </w:rPr>
        <w:t xml:space="preserve">Schema-less simplicity: A rate-limit counter is just a number — it maps perfectly to Redis's string type. No table schema, no joins, no ORM.</w:t>
      </w:r>
    </w:p>
    <w:p>
      <w:pPr>
        <w:spacing w:after="80" w:before="80"/>
      </w:pPr>
      <w:r>
        <w:t xml:space="preserve"/>
      </w:r>
    </w:p>
    <w:p>
      <w:pPr>
        <w:pBdr>
          <w:bottom w:val="single" w:color="DC2626" w:sz="6" w:space="1"/>
        </w:pBdr>
        <w:spacing w:after="100" w:before="200"/>
      </w:pPr>
      <w:r>
        <w:rPr>
          <w:rFonts w:ascii="Arial" w:cs="Arial" w:eastAsia="Arial" w:hAnsi="Arial"/>
          <w:b/>
          <w:bCs/>
          <w:color w:val="DC2626"/>
          <w:sz w:val="26"/>
          <w:szCs w:val="26"/>
        </w:rPr>
        <w:t xml:space="preserve">Reasoning</w:t>
      </w:r>
    </w:p>
    <w:p>
      <w:pPr>
        <w:spacing w:after="80" w:before="80"/>
      </w:pPr>
      <w:r>
        <w:rPr>
          <w:rFonts w:ascii="Arial" w:cs="Arial" w:eastAsia="Arial" w:hAnsi="Arial"/>
          <w:sz w:val="22"/>
          <w:szCs w:val="22"/>
        </w:rPr>
        <w:t xml:space="preserve">A relational database would require a SELECT + UPDATE wrapped in a transaction with row-level locking for every single request. Under high concurrency this creates lock contention. Memcached could work but lacks server-side scripting for atomic increment-and-set-TTL in one round trip. Redis's MULTI/EXEC or Lua scripting provide strict atomicity. Redis also supports cluster mode, allowing the rate limiter to scale horizontally without changing application code.</w:t>
      </w:r>
    </w:p>
    <w:p>
      <w:pPr>
        <w:spacing w:after="80" w:before="80"/>
      </w:pPr>
      <w:r>
        <w:t xml:space="preserve"/>
      </w:r>
    </w:p>
    <w:p>
      <w:pPr>
        <w:spacing w:after="80" w:before="80"/>
      </w:pPr>
      <w:r>
        <w:t xml:space="preserve"/>
      </w:r>
    </w:p>
    <w:p>
      <w:pPr>
        <w:pStyle w:val="Heading2"/>
        <w:spacing w:after="120" w:before="280"/>
      </w:pPr>
      <w:r>
        <w:rPr>
          <w:rFonts w:ascii="Arial" w:cs="Arial" w:eastAsia="Arial" w:hAnsi="Arial"/>
          <w:b/>
          <w:bCs/>
          <w:color w:val="1E3A5F"/>
        </w:rPr>
        <w:t xml:space="preserve">2.2 Inventory Stack Management (MongoDB · REST API)</w:t>
      </w:r>
    </w:p>
    <w:p>
      <w:pPr>
        <w:pBdr>
          <w:bottom w:val="single" w:color="059669" w:sz="6" w:space="1"/>
        </w:pBdr>
        <w:spacing w:after="100" w:before="200"/>
      </w:pPr>
      <w:r>
        <w:rPr>
          <w:rFonts w:ascii="Arial" w:cs="Arial" w:eastAsia="Arial" w:hAnsi="Arial"/>
          <w:b/>
          <w:bCs/>
          <w:color w:val="059669"/>
          <w:sz w:val="26"/>
          <w:szCs w:val="26"/>
        </w:rPr>
        <w:t xml:space="preserve">Working of the Application</w:t>
      </w:r>
    </w:p>
    <w:p>
      <w:pPr>
        <w:spacing w:after="80" w:before="80"/>
      </w:pPr>
      <w:r>
        <w:rPr>
          <w:rFonts w:ascii="Arial" w:cs="Arial" w:eastAsia="Arial" w:hAnsi="Arial"/>
          <w:sz w:val="22"/>
          <w:szCs w:val="22"/>
        </w:rPr>
        <w:t xml:space="preserve">The inventory service exposes a REST API with five endpoints:</w:t>
      </w:r>
    </w:p>
    <w:p>
      <w:pPr>
        <w:spacing w:after="80" w:before="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2400"/>
        <w:gridCol w:w="3160"/>
      </w:tblGrid>
      <w:tr>
        <w:trPr>
          <w:tblHeader/>
        </w:trPr>
        <w:tc>
          <w:tcPr>
            <w:tcW w:type="dxa" w:w="10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8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4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MongoDB Operation</w:t>
            </w:r>
          </w:p>
        </w:tc>
        <w:tc>
          <w:tcPr>
            <w:tcW w:type="dxa" w:w="316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POST</w:t>
            </w:r>
          </w:p>
        </w:tc>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/inventory</w:t>
            </w:r>
          </w:p>
        </w:tc>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insertOne()</w:t>
            </w:r>
          </w:p>
        </w:tc>
        <w:tc>
          <w:tcPr>
            <w:tcW w:type="dxa" w:w="31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Push a new product onto the stack</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/inventory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find({}).sort({_id:-1})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View all products (LIFO order)</w:t>
            </w:r>
          </w:p>
        </w:tc>
      </w:tr>
      <w:tr>
        <w:tc>
          <w:tcPr>
            <w:tcW w:type="dxa" w:w="1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GET</w:t>
            </w:r>
          </w:p>
        </w:tc>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/inventory/:id</w:t>
            </w:r>
          </w:p>
        </w:tc>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findOne({_id})</w:t>
            </w:r>
          </w:p>
        </w:tc>
        <w:tc>
          <w:tcPr>
            <w:tcW w:type="dxa" w:w="31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View a single product by its ID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/inventory/:id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updateOne({_id}, {$set})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 product fields</w:t>
            </w:r>
          </w:p>
        </w:tc>
      </w:tr>
      <w:tr>
        <w:tc>
          <w:tcPr>
            <w:tcW w:type="dxa" w:w="1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DELETE</w:t>
            </w:r>
          </w:p>
        </w:tc>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/inventory/:id</w:t>
            </w:r>
          </w:p>
        </w:tc>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deleteOne({_id})</w:t>
            </w:r>
          </w:p>
        </w:tc>
        <w:tc>
          <w:tcPr>
            <w:tcW w:type="dxa" w:w="31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Pop / remove a product</w:t>
            </w:r>
          </w:p>
        </w:tc>
      </w:tr>
    </w:tbl>
    <w:p>
      <w:pPr>
        <w:spacing w:after="80" w:before="80"/>
      </w:pPr>
      <w:r>
        <w:t xml:space="preserve"/>
      </w:r>
    </w:p>
    <w:p>
      <w:pPr>
        <w:spacing w:after="80" w:before="80"/>
      </w:pPr>
      <w:r>
        <w:rPr>
          <w:rFonts w:ascii="Arial" w:cs="Arial" w:eastAsia="Arial" w:hAnsi="Arial"/>
          <w:sz w:val="22"/>
          <w:szCs w:val="22"/>
        </w:rPr>
        <w:t xml:space="preserve">The stack metaphor is implemented by sorting the collection by insertion order in descending sequence (_id: -1), so the most recently added item is always returned first — replicating LIFO (Last In, First Out) behaviour without any separate data structure.</w:t>
      </w:r>
    </w:p>
    <w:p>
      <w:pPr>
        <w:spacing w:after="80" w:before="80"/>
      </w:pPr>
      <w:r>
        <w:t xml:space="preserve"/>
      </w:r>
    </w:p>
    <w:p>
      <w:pPr>
        <w:pBdr>
          <w:bottom w:val="single" w:color="059669" w:sz="6" w:space="1"/>
        </w:pBdr>
        <w:spacing w:after="100" w:before="200"/>
      </w:pPr>
      <w:r>
        <w:rPr>
          <w:rFonts w:ascii="Arial" w:cs="Arial" w:eastAsia="Arial" w:hAnsi="Arial"/>
          <w:b/>
          <w:bCs/>
          <w:color w:val="059669"/>
          <w:sz w:val="26"/>
          <w:szCs w:val="26"/>
        </w:rPr>
        <w:t xml:space="preserve">Structural Concept — Why MongoDB</w:t>
      </w:r>
    </w:p>
    <w:p>
      <w:pPr>
        <w:spacing w:after="80" w:before="80"/>
      </w:pPr>
      <w:r>
        <w:rPr>
          <w:rFonts w:ascii="Arial" w:cs="Arial" w:eastAsia="Arial" w:hAnsi="Arial"/>
          <w:sz w:val="22"/>
          <w:szCs w:val="22"/>
        </w:rPr>
        <w:t xml:space="preserve">Inventory data is heterogeneous. A laptop record carries fields for RAM, storage, GPU, and warranty. A piece of furniture carries dimensions, material, and weight. A garment carries size, colour, and fabric. In a relational database, every product type would need its own table or a wide table with many NULL columns. MongoDB's document model lets each record carry exactly the fields it needs:</w:t>
      </w:r>
    </w:p>
    <w:p>
      <w:pPr>
        <w:spacing w:after="60" w:before="60"/>
        <w:ind w:left="720"/>
      </w:pPr>
      <w:r>
        <w:rPr>
          <w:rFonts w:ascii="Courier New" w:cs="Courier New" w:eastAsia="Courier New" w:hAnsi="Courier New"/>
          <w:color w:val="1D4ED8"/>
          <w:sz w:val="18"/>
          <w:szCs w:val="18"/>
        </w:rPr>
        <w:t xml:space="preserve">{ "_id": "INV-001", "name": "Laptop Pro X", "category": "Electronics", "qty": 50, "price": 45000, "specs": { "ram": "16GB", "gpu": "RTX 4060" } }</w:t>
      </w:r>
    </w:p>
    <w:p>
      <w:pPr>
        <w:spacing w:after="60" w:before="60"/>
        <w:ind w:left="720"/>
      </w:pPr>
      <w:r>
        <w:rPr>
          <w:rFonts w:ascii="Courier New" w:cs="Courier New" w:eastAsia="Courier New" w:hAnsi="Courier New"/>
          <w:color w:val="1D4ED8"/>
          <w:sz w:val="18"/>
          <w:szCs w:val="18"/>
        </w:rPr>
        <w:t xml:space="preserve">{ "_id": "INV-002", "name": "Ergonomic Desk", "category": "Furniture", "qty": 12, "price": 12000, "dimensions": "150×75cm" }</w:t>
      </w:r>
    </w:p>
    <w:p>
      <w:pPr>
        <w:spacing w:after="80" w:before="80"/>
      </w:pPr>
      <w:r>
        <w:rPr>
          <w:rFonts w:ascii="Arial" w:cs="Arial" w:eastAsia="Arial" w:hAnsi="Arial"/>
          <w:sz w:val="22"/>
          <w:szCs w:val="22"/>
        </w:rPr>
        <w:t xml:space="preserve">No NULL columns, no schema migration when a new product type is added. The stack (LIFO) pattern maps naturally to MongoDB because there is no enforced schema — push any document, pop any document.</w:t>
      </w:r>
    </w:p>
    <w:p>
      <w:pPr>
        <w:spacing w:after="80" w:before="80"/>
      </w:pPr>
      <w:r>
        <w:t xml:space="preserve"/>
      </w:r>
    </w:p>
    <w:p>
      <w:pPr>
        <w:pBdr>
          <w:bottom w:val="single" w:color="059669" w:sz="6" w:space="1"/>
        </w:pBdr>
        <w:spacing w:after="100" w:before="200"/>
      </w:pPr>
      <w:r>
        <w:rPr>
          <w:rFonts w:ascii="Arial" w:cs="Arial" w:eastAsia="Arial" w:hAnsi="Arial"/>
          <w:b/>
          <w:bCs/>
          <w:color w:val="059669"/>
          <w:sz w:val="26"/>
          <w:szCs w:val="26"/>
        </w:rPr>
        <w:t xml:space="preserve">Reasoning</w:t>
      </w:r>
    </w:p>
    <w:p>
      <w:pPr>
        <w:spacing w:after="80" w:before="80"/>
      </w:pPr>
      <w:r>
        <w:rPr>
          <w:rFonts w:ascii="Arial" w:cs="Arial" w:eastAsia="Arial" w:hAnsi="Arial"/>
          <w:sz w:val="22"/>
          <w:szCs w:val="22"/>
        </w:rPr>
        <w:t xml:space="preserve">MongoDB's horizontal sharding via replica sets means the inventory collection can grow to millions of SKUs without performance degradation. Indexing on category, price range, and stock level allows sub-10ms filtered queries. The document store is also cache-friendly: an entire product record including its nested specifications is fetched in a single read, avoiding the N+1 query problem that plagues relational inventory systems.</w:t>
      </w:r>
    </w:p>
    <w:p>
      <w:pPr>
        <w:spacing w:after="80" w:before="80"/>
      </w:pPr>
      <w:r>
        <w:t xml:space="preserve"/>
      </w:r>
    </w:p>
    <w:p>
      <w:pPr>
        <w:spacing w:after="80" w:before="80"/>
      </w:pPr>
      <w:r>
        <w:t xml:space="preserve"/>
      </w:r>
    </w:p>
    <w:p>
      <w:pPr>
        <w:pStyle w:val="Heading2"/>
        <w:spacing w:after="120" w:before="280"/>
      </w:pPr>
      <w:r>
        <w:rPr>
          <w:rFonts w:ascii="Arial" w:cs="Arial" w:eastAsia="Arial" w:hAnsi="Arial"/>
          <w:b/>
          <w:bCs/>
          <w:color w:val="1E3A5F"/>
        </w:rPr>
        <w:t xml:space="preserve">2.3 Product–Manufacturer Correlation (Neo4j · Cypher)</w:t>
      </w:r>
    </w:p>
    <w:p>
      <w:pPr>
        <w:pBdr>
          <w:bottom w:val="single" w:color="7C3AED" w:sz="6" w:space="1"/>
        </w:pBdr>
        <w:spacing w:after="100" w:before="200"/>
      </w:pPr>
      <w:r>
        <w:rPr>
          <w:rFonts w:ascii="Arial" w:cs="Arial" w:eastAsia="Arial" w:hAnsi="Arial"/>
          <w:b/>
          <w:bCs/>
          <w:color w:val="7C3AED"/>
          <w:sz w:val="26"/>
          <w:szCs w:val="26"/>
        </w:rPr>
        <w:t xml:space="preserve">Working of the Application</w:t>
      </w:r>
    </w:p>
    <w:p>
      <w:pPr>
        <w:spacing w:after="80" w:before="80"/>
      </w:pPr>
      <w:r>
        <w:rPr>
          <w:rFonts w:ascii="Arial" w:cs="Arial" w:eastAsia="Arial" w:hAnsi="Arial"/>
          <w:sz w:val="22"/>
          <w:szCs w:val="22"/>
        </w:rPr>
        <w:t xml:space="preserve">The graph subsystem models the supply chain as a property graph. Nodes represent entities and edges represent named relationships with optional properties:</w:t>
      </w:r>
    </w:p>
    <w:p>
      <w:pPr>
        <w:spacing w:after="80" w:before="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3360"/>
      </w:tblGrid>
      <w:tr>
        <w:trPr>
          <w:tblHeader/>
        </w:trPr>
        <w:tc>
          <w:tcPr>
            <w:tcW w:type="dxa" w:w="20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Node Label</w:t>
            </w:r>
          </w:p>
        </w:tc>
        <w:tc>
          <w:tcPr>
            <w:tcW w:type="dxa" w:w="30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Properties</w:t>
            </w:r>
          </w:p>
        </w:tc>
        <w:tc>
          <w:tcPr>
            <w:tcW w:type="dxa" w:w="336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Manufacturer</w:t>
            </w:r>
          </w:p>
        </w:tc>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name, country, established</w:t>
            </w:r>
          </w:p>
        </w:tc>
        <w:tc>
          <w:tcPr>
            <w:tcW w:type="dxa" w:w="3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TechCorp, India, 2005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 price, category, sku</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Laptop Pro X, ₹45000, Electronics</w:t>
            </w:r>
          </w:p>
        </w:tc>
      </w:tr>
      <w:tr>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Supplier</w:t>
            </w:r>
          </w:p>
        </w:tc>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name, lead_time_days, region</w:t>
            </w:r>
          </w:p>
        </w:tc>
        <w:tc>
          <w:tcPr>
            <w:tcW w:type="dxa" w:w="3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GlobalParts, 14, Asia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Category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 tax_rate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Electronics, 18%</w:t>
            </w:r>
          </w:p>
        </w:tc>
      </w:tr>
    </w:tbl>
    <w:p>
      <w:pPr>
        <w:spacing w:after="80" w:before="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400"/>
        <w:gridCol w:w="2360"/>
      </w:tblGrid>
      <w:tr>
        <w:trPr>
          <w:tblHeader/>
        </w:trPr>
        <w:tc>
          <w:tcPr>
            <w:tcW w:type="dxa" w:w="16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Relationship</w:t>
            </w:r>
          </w:p>
        </w:tc>
        <w:tc>
          <w:tcPr>
            <w:tcW w:type="dxa" w:w="20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24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Properties</w:t>
            </w:r>
          </w:p>
        </w:tc>
        <w:tc>
          <w:tcPr>
            <w:tcW w:type="dxa" w:w="236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MAKES</w:t>
            </w:r>
          </w:p>
        </w:tc>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Manufacturer → Product</w:t>
            </w:r>
          </w:p>
        </w:tc>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since, volume_per_month</w:t>
            </w:r>
          </w:p>
        </w:tc>
        <w:tc>
          <w:tcPr>
            <w:tcW w:type="dxa" w:w="2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Manufacturer produces this product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SOURCED_FROM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 → Supplier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cost_per_unit, contract_expiry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Product's raw material source</w:t>
            </w:r>
          </w:p>
        </w:tc>
      </w:tr>
      <w:tr>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BELONGS_TO</w:t>
            </w:r>
          </w:p>
        </w:tc>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Product → Category</w:t>
            </w:r>
          </w:p>
        </w:tc>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w:t>
            </w:r>
          </w:p>
        </w:tc>
        <w:tc>
          <w:tcPr>
            <w:tcW w:type="dxa" w:w="2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Product classification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PARTNERED_WITH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Manufacturer → Supplier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partnership_since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partnership</w:t>
            </w:r>
          </w:p>
        </w:tc>
      </w:tr>
    </w:tbl>
    <w:p>
      <w:pPr>
        <w:spacing w:after="80" w:before="80"/>
      </w:pPr>
      <w:r>
        <w:t xml:space="preserve"/>
      </w:r>
    </w:p>
    <w:p>
      <w:pPr>
        <w:spacing w:after="80" w:before="80"/>
      </w:pPr>
      <w:r>
        <w:rPr>
          <w:rFonts w:ascii="Arial" w:cs="Arial" w:eastAsia="Arial" w:hAnsi="Arial"/>
          <w:sz w:val="22"/>
          <w:szCs w:val="22"/>
        </w:rPr>
        <w:t xml:space="preserve">Example Cypher queries that would be expensive in SQL but trivial in Neo4j:</w:t>
      </w:r>
    </w:p>
    <w:p>
      <w:pPr>
        <w:spacing w:after="60" w:before="60"/>
        <w:ind w:left="720"/>
      </w:pPr>
      <w:r>
        <w:rPr>
          <w:rFonts w:ascii="Courier New" w:cs="Courier New" w:eastAsia="Courier New" w:hAnsi="Courier New"/>
          <w:color w:val="1D4ED8"/>
          <w:sz w:val="18"/>
          <w:szCs w:val="18"/>
        </w:rPr>
        <w:t xml:space="preserve">// Find all products made by TechCorp</w:t>
      </w:r>
    </w:p>
    <w:p>
      <w:pPr>
        <w:spacing w:after="60" w:before="60"/>
        <w:ind w:left="720"/>
      </w:pPr>
      <w:r>
        <w:rPr>
          <w:rFonts w:ascii="Courier New" w:cs="Courier New" w:eastAsia="Courier New" w:hAnsi="Courier New"/>
          <w:color w:val="1D4ED8"/>
          <w:sz w:val="18"/>
          <w:szCs w:val="18"/>
        </w:rPr>
        <w:t xml:space="preserve">MATCH (m:Manufacturer {name:"TechCorp"})-[:MAKES]-&gt;(p:Product) RETURN p.name, p.price</w:t>
      </w:r>
    </w:p>
    <w:p>
      <w:pPr>
        <w:spacing w:after="80" w:before="80"/>
      </w:pPr>
      <w:r>
        <w:t xml:space="preserve"/>
      </w:r>
    </w:p>
    <w:p>
      <w:pPr>
        <w:spacing w:after="60" w:before="60"/>
        <w:ind w:left="720"/>
      </w:pPr>
      <w:r>
        <w:rPr>
          <w:rFonts w:ascii="Courier New" w:cs="Courier New" w:eastAsia="Courier New" w:hAnsi="Courier New"/>
          <w:color w:val="1D4ED8"/>
          <w:sz w:val="18"/>
          <w:szCs w:val="18"/>
        </w:rPr>
        <w:t xml:space="preserve">// Find manufacturer of a product</w:t>
      </w:r>
    </w:p>
    <w:p>
      <w:pPr>
        <w:spacing w:after="60" w:before="60"/>
        <w:ind w:left="720"/>
      </w:pPr>
      <w:r>
        <w:rPr>
          <w:rFonts w:ascii="Courier New" w:cs="Courier New" w:eastAsia="Courier New" w:hAnsi="Courier New"/>
          <w:color w:val="1D4ED8"/>
          <w:sz w:val="18"/>
          <w:szCs w:val="18"/>
        </w:rPr>
        <w:t xml:space="preserve">MATCH (m:Manufacturer)-[:MAKES]-&gt;(p:Product {name:"Laptop X"}) RETURN m.name</w:t>
      </w:r>
    </w:p>
    <w:p>
      <w:pPr>
        <w:spacing w:after="80" w:before="80"/>
      </w:pPr>
      <w:r>
        <w:t xml:space="preserve"/>
      </w:r>
    </w:p>
    <w:p>
      <w:pPr>
        <w:spacing w:after="60" w:before="60"/>
        <w:ind w:left="720"/>
      </w:pPr>
      <w:r>
        <w:rPr>
          <w:rFonts w:ascii="Courier New" w:cs="Courier New" w:eastAsia="Courier New" w:hAnsi="Courier New"/>
          <w:color w:val="1D4ED8"/>
          <w:sz w:val="18"/>
          <w:szCs w:val="18"/>
        </w:rPr>
        <w:t xml:space="preserve">// Trace full supply chain (multi-hop)</w:t>
      </w:r>
    </w:p>
    <w:p>
      <w:pPr>
        <w:spacing w:after="60" w:before="60"/>
        <w:ind w:left="720"/>
      </w:pPr>
      <w:r>
        <w:rPr>
          <w:rFonts w:ascii="Courier New" w:cs="Courier New" w:eastAsia="Courier New" w:hAnsi="Courier New"/>
          <w:color w:val="1D4ED8"/>
          <w:sz w:val="18"/>
          <w:szCs w:val="18"/>
        </w:rPr>
        <w:t xml:space="preserve">MATCH path=(m:Manufacturer)-[:MAKES]-&gt;(p:Product)-[:SOURCED_FROM]-&gt;(s:Supplier) RETURN m.name, p.name, s.name</w:t>
      </w:r>
    </w:p>
    <w:p>
      <w:pPr>
        <w:spacing w:after="80" w:before="80"/>
      </w:pPr>
      <w:r>
        <w:t xml:space="preserve"/>
      </w:r>
    </w:p>
    <w:p>
      <w:pPr>
        <w:spacing w:after="60" w:before="60"/>
        <w:ind w:left="720"/>
      </w:pPr>
      <w:r>
        <w:rPr>
          <w:rFonts w:ascii="Courier New" w:cs="Courier New" w:eastAsia="Courier New" w:hAnsi="Courier New"/>
          <w:color w:val="1D4ED8"/>
          <w:sz w:val="18"/>
          <w:szCs w:val="18"/>
        </w:rPr>
        <w:t xml:space="preserve">// Find products sharing the same supplier (competition analysis)</w:t>
      </w:r>
    </w:p>
    <w:p>
      <w:pPr>
        <w:spacing w:after="60" w:before="60"/>
        <w:ind w:left="720"/>
      </w:pPr>
      <w:r>
        <w:rPr>
          <w:rFonts w:ascii="Courier New" w:cs="Courier New" w:eastAsia="Courier New" w:hAnsi="Courier New"/>
          <w:color w:val="1D4ED8"/>
          <w:sz w:val="18"/>
          <w:szCs w:val="18"/>
        </w:rPr>
        <w:t xml:space="preserve">MATCH (p1:Product)-[:SOURCED_FROM]-&gt;(s:Supplier)&lt;-[:SOURCED_FROM]-(p2:Product)</w:t>
      </w:r>
    </w:p>
    <w:p>
      <w:pPr>
        <w:spacing w:after="60" w:before="60"/>
        <w:ind w:left="720"/>
      </w:pPr>
      <w:r>
        <w:rPr>
          <w:rFonts w:ascii="Courier New" w:cs="Courier New" w:eastAsia="Courier New" w:hAnsi="Courier New"/>
          <w:color w:val="1D4ED8"/>
          <w:sz w:val="18"/>
          <w:szCs w:val="18"/>
        </w:rPr>
        <w:t xml:space="preserve">WHERE p1 &lt;&gt; p2 RETURN p1.name, p2.name, s.name AS shared_supplier</w:t>
      </w:r>
    </w:p>
    <w:p>
      <w:pPr>
        <w:spacing w:after="80" w:before="80"/>
      </w:pPr>
      <w:r>
        <w:t xml:space="preserve"/>
      </w:r>
    </w:p>
    <w:p>
      <w:pPr>
        <w:pBdr>
          <w:bottom w:val="single" w:color="7C3AED" w:sz="6" w:space="1"/>
        </w:pBdr>
        <w:spacing w:after="100" w:before="200"/>
      </w:pPr>
      <w:r>
        <w:rPr>
          <w:rFonts w:ascii="Arial" w:cs="Arial" w:eastAsia="Arial" w:hAnsi="Arial"/>
          <w:b/>
          <w:bCs/>
          <w:color w:val="7C3AED"/>
          <w:sz w:val="26"/>
          <w:szCs w:val="26"/>
        </w:rPr>
        <w:t xml:space="preserve">Structural Concept — Why Neo4j</w:t>
      </w:r>
    </w:p>
    <w:p>
      <w:pPr>
        <w:spacing w:after="80" w:before="80"/>
      </w:pPr>
      <w:r>
        <w:rPr>
          <w:rFonts w:ascii="Arial" w:cs="Arial" w:eastAsia="Arial" w:hAnsi="Arial"/>
          <w:sz w:val="22"/>
          <w:szCs w:val="22"/>
        </w:rPr>
        <w:t xml:space="preserve">Supply chains are naturally graphs. A manufacturer may produce hundreds of products. A product may be sourced from multiple suppliers. A supplier may partner with dozens of manufacturers. These many-to-many, multi-hop relationships are the very thing graphs are designed to handle efficiently.</w:t>
      </w:r>
    </w:p>
    <w:p>
      <w:pPr>
        <w:spacing w:after="80" w:before="80"/>
      </w:pPr>
      <w:r>
        <w:rPr>
          <w:rFonts w:ascii="Arial" w:cs="Arial" w:eastAsia="Arial" w:hAnsi="Arial"/>
          <w:sz w:val="22"/>
          <w:szCs w:val="22"/>
        </w:rPr>
        <w:t xml:space="preserve">In a relational database, querying a 3-hop relationship (Manufacturer → Product → Supplier → Sub-supplier) requires three JOIN operations whose cost grows as O(n × m × k) — the product of all matching rows at each level. In Neo4j, traversal is pointer-chasing: the engine follows edges directly from node to node, making the query cost O(depth) rather than O(rows × joins). For supply chains with 5+ hops, this is a 1000× or greater performance advantage.</w:t>
      </w:r>
    </w:p>
    <w:p>
      <w:pPr>
        <w:spacing w:after="80" w:before="80"/>
      </w:pPr>
      <w:r>
        <w:t xml:space="preserve"/>
      </w:r>
    </w:p>
    <w:p>
      <w:pPr>
        <w:pBdr>
          <w:bottom w:val="single" w:color="7C3AED" w:sz="6" w:space="1"/>
        </w:pBdr>
        <w:spacing w:after="100" w:before="200"/>
      </w:pPr>
      <w:r>
        <w:rPr>
          <w:rFonts w:ascii="Arial" w:cs="Arial" w:eastAsia="Arial" w:hAnsi="Arial"/>
          <w:b/>
          <w:bCs/>
          <w:color w:val="7C3AED"/>
          <w:sz w:val="26"/>
          <w:szCs w:val="26"/>
        </w:rPr>
        <w:t xml:space="preserve">Reasoning</w:t>
      </w:r>
    </w:p>
    <w:p>
      <w:pPr>
        <w:spacing w:after="80" w:before="80"/>
      </w:pPr>
      <w:r>
        <w:rPr>
          <w:rFonts w:ascii="Arial" w:cs="Arial" w:eastAsia="Arial" w:hAnsi="Arial"/>
          <w:sz w:val="22"/>
          <w:szCs w:val="22"/>
        </w:rPr>
        <w:t xml:space="preserve">Neo4j's Cypher query language reads like English, making supply chain logic transparent to business analysts, not just developers. Relationship properties (e.g. contract_expiry, cost_per_unit on a SOURCED_FROM edge) allow querying like 'find all supplier contracts expiring within 30 days for products in the Electronics category' — a single Cypher query that would require multiple SQL subqueries and temporary tables.</w:t>
      </w:r>
    </w:p>
    <w:p>
      <w:pPr>
        <w:spacing w:after="80" w:before="80"/>
      </w:pPr>
      <w:r>
        <w:t xml:space="preserve"/>
      </w:r>
    </w:p>
    <w:p>
      <w:pPr>
        <w:spacing w:after="80" w:before="80"/>
      </w:pPr>
      <w:r>
        <w:t xml:space="preserve"/>
      </w:r>
    </w:p>
    <w:p>
      <w:pPr>
        <w:pStyle w:val="Heading1"/>
        <w:spacing w:after="120" w:before="280"/>
      </w:pPr>
      <w:r>
        <w:rPr>
          <w:rFonts w:ascii="Arial" w:cs="Arial" w:eastAsia="Arial" w:hAnsi="Arial"/>
          <w:b/>
          <w:bCs/>
          <w:color w:val="1E3A5F"/>
        </w:rPr>
        <w:t xml:space="preserve">3. Database Comparison &amp; Justification</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2300"/>
        <w:gridCol w:w="2300"/>
      </w:tblGrid>
      <w:tr>
        <w:trPr>
          <w:tblHeader/>
        </w:trPr>
        <w:tc>
          <w:tcPr>
            <w:tcW w:type="dxa" w:w="18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216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Redis (Rate Limiter)</w:t>
            </w:r>
          </w:p>
        </w:tc>
        <w:tc>
          <w:tcPr>
            <w:tcW w:type="dxa" w:w="23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MongoDB (Inventory)</w:t>
            </w:r>
          </w:p>
        </w:tc>
        <w:tc>
          <w:tcPr>
            <w:tcW w:type="dxa" w:w="23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Neo4j (Graph)</w:t>
            </w:r>
          </w:p>
        </w:tc>
      </w:tr>
      <w:tr>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Data Model</w:t>
            </w:r>
          </w:p>
        </w:tc>
        <w:tc>
          <w:tcPr>
            <w:tcW w:type="dxa" w:w="21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Key-Value pairs</w:t>
            </w:r>
          </w:p>
        </w:tc>
        <w:tc>
          <w:tcPr>
            <w:tcW w:type="dxa" w:w="23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JSON Documents</w:t>
            </w:r>
          </w:p>
        </w:tc>
        <w:tc>
          <w:tcPr>
            <w:tcW w:type="dxa" w:w="23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Nodes + Edges (Property Graph)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Query Language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Commands (INCR, GET, SET)</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MQL / Aggregation Pipeline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Cypher (declarative)</w:t>
            </w:r>
          </w:p>
        </w:tc>
      </w:tr>
      <w:tr>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Primary Strength</w:t>
            </w:r>
          </w:p>
        </w:tc>
        <w:tc>
          <w:tcPr>
            <w:tcW w:type="dxa" w:w="21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Speed — sub-millisecond ops</w:t>
            </w:r>
          </w:p>
        </w:tc>
        <w:tc>
          <w:tcPr>
            <w:tcW w:type="dxa" w:w="23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Flexible schema, horizontal scale</w:t>
            </w:r>
          </w:p>
        </w:tc>
        <w:tc>
          <w:tcPr>
            <w:tcW w:type="dxa" w:w="23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Relationship traversal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Consistency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Atomic single-key ops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Tunable consistency</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ACID transactions</w:t>
            </w:r>
          </w:p>
        </w:tc>
      </w:tr>
      <w:tr>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Scaling</w:t>
            </w:r>
          </w:p>
        </w:tc>
        <w:tc>
          <w:tcPr>
            <w:tcW w:type="dxa" w:w="21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In-memory cluster</w:t>
            </w:r>
          </w:p>
        </w:tc>
        <w:tc>
          <w:tcPr>
            <w:tcW w:type="dxa" w:w="23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Sharded replica sets</w:t>
            </w:r>
          </w:p>
        </w:tc>
        <w:tc>
          <w:tcPr>
            <w:tcW w:type="dxa" w:w="23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Causal cluster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Case Fit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Counters, caches, sessions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Heterogeneous document stores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Graphs, supply chains, social</w:t>
            </w:r>
          </w:p>
        </w:tc>
      </w:tr>
      <w:tr>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When NOT to use</w:t>
            </w:r>
          </w:p>
        </w:tc>
        <w:tc>
          <w:tcPr>
            <w:tcW w:type="dxa" w:w="21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Complex queries, persistence</w:t>
            </w:r>
          </w:p>
        </w:tc>
        <w:tc>
          <w:tcPr>
            <w:tcW w:type="dxa" w:w="23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Strict relational joins</w:t>
            </w:r>
          </w:p>
        </w:tc>
        <w:tc>
          <w:tcPr>
            <w:tcW w:type="dxa" w:w="23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Simple CRUD without relationships</w:t>
            </w:r>
          </w:p>
        </w:tc>
      </w:tr>
    </w:tbl>
    <w:p>
      <w:pPr>
        <w:spacing w:after="80" w:before="80"/>
      </w:pPr>
      <w:r>
        <w:t xml:space="preserve"/>
      </w:r>
    </w:p>
    <w:p>
      <w:pPr>
        <w:spacing w:after="80" w:before="80"/>
      </w:pPr>
      <w:r>
        <w:t xml:space="preserve"/>
      </w:r>
    </w:p>
    <w:p>
      <w:pPr>
        <w:pStyle w:val="Heading1"/>
        <w:spacing w:after="120" w:before="280"/>
      </w:pPr>
      <w:r>
        <w:rPr>
          <w:rFonts w:ascii="Arial" w:cs="Arial" w:eastAsia="Arial" w:hAnsi="Arial"/>
          <w:b/>
          <w:bCs/>
          <w:color w:val="1E3A5F"/>
        </w:rPr>
        <w:t xml:space="preserve">4. System Architecture</w:t>
      </w:r>
    </w:p>
    <w:p>
      <w:pPr>
        <w:spacing w:after="80" w:before="80"/>
      </w:pPr>
      <w:r>
        <w:rPr>
          <w:rFonts w:ascii="Arial" w:cs="Arial" w:eastAsia="Arial" w:hAnsi="Arial"/>
          <w:sz w:val="22"/>
          <w:szCs w:val="22"/>
        </w:rPr>
        <w:t xml:space="preserve">The three subsystems operate independently behind a unified API gateway. Every inbound request first passes through the Redis rate limiter on port 2100. If the request is within quota, it is routed to either the MongoDB inventory service or the Neo4j graph service depending on the endpoint.</w:t>
      </w:r>
    </w:p>
    <w:p>
      <w:pPr>
        <w:spacing w:after="80" w:before="80"/>
      </w:pPr>
      <w:r>
        <w:t xml:space="preserve"/>
      </w:r>
    </w:p>
    <w:p>
      <w:pPr>
        <w:pBdr>
          <w:bottom w:val="single" w:color="2563EB" w:sz="6" w:space="1"/>
        </w:pBdr>
        <w:spacing w:after="100" w:before="200"/>
      </w:pPr>
      <w:r>
        <w:rPr>
          <w:rFonts w:ascii="Arial" w:cs="Arial" w:eastAsia="Arial" w:hAnsi="Arial"/>
          <w:b/>
          <w:bCs/>
          <w:color w:val="2563EB"/>
          <w:sz w:val="26"/>
          <w:szCs w:val="26"/>
        </w:rPr>
        <w:t xml:space="preserve">Request Flow</w:t>
      </w:r>
    </w:p>
    <w:p>
      <w:pPr>
        <w:pStyle w:val="ListParagraph"/>
        <w:numPr>
          <w:ilvl w:val="0"/>
          <w:numId w:val="2"/>
        </w:numPr>
        <w:spacing w:after="60" w:before="60"/>
      </w:pPr>
      <w:r>
        <w:rPr>
          <w:rFonts w:ascii="Arial" w:cs="Arial" w:eastAsia="Arial" w:hAnsi="Arial"/>
          <w:sz w:val="22"/>
          <w:szCs w:val="22"/>
        </w:rPr>
        <w:t xml:space="preserve">Client sends HTTP request to the API Gateway (port 2100 acts as the rate-limit guard).</w:t>
      </w:r>
    </w:p>
    <w:p>
      <w:pPr>
        <w:pStyle w:val="ListParagraph"/>
        <w:numPr>
          <w:ilvl w:val="0"/>
          <w:numId w:val="2"/>
        </w:numPr>
        <w:spacing w:after="60" w:before="60"/>
      </w:pPr>
      <w:r>
        <w:rPr>
          <w:rFonts w:ascii="Arial" w:cs="Arial" w:eastAsia="Arial" w:hAnsi="Arial"/>
          <w:sz w:val="22"/>
          <w:szCs w:val="22"/>
        </w:rPr>
        <w:t xml:space="preserve">Redis checks the counter for the client's IP + endpoint key.</w:t>
      </w:r>
    </w:p>
    <w:p>
      <w:pPr>
        <w:pStyle w:val="ListParagraph"/>
        <w:numPr>
          <w:ilvl w:val="0"/>
          <w:numId w:val="2"/>
        </w:numPr>
        <w:spacing w:after="60" w:before="60"/>
      </w:pPr>
      <w:r>
        <w:rPr>
          <w:rFonts w:ascii="Arial" w:cs="Arial" w:eastAsia="Arial" w:hAnsi="Arial"/>
          <w:sz w:val="22"/>
          <w:szCs w:val="22"/>
        </w:rPr>
        <w:t xml:space="preserve">If count ≤ 5: request proceeds. Redis increments the counter atomically.</w:t>
      </w:r>
    </w:p>
    <w:p>
      <w:pPr>
        <w:pStyle w:val="ListParagraph"/>
        <w:numPr>
          <w:ilvl w:val="0"/>
          <w:numId w:val="2"/>
        </w:numPr>
        <w:spacing w:after="60" w:before="60"/>
      </w:pPr>
      <w:r>
        <w:rPr>
          <w:rFonts w:ascii="Arial" w:cs="Arial" w:eastAsia="Arial" w:hAnsi="Arial"/>
          <w:sz w:val="22"/>
          <w:szCs w:val="22"/>
        </w:rPr>
        <w:t xml:space="preserve">If count &gt; 5: gateway returns HTTP 429 with Retry-After header. Request is terminated.</w:t>
      </w:r>
    </w:p>
    <w:p>
      <w:pPr>
        <w:pStyle w:val="ListParagraph"/>
        <w:numPr>
          <w:ilvl w:val="0"/>
          <w:numId w:val="2"/>
        </w:numPr>
        <w:spacing w:after="60" w:before="60"/>
      </w:pPr>
      <w:r>
        <w:rPr>
          <w:rFonts w:ascii="Arial" w:cs="Arial" w:eastAsia="Arial" w:hAnsi="Arial"/>
          <w:sz w:val="22"/>
          <w:szCs w:val="22"/>
        </w:rPr>
        <w:t xml:space="preserve">Approved requests are routed: /inventory/* → MongoDB service; /graph/* → Neo4j service.</w:t>
      </w:r>
    </w:p>
    <w:p>
      <w:pPr>
        <w:pStyle w:val="ListParagraph"/>
        <w:numPr>
          <w:ilvl w:val="0"/>
          <w:numId w:val="2"/>
        </w:numPr>
        <w:spacing w:after="60" w:before="60"/>
      </w:pPr>
      <w:r>
        <w:rPr>
          <w:rFonts w:ascii="Arial" w:cs="Arial" w:eastAsia="Arial" w:hAnsi="Arial"/>
          <w:sz w:val="22"/>
          <w:szCs w:val="22"/>
        </w:rPr>
        <w:t xml:space="preserve">MongoDB handles CRUD and stack operations on the product collection.</w:t>
      </w:r>
    </w:p>
    <w:p>
      <w:pPr>
        <w:pStyle w:val="ListParagraph"/>
        <w:numPr>
          <w:ilvl w:val="0"/>
          <w:numId w:val="2"/>
        </w:numPr>
        <w:spacing w:after="60" w:before="60"/>
      </w:pPr>
      <w:r>
        <w:rPr>
          <w:rFonts w:ascii="Arial" w:cs="Arial" w:eastAsia="Arial" w:hAnsi="Arial"/>
          <w:sz w:val="22"/>
          <w:szCs w:val="22"/>
        </w:rPr>
        <w:t xml:space="preserve">Neo4j handles relationship queries and graph traversals via Bolt protocol.</w:t>
      </w:r>
    </w:p>
    <w:p>
      <w:pPr>
        <w:pStyle w:val="ListParagraph"/>
        <w:numPr>
          <w:ilvl w:val="0"/>
          <w:numId w:val="2"/>
        </w:numPr>
        <w:spacing w:after="60" w:before="60"/>
      </w:pPr>
      <w:r>
        <w:rPr>
          <w:rFonts w:ascii="Arial" w:cs="Arial" w:eastAsia="Arial" w:hAnsi="Arial"/>
          <w:sz w:val="22"/>
          <w:szCs w:val="22"/>
        </w:rPr>
        <w:t xml:space="preserve">Response aggregated and returned to client.</w:t>
      </w:r>
    </w:p>
    <w:p>
      <w:pPr>
        <w:spacing w:after="80" w:before="80"/>
      </w:pPr>
      <w:r>
        <w:t xml:space="preserve"/>
      </w:r>
    </w:p>
    <w:p>
      <w:pPr>
        <w:spacing w:after="80" w:before="80"/>
      </w:pPr>
      <w:r>
        <w:t xml:space="preserve"/>
      </w:r>
    </w:p>
    <w:p>
      <w:pPr>
        <w:pStyle w:val="Heading1"/>
        <w:spacing w:after="120" w:before="280"/>
      </w:pPr>
      <w:r>
        <w:rPr>
          <w:rFonts w:ascii="Arial" w:cs="Arial" w:eastAsia="Arial" w:hAnsi="Arial"/>
          <w:b/>
          <w:bCs/>
          <w:color w:val="1E3A5F"/>
        </w:rPr>
        <w:t xml:space="preserve">5. User Authentication Strategy</w:t>
      </w:r>
    </w:p>
    <w:p>
      <w:pPr>
        <w:spacing w:after="80" w:before="80"/>
      </w:pPr>
      <w:r>
        <w:rPr>
          <w:rFonts w:ascii="Arial" w:cs="Arial" w:eastAsia="Arial" w:hAnsi="Arial"/>
          <w:sz w:val="22"/>
          <w:szCs w:val="22"/>
        </w:rPr>
        <w:t xml:space="preserve">The rate limiter itself doubles as a lightweight authentication enforcement layer. The recommended authentication flow is:</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JWT (JSON Web Token) issued at login with a payload containing userId, role, and exp (expiry).</w:t>
      </w:r>
    </w:p>
    <w:p>
      <w:pPr>
        <w:pStyle w:val="ListParagraph"/>
        <w:numPr>
          <w:ilvl w:val="0"/>
          <w:numId w:val="2"/>
        </w:numPr>
        <w:spacing w:after="60" w:before="60"/>
      </w:pPr>
      <w:r>
        <w:rPr>
          <w:rFonts w:ascii="Arial" w:cs="Arial" w:eastAsia="Arial" w:hAnsi="Arial"/>
          <w:sz w:val="22"/>
          <w:szCs w:val="22"/>
        </w:rPr>
        <w:t xml:space="preserve">Every request carries Authorization: Bearer &lt;token&gt; header.</w:t>
      </w:r>
    </w:p>
    <w:p>
      <w:pPr>
        <w:pStyle w:val="ListParagraph"/>
        <w:numPr>
          <w:ilvl w:val="0"/>
          <w:numId w:val="2"/>
        </w:numPr>
        <w:spacing w:after="60" w:before="60"/>
      </w:pPr>
      <w:r>
        <w:rPr>
          <w:rFonts w:ascii="Arial" w:cs="Arial" w:eastAsia="Arial" w:hAnsi="Arial"/>
          <w:sz w:val="22"/>
          <w:szCs w:val="22"/>
        </w:rPr>
        <w:t xml:space="preserve">API Gateway validates the JWT signature using a shared secret (HMAC-SHA256) or public key (RS256).</w:t>
      </w:r>
    </w:p>
    <w:p>
      <w:pPr>
        <w:pStyle w:val="ListParagraph"/>
        <w:numPr>
          <w:ilvl w:val="0"/>
          <w:numId w:val="2"/>
        </w:numPr>
        <w:spacing w:after="60" w:before="60"/>
      </w:pPr>
      <w:r>
        <w:rPr>
          <w:rFonts w:ascii="Arial" w:cs="Arial" w:eastAsia="Arial" w:hAnsi="Arial"/>
          <w:sz w:val="22"/>
          <w:szCs w:val="22"/>
        </w:rPr>
        <w:t xml:space="preserve">On successful validation, the userId from the JWT payload is used as the rate-limit key — this prevents IP spoofing to bypass limits.</w:t>
      </w:r>
    </w:p>
    <w:p>
      <w:pPr>
        <w:pStyle w:val="ListParagraph"/>
        <w:numPr>
          <w:ilvl w:val="0"/>
          <w:numId w:val="2"/>
        </w:numPr>
        <w:spacing w:after="60" w:before="60"/>
      </w:pPr>
      <w:r>
        <w:rPr>
          <w:rFonts w:ascii="Arial" w:cs="Arial" w:eastAsia="Arial" w:hAnsi="Arial"/>
          <w:sz w:val="22"/>
          <w:szCs w:val="22"/>
        </w:rPr>
        <w:t xml:space="preserve">MongoDB RBAC (Role-Based Access Control): Inventory managers get read-write access; auditors get read-only access to the collection.</w:t>
      </w:r>
    </w:p>
    <w:p>
      <w:pPr>
        <w:pStyle w:val="ListParagraph"/>
        <w:numPr>
          <w:ilvl w:val="0"/>
          <w:numId w:val="2"/>
        </w:numPr>
        <w:spacing w:after="60" w:before="60"/>
      </w:pPr>
      <w:r>
        <w:rPr>
          <w:rFonts w:ascii="Arial" w:cs="Arial" w:eastAsia="Arial" w:hAnsi="Arial"/>
          <w:sz w:val="22"/>
          <w:szCs w:val="22"/>
        </w:rPr>
        <w:t xml:space="preserve">Neo4j authentication uses built-in username/password with role assignment (editor / reader) at the graph database level.</w:t>
      </w:r>
    </w:p>
    <w:p>
      <w:pPr>
        <w:pStyle w:val="ListParagraph"/>
        <w:numPr>
          <w:ilvl w:val="0"/>
          <w:numId w:val="2"/>
        </w:numPr>
        <w:spacing w:after="60" w:before="60"/>
      </w:pPr>
      <w:r>
        <w:rPr>
          <w:rFonts w:ascii="Arial" w:cs="Arial" w:eastAsia="Arial" w:hAnsi="Arial"/>
          <w:sz w:val="22"/>
          <w:szCs w:val="22"/>
        </w:rPr>
        <w:t xml:space="preserve">Redis AUTH command password-protects the rate-limit store from unauthorised resets.</w:t>
      </w:r>
    </w:p>
    <w:p>
      <w:pPr>
        <w:spacing w:after="80" w:before="80"/>
      </w:pPr>
      <w:r>
        <w:t xml:space="preserve"/>
      </w:r>
    </w:p>
    <w:p>
      <w:pPr>
        <w:spacing w:after="80" w:before="80"/>
      </w:pPr>
      <w:r>
        <w:rPr>
          <w:rFonts w:ascii="Arial" w:cs="Arial" w:eastAsia="Arial" w:hAnsi="Arial"/>
          <w:sz w:val="22"/>
          <w:szCs w:val="22"/>
        </w:rPr>
        <w:t xml:space="preserve">This three-layer authentication (JWT at gateway, RBAC at MongoDB, built-in auth at Neo4j) ensures that even if one layer is compromised, the other two remain independently secure.</w:t>
      </w:r>
    </w:p>
    <w:p>
      <w:pPr>
        <w:spacing w:after="80" w:before="80"/>
      </w:pPr>
      <w:r>
        <w:t xml:space="preserve"/>
      </w:r>
    </w:p>
    <w:p>
      <w:pPr>
        <w:spacing w:after="80" w:before="80"/>
      </w:pPr>
      <w:r>
        <w:t xml:space="preserve"/>
      </w:r>
    </w:p>
    <w:p>
      <w:pPr>
        <w:pStyle w:val="Heading1"/>
        <w:spacing w:after="120" w:before="280"/>
      </w:pPr>
      <w:r>
        <w:rPr>
          <w:rFonts w:ascii="Arial" w:cs="Arial" w:eastAsia="Arial" w:hAnsi="Arial"/>
          <w:b/>
          <w:bCs/>
          <w:color w:val="1E3A5F"/>
        </w:rPr>
        <w:t xml:space="preserve">6. Complete API Reference</w:t>
      </w:r>
    </w:p>
    <w:p>
      <w:pPr>
        <w:pStyle w:val="Heading2"/>
        <w:spacing w:after="120" w:before="280"/>
      </w:pPr>
      <w:r>
        <w:rPr>
          <w:rFonts w:ascii="Arial" w:cs="Arial" w:eastAsia="Arial" w:hAnsi="Arial"/>
          <w:b/>
          <w:bCs/>
          <w:color w:val="1E3A5F"/>
        </w:rPr>
        <w:t xml:space="preserve">6.1 Rate Limiter — Redis (Port 2100)</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760"/>
      </w:tblGrid>
      <w:tr>
        <w:trPr>
          <w:tblHeader/>
        </w:trPr>
        <w:tc>
          <w:tcPr>
            <w:tcW w:type="dxa" w:w="28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Redis Command</w:t>
            </w:r>
          </w:p>
        </w:tc>
        <w:tc>
          <w:tcPr>
            <w:tcW w:type="dxa" w:w="28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76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Response</w:t>
            </w:r>
          </w:p>
        </w:tc>
      </w:tr>
      <w:tr>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INCR rate:{user}:{ep}</w:t>
            </w:r>
          </w:p>
        </w:tc>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Increment request counter</w:t>
            </w:r>
          </w:p>
        </w:tc>
        <w:tc>
          <w:tcPr>
            <w:tcW w:type="dxa" w:w="27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Integer — current count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EXPIRE rate:{user}:{ep} 60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60s window on first request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(success)</w:t>
            </w:r>
          </w:p>
        </w:tc>
      </w:tr>
      <w:tr>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TTL rate:{user}:{ep}</w:t>
            </w:r>
          </w:p>
        </w:tc>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Check remaining window time</w:t>
            </w:r>
          </w:p>
        </w:tc>
        <w:tc>
          <w:tcPr>
            <w:tcW w:type="dxa" w:w="27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Seconds remaining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rate:{user}:{ep}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Inspect current count (debug)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 or nil</w:t>
            </w:r>
          </w:p>
        </w:tc>
      </w:tr>
      <w:tr>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DEL rate:{user}:{ep}</w:t>
            </w:r>
          </w:p>
        </w:tc>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Admin reset of user's quota</w:t>
            </w:r>
          </w:p>
        </w:tc>
        <w:tc>
          <w:tcPr>
            <w:tcW w:type="dxa" w:w="27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1 (deleted)</w:t>
            </w:r>
          </w:p>
        </w:tc>
      </w:tr>
    </w:tbl>
    <w:p>
      <w:pPr>
        <w:spacing w:after="80" w:before="80"/>
      </w:pPr>
      <w:r>
        <w:t xml:space="preserve"/>
      </w:r>
    </w:p>
    <w:p>
      <w:pPr>
        <w:pStyle w:val="Heading2"/>
        <w:spacing w:after="120" w:before="280"/>
      </w:pPr>
      <w:r>
        <w:rPr>
          <w:rFonts w:ascii="Arial" w:cs="Arial" w:eastAsia="Arial" w:hAnsi="Arial"/>
          <w:b/>
          <w:bCs/>
          <w:color w:val="1E3A5F"/>
        </w:rPr>
        <w:t xml:space="preserve">6.2 Inventory — MongoDB REST API</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1400"/>
        <w:gridCol w:w="2000"/>
        <w:gridCol w:w="1560"/>
      </w:tblGrid>
      <w:tr>
        <w:trPr>
          <w:tblHeader/>
        </w:trPr>
        <w:tc>
          <w:tcPr>
            <w:tcW w:type="dxa" w:w="8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6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14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Body / Params</w:t>
            </w:r>
          </w:p>
        </w:tc>
        <w:tc>
          <w:tcPr>
            <w:tcW w:type="dxa" w:w="20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MongoDB Op</w:t>
            </w:r>
          </w:p>
        </w:tc>
        <w:tc>
          <w:tcPr>
            <w:tcW w:type="dxa" w:w="156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HTTP Status</w:t>
            </w:r>
          </w:p>
        </w:tc>
      </w:tr>
      <w:tr>
        <w:tc>
          <w:tcPr>
            <w:tcW w:type="dxa" w:w="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POST</w:t>
            </w:r>
          </w:p>
        </w:tc>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/api/inventory</w:t>
            </w:r>
          </w:p>
        </w:tc>
        <w:tc>
          <w:tcPr>
            <w:tcW w:type="dxa" w:w="1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JSON body</w:t>
            </w:r>
          </w:p>
        </w:tc>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insertOne()</w:t>
            </w:r>
          </w:p>
        </w:tc>
        <w:tc>
          <w:tcPr>
            <w:tcW w:type="dxa" w:w="1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201 Created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/api/inventory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find().sort({_id:-1})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 OK</w:t>
            </w:r>
          </w:p>
        </w:tc>
      </w:tr>
      <w:tr>
        <w:tc>
          <w:tcPr>
            <w:tcW w:type="dxa" w:w="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GET</w:t>
            </w:r>
          </w:p>
        </w:tc>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/api/inventory/:id</w:t>
            </w:r>
          </w:p>
        </w:tc>
        <w:tc>
          <w:tcPr>
            <w:tcW w:type="dxa" w:w="1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id param</w:t>
            </w:r>
          </w:p>
        </w:tc>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findOne({_id})</w:t>
            </w:r>
          </w:p>
        </w:tc>
        <w:tc>
          <w:tcPr>
            <w:tcW w:type="dxa" w:w="1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200 / 404</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/api/inventory/:id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 patch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updateOne()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 / 404</w:t>
            </w:r>
          </w:p>
        </w:tc>
      </w:tr>
      <w:tr>
        <w:tc>
          <w:tcPr>
            <w:tcW w:type="dxa" w:w="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DELETE</w:t>
            </w:r>
          </w:p>
        </w:tc>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/api/inventory/:id</w:t>
            </w:r>
          </w:p>
        </w:tc>
        <w:tc>
          <w:tcPr>
            <w:tcW w:type="dxa" w:w="1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id param</w:t>
            </w:r>
          </w:p>
        </w:tc>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deleteOne()</w:t>
            </w:r>
          </w:p>
        </w:tc>
        <w:tc>
          <w:tcPr>
            <w:tcW w:type="dxa" w:w="1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200 / 404</w:t>
            </w:r>
          </w:p>
        </w:tc>
      </w:tr>
    </w:tbl>
    <w:p>
      <w:pPr>
        <w:spacing w:after="80" w:before="80"/>
      </w:pPr>
      <w:r>
        <w:t xml:space="preserve"/>
      </w:r>
    </w:p>
    <w:p>
      <w:pPr>
        <w:pStyle w:val="Heading2"/>
        <w:spacing w:after="120" w:before="280"/>
      </w:pPr>
      <w:r>
        <w:rPr>
          <w:rFonts w:ascii="Arial" w:cs="Arial" w:eastAsia="Arial" w:hAnsi="Arial"/>
          <w:b/>
          <w:bCs/>
          <w:color w:val="1E3A5F"/>
        </w:rPr>
        <w:t xml:space="preserve">6.3 Graph — Neo4j Cypher Endpoints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2760"/>
      </w:tblGrid>
      <w:tr>
        <w:trPr>
          <w:tblHeader/>
        </w:trPr>
        <w:tc>
          <w:tcPr>
            <w:tcW w:type="dxa" w:w="20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6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Cypher Query Pattern</w:t>
            </w:r>
          </w:p>
        </w:tc>
        <w:tc>
          <w:tcPr>
            <w:tcW w:type="dxa" w:w="276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GET /graph/products/:mfr</w:t>
            </w:r>
          </w:p>
        </w:tc>
        <w:tc>
          <w:tcPr>
            <w:tcW w:type="dxa" w:w="3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MATCH (m:Manufacturer)-[:MAKES]-&gt;(p:Product)</w:t>
            </w:r>
          </w:p>
        </w:tc>
        <w:tc>
          <w:tcPr>
            <w:tcW w:type="dxa" w:w="27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All products by manufacturer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/graph/manufacturer/:product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MATCH (m)-[:MAKES]-&gt;(p:Product {name})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Who makes this product</w:t>
            </w:r>
          </w:p>
        </w:tc>
      </w:tr>
      <w:tr>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GET /graph/chain/:product</w:t>
            </w:r>
          </w:p>
        </w:tc>
        <w:tc>
          <w:tcPr>
            <w:tcW w:type="dxa" w:w="3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MATCH path=(m)-[:MAKES]-&gt;(p)-[:SOURCED_FROM]-&gt;(s)</w:t>
            </w:r>
          </w:p>
        </w:tc>
        <w:tc>
          <w:tcPr>
            <w:tcW w:type="dxa" w:w="27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Full supply chain trace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/graph/category/:cat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MATCH (p:Product)-[:BELONGS_TO]-&gt;(c:Category)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Products in category</w:t>
            </w:r>
          </w:p>
        </w:tc>
      </w:tr>
      <w:tr>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POST /graph/relationship</w:t>
            </w:r>
          </w:p>
        </w:tc>
        <w:tc>
          <w:tcPr>
            <w:tcW w:type="dxa" w:w="3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MERGE (a)-[:REL]-&gt;(b)</w:t>
            </w:r>
          </w:p>
        </w:tc>
        <w:tc>
          <w:tcPr>
            <w:tcW w:type="dxa" w:w="27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Create new relationship</w:t>
            </w:r>
          </w:p>
        </w:tc>
      </w:tr>
    </w:tbl>
    <w:p>
      <w:pPr>
        <w:spacing w:after="80" w:before="80"/>
      </w:pPr>
      <w:r>
        <w:t xml:space="preserve"/>
      </w:r>
    </w:p>
    <w:p>
      <w:pPr>
        <w:spacing w:after="80" w:before="80"/>
      </w:pPr>
      <w:r>
        <w:t xml:space="preserve"/>
      </w:r>
    </w:p>
    <w:p>
      <w:pPr>
        <w:pStyle w:val="Heading1"/>
        <w:spacing w:after="120" w:before="280"/>
      </w:pPr>
      <w:r>
        <w:rPr>
          <w:rFonts w:ascii="Arial" w:cs="Arial" w:eastAsia="Arial" w:hAnsi="Arial"/>
          <w:b/>
          <w:bCs/>
          <w:color w:val="1E3A5F"/>
        </w:rPr>
        <w:t xml:space="preserve">7. Conclusion</w:t>
      </w:r>
    </w:p>
    <w:p>
      <w:pPr>
        <w:spacing w:after="80" w:before="80"/>
      </w:pPr>
      <w:r>
        <w:rPr>
          <w:rFonts w:ascii="Arial" w:cs="Arial" w:eastAsia="Arial" w:hAnsi="Arial"/>
          <w:sz w:val="22"/>
          <w:szCs w:val="22"/>
        </w:rPr>
        <w:t xml:space="preserve">This project demonstrates that a single application domain — inventory management — benefits from using multiple purpose-built databases rather than a one-size-fits-all solution. The key insight is that each database is chosen not for familiarity but for structural fit:</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Redis fits the rate limiter because the problem is fundamentally a counter with a timeout — the exact primitive Redis exposes natively.</w:t>
      </w:r>
    </w:p>
    <w:p>
      <w:pPr>
        <w:pStyle w:val="ListParagraph"/>
        <w:numPr>
          <w:ilvl w:val="0"/>
          <w:numId w:val="2"/>
        </w:numPr>
        <w:spacing w:after="60" w:before="60"/>
      </w:pPr>
      <w:r>
        <w:rPr>
          <w:rFonts w:ascii="Arial" w:cs="Arial" w:eastAsia="Arial" w:hAnsi="Arial"/>
          <w:sz w:val="22"/>
          <w:szCs w:val="22"/>
        </w:rPr>
        <w:t xml:space="preserve">MongoDB fits inventory because products are heterogeneous documents whose structure varies by category — exactly what a schema-less document store handles gracefully.</w:t>
      </w:r>
    </w:p>
    <w:p>
      <w:pPr>
        <w:pStyle w:val="ListParagraph"/>
        <w:numPr>
          <w:ilvl w:val="0"/>
          <w:numId w:val="2"/>
        </w:numPr>
        <w:spacing w:after="60" w:before="60"/>
      </w:pPr>
      <w:r>
        <w:rPr>
          <w:rFonts w:ascii="Arial" w:cs="Arial" w:eastAsia="Arial" w:hAnsi="Arial"/>
          <w:sz w:val="22"/>
          <w:szCs w:val="22"/>
        </w:rPr>
        <w:t xml:space="preserve">Neo4j fits the supply chain because the data is inherently relational in the graph sense — entities connected by named, typed, directional relationships that must be traversed efficiently.</w:t>
      </w:r>
    </w:p>
    <w:p>
      <w:pPr>
        <w:spacing w:after="80" w:before="80"/>
      </w:pPr>
      <w:r>
        <w:t xml:space="preserve"/>
      </w:r>
    </w:p>
    <w:p>
      <w:pPr>
        <w:spacing w:after="80" w:before="80"/>
      </w:pPr>
      <w:r>
        <w:rPr>
          <w:rFonts w:ascii="Arial" w:cs="Arial" w:eastAsia="Arial" w:hAnsi="Arial"/>
          <w:sz w:val="22"/>
          <w:szCs w:val="22"/>
        </w:rPr>
        <w:t xml:space="preserve">The polyglot persistence architecture, where different databases serve different subsystems, is a production pattern used by companies such as LinkedIn (graph + relational), Twitter (Redis + MySQL), and Amazon (DynamoDB + Neptune). This project applies those same principles at a learning scale with full observability into the database commands executing at each layer.</w:t>
      </w:r>
    </w:p>
    <w:p>
      <w:pPr>
        <w:spacing w:after="80" w:before="80"/>
      </w:pPr>
      <w:r>
        <w:t xml:space="preserve"/>
      </w:r>
    </w:p>
    <w:p>
      <w:pPr>
        <w:spacing w:after="80" w:before="80"/>
      </w:pPr>
      <w:r>
        <w:t xml:space="preserve"/>
      </w:r>
    </w:p>
    <w:p>
      <w:pPr>
        <w:pStyle w:val="Heading1"/>
        <w:spacing w:after="120" w:before="280"/>
      </w:pPr>
      <w:r>
        <w:rPr>
          <w:rFonts w:ascii="Arial" w:cs="Arial" w:eastAsia="Arial" w:hAnsi="Arial"/>
          <w:b/>
          <w:bCs/>
          <w:color w:val="1E3A5F"/>
        </w:rPr>
        <w:t xml:space="preserve">8. References</w:t>
      </w:r>
    </w:p>
    <w:p>
      <w:pPr>
        <w:pStyle w:val="ListParagraph"/>
        <w:numPr>
          <w:ilvl w:val="0"/>
          <w:numId w:val="2"/>
        </w:numPr>
        <w:spacing w:after="60" w:before="60"/>
      </w:pPr>
      <w:r>
        <w:rPr>
          <w:rFonts w:ascii="Arial" w:cs="Arial" w:eastAsia="Arial" w:hAnsi="Arial"/>
          <w:sz w:val="22"/>
          <w:szCs w:val="22"/>
        </w:rPr>
        <w:t xml:space="preserve">Redis Documentation — redis.io/docs/data-types/strings/ (Atomic counters and TTL)</w:t>
      </w:r>
    </w:p>
    <w:p>
      <w:pPr>
        <w:pStyle w:val="ListParagraph"/>
        <w:numPr>
          <w:ilvl w:val="0"/>
          <w:numId w:val="2"/>
        </w:numPr>
        <w:spacing w:after="60" w:before="60"/>
      </w:pPr>
      <w:r>
        <w:rPr>
          <w:rFonts w:ascii="Arial" w:cs="Arial" w:eastAsia="Arial" w:hAnsi="Arial"/>
          <w:sz w:val="22"/>
          <w:szCs w:val="22"/>
        </w:rPr>
        <w:t xml:space="preserve">MongoDB Manual — mongodb.com/docs/manual/crud/ (CRUD operations)</w:t>
      </w:r>
    </w:p>
    <w:p>
      <w:pPr>
        <w:pStyle w:val="ListParagraph"/>
        <w:numPr>
          <w:ilvl w:val="0"/>
          <w:numId w:val="2"/>
        </w:numPr>
        <w:spacing w:after="60" w:before="60"/>
      </w:pPr>
      <w:r>
        <w:rPr>
          <w:rFonts w:ascii="Arial" w:cs="Arial" w:eastAsia="Arial" w:hAnsi="Arial"/>
          <w:sz w:val="22"/>
          <w:szCs w:val="22"/>
        </w:rPr>
        <w:t xml:space="preserve">Neo4j Cypher Manual — neo4j.com/docs/cypher-manual/ (Graph query language)</w:t>
      </w:r>
    </w:p>
    <w:p>
      <w:pPr>
        <w:pStyle w:val="ListParagraph"/>
        <w:numPr>
          <w:ilvl w:val="0"/>
          <w:numId w:val="2"/>
        </w:numPr>
        <w:spacing w:after="60" w:before="60"/>
      </w:pPr>
      <w:r>
        <w:rPr>
          <w:rFonts w:ascii="Arial" w:cs="Arial" w:eastAsia="Arial" w:hAnsi="Arial"/>
          <w:sz w:val="22"/>
          <w:szCs w:val="22"/>
        </w:rPr>
        <w:t xml:space="preserve">Fowler, M. (2012). NoSQL Distilled. Addison-Wesley. (Polyglot persistence pattern)</w:t>
      </w:r>
    </w:p>
    <w:p>
      <w:pPr>
        <w:pStyle w:val="ListParagraph"/>
        <w:numPr>
          <w:ilvl w:val="0"/>
          <w:numId w:val="2"/>
        </w:numPr>
        <w:spacing w:after="60" w:before="60"/>
      </w:pPr>
      <w:r>
        <w:rPr>
          <w:rFonts w:ascii="Arial" w:cs="Arial" w:eastAsia="Arial" w:hAnsi="Arial"/>
          <w:sz w:val="22"/>
          <w:szCs w:val="22"/>
        </w:rPr>
        <w:t xml:space="preserve">Robinson, I., Webber, J., &amp; Eifrem, E. (2015). Graph Databases, 2nd Ed. O'Reilly.</w:t>
      </w:r>
    </w:p>
    <w:p>
      <w:pPr>
        <w:pStyle w:val="ListParagraph"/>
        <w:numPr>
          <w:ilvl w:val="0"/>
          <w:numId w:val="2"/>
        </w:numPr>
        <w:spacing w:after="60" w:before="60"/>
      </w:pPr>
      <w:r>
        <w:rPr>
          <w:rFonts w:ascii="Arial" w:cs="Arial" w:eastAsia="Arial" w:hAnsi="Arial"/>
          <w:sz w:val="22"/>
          <w:szCs w:val="22"/>
        </w:rPr>
        <w:t xml:space="preserve">Redis Rate Limiting Patterns — redis.io/glossary/rate-limiting/</w:t>
      </w:r>
    </w:p>
    <w:p>
      <w:pPr>
        <w:pStyle w:val="ListParagraph"/>
        <w:numPr>
          <w:ilvl w:val="0"/>
          <w:numId w:val="2"/>
        </w:numPr>
        <w:spacing w:after="60" w:before="60"/>
      </w:pPr>
      <w:r>
        <w:rPr>
          <w:rFonts w:ascii="Arial" w:cs="Arial" w:eastAsia="Arial" w:hAnsi="Arial"/>
          <w:sz w:val="22"/>
          <w:szCs w:val="22"/>
        </w:rPr>
        <w:t xml:space="preserve">MongoDB Schema Design Patterns — mongodb.com/developer/products/mongodb/schema-design-anti-pattern-massive-arrays/</w:t>
      </w:r>
    </w:p>
    <w:sectPr>
      <w:headerReference w:type="default" r:id="rId7"/>
      <w:footerReference w:type="default" r:id="rId8"/>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1"/>
      </w:pBdr>
      <w:tabs>
        <w:tab w:val="right" w:pos="9360"/>
      </w:tabs>
    </w:pPr>
    <w:r>
      <w:rPr>
        <w:rFonts w:ascii="Arial" w:cs="Arial" w:eastAsia="Arial" w:hAnsi="Arial"/>
        <w:color w:val="9CA3AF"/>
        <w:sz w:val="16"/>
        <w:szCs w:val="16"/>
      </w:rPr>
      <w:t xml:space="preserve">Confidential — Academic Submission</w:t>
    </w:r>
    <w:r>
      <w:rPr>
        <w:rFonts w:ascii="Arial" w:cs="Arial" w:eastAsia="Arial" w:hAnsi="Arial"/>
        <w:color w:val="9CA3AF"/>
        <w:sz w:val="16"/>
        <w:szCs w:val="16"/>
      </w:rPr>
      <w:t xml:space="preserve">	Page [N]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6" w:space="1"/>
      </w:pBdr>
    </w:pPr>
    <w:r>
      <w:rPr>
        <w:rFonts w:ascii="Arial" w:cs="Arial" w:eastAsia="Arial" w:hAnsi="Arial"/>
        <w:b/>
        <w:bCs/>
        <w:color w:val="1E3A5F"/>
        <w:sz w:val="20"/>
        <w:szCs w:val="20"/>
      </w:rPr>
      <w:t xml:space="preserve">Inventory Management System</w:t>
    </w:r>
    <w:r>
      <w:rPr>
        <w:rFonts w:ascii="Arial" w:cs="Arial" w:eastAsia="Arial" w:hAnsi="Arial"/>
        <w:color w:val="6B7280"/>
        <w:sz w:val="18"/>
        <w:szCs w:val="18"/>
      </w:rPr>
      <w:t xml:space="preserve">  |  NoSQL &amp; Graph Database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563EB"/>
      <w:sz w:val="28"/>
      <w:szCs w:val="28"/>
    </w:rPr>
  </w:style>
  <w:style w:type="paragraph" w:styleId="Heading3">
    <w:name w:val="Heading 3"/>
    <w:basedOn w:val="Normal"/>
    <w:next w:val="Normal"/>
    <w:qFormat/>
    <w:pPr>
      <w:spacing w:after="80" w:before="160"/>
      <w:outlineLvl w:val="2"/>
    </w:pPr>
    <w:rPr>
      <w:rFonts w:ascii="Arial" w:cs="Arial" w:eastAsia="Arial" w:hAnsi="Arial"/>
      <w:b/>
      <w:bCs/>
      <w:color w:val="1D4ED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2026-04-10T05:17:12.910Z</dcterms:created>
  <dcterms:modified xsi:type="dcterms:W3CDTF">2026-04-10T05:17:12.910Z</dcterms:modified>
</cp:coreProperties>
</file>

<file path=docProps/custom.xml><?xml version="1.0" encoding="utf-8"?>
<Properties xmlns="http://schemas.openxmlformats.org/officeDocument/2006/custom-properties" xmlns:vt="http://schemas.openxmlformats.org/officeDocument/2006/docPropsVTypes"/>
</file>