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ONEQR Advertising and Points Wallet Development Requirements</w:t>
      </w:r>
    </w:p>
    <w:p>
      <w:r>
        <w:t>NEXORA TOUCH  |  Developer handoff  |  27 October 2026</w:t>
      </w:r>
    </w:p>
    <w:p>
      <w:r>
        <w:t>Implement the approved product rules for mandatory OneQR advertising, competitor protection, earnings points, spending credits, transfers, payout requests and bilingual experiences. The companion HTML is a visual prototype; this document defines the intended behavior.</w:t>
      </w:r>
    </w:p>
    <w:p>
      <w:pPr>
        <w:pStyle w:val="Heading1"/>
      </w:pPr>
      <w:r>
        <w:t>1 Product decisions</w:t>
      </w:r>
    </w:p>
    <w:p>
      <w:pPr>
        <w:pStyle w:val="ListBullet"/>
      </w:pPr>
      <w:r>
        <w:t>The current OneQR plan includes mandatory advertising. Activation and agreement automatically enroll the business in the earnings program; no separate monetization switch is required.</w:t>
      </w:r>
    </w:p>
    <w:p>
      <w:pPr>
        <w:pStyle w:val="ListBullet"/>
      </w:pPr>
      <w:r>
        <w:t>Ads may appear in Deal Nearby, Search Deals and Explore. Disclose placements and sponsored content to users. A future paid subscription may permit an ad toggle; do not implement or promise that option as available now.</w:t>
      </w:r>
    </w:p>
    <w:p>
      <w:pPr>
        <w:pStyle w:val="ListBullet"/>
      </w:pPr>
      <w:r>
        <w:t>Block third-party competitors in the same industry within sessions originating from the business OneQR, including paid placements.</w:t>
      </w:r>
    </w:p>
    <w:p>
      <w:pPr>
        <w:pStyle w:val="ListBullet"/>
      </w:pPr>
      <w:r>
        <w:t>100 ONEQR Points = 1 credit = $1 in conversion or spending value. Minimum transfer: 1,000 approved points ($10). Minimum payout request: 10,000 approved unused points ($100).</w:t>
      </w:r>
    </w:p>
    <w:p>
      <w:pPr>
        <w:pStyle w:val="Heading1"/>
      </w:pPr>
      <w:r>
        <w:t>2 Activation and industry selection</w:t>
      </w:r>
    </w:p>
    <w:p>
      <w:pPr>
        <w:pStyle w:val="ListBullet"/>
      </w:pPr>
      <w:r>
        <w:t>Collect primary industry and allow multiple relevant secondary industries. Use an extensible, managed taxonomy with English and Vietnamese labels, covering beauty, food, health, home services, automotive, retail, professional services, travel, events, education, family and pets. Include Other with a description and classification review.</w:t>
      </w:r>
    </w:p>
    <w:p>
      <w:pPr>
        <w:pStyle w:val="ListBullet"/>
      </w:pPr>
      <w:r>
        <w:t>Before activation, present the current terms and an unchecked consent box that explicitly discloses advertising placements and automatic earnings enrollment. Require an affirmative check. If declined, do not activate under the current plan.</w:t>
      </w:r>
    </w:p>
    <w:p>
      <w:pPr>
        <w:pStyle w:val="ListBullet"/>
      </w:pPr>
      <w:r>
        <w:t>Store business ID, authorized account, consent time, terms version and selected industries. Reuse existing profile information where available; changes to industry require classification validation and an audit record.</w:t>
      </w:r>
    </w:p>
    <w:p>
      <w:pPr>
        <w:pStyle w:val="ListBullet"/>
      </w:pPr>
      <w:r>
        <w:t>If classification is missing, pending or an ad cannot be safely classified against the host, withhold the uncertain third-party ad in that OneQR session. Provide an internal correction and review process.</w:t>
      </w:r>
    </w:p>
    <w:p>
      <w:pPr>
        <w:pStyle w:val="Heading1"/>
      </w:pPr>
      <w:r>
        <w:t>3 Competitor filtering and ad delivery</w:t>
      </w:r>
    </w:p>
    <w:p>
      <w:pPr>
        <w:pStyle w:val="ListBullet"/>
      </w:pPr>
      <w:r>
        <w:t>Resolve the host business and its confirmed primary and secondary industry IDs from the OneQR session. Compare every candidate advertiser against the applicable industry classifications before any organic or paid third-party advertising placement is selected.</w:t>
      </w:r>
    </w:p>
    <w:p>
      <w:pPr>
        <w:pStyle w:val="ListBullet"/>
      </w:pPr>
      <w:r>
        <w:t>Exclude same-industry advertisers from Deal Nearby, Search Deals and Explore within that session. Paid priority must never bypass the block. Support controlled management of industry mappings and related categories; preserve filter decisions in audit logs.</w:t>
      </w:r>
    </w:p>
    <w:p>
      <w:pPr>
        <w:pStyle w:val="ListBullet"/>
      </w:pPr>
      <w:r>
        <w:t>Changing the taxonomy must not silently misclassify businesses. Show classification status to the owner and provide a channel to report mistakes. Maintain host attribution as a customer moves between discovery screens.</w:t>
      </w:r>
    </w:p>
    <w:p>
      <w:pPr>
        <w:pStyle w:val="Heading1"/>
      </w:pPr>
      <w:r>
        <w:t>4 Earnings and conversion</w:t>
      </w:r>
    </w:p>
    <w:tbl>
      <w:tblPr>
        <w:tblStyle w:val="TableGrid"/>
        <w:tblW w:type="auto" w:w="0"/>
        <w:tblLook w:firstColumn="1" w:firstRow="1" w:lastColumn="0" w:lastRow="0" w:noHBand="0" w:noVBand="1" w:val="04A0"/>
      </w:tblPr>
      <w:tblGrid>
        <w:gridCol w:w="4896"/>
        <w:gridCol w:w="4896"/>
      </w:tblGrid>
      <w:tr>
        <w:tc>
          <w:tcPr>
            <w:tcW w:type="dxa" w:w="4896"/>
            <w:shd w:fill="DCE6F1"/>
          </w:tcPr>
          <w:p>
            <w:r>
              <w:rPr>
                <w:b/>
              </w:rPr>
              <w:t>Rule</w:t>
            </w:r>
          </w:p>
        </w:tc>
        <w:tc>
          <w:tcPr>
            <w:tcW w:type="dxa" w:w="4896"/>
            <w:shd w:fill="DCE6F1"/>
          </w:tcPr>
          <w:p>
            <w:r>
              <w:rPr>
                <w:b/>
              </w:rPr>
              <w:t>Requirement</w:t>
            </w:r>
          </w:p>
        </w:tc>
      </w:tr>
      <w:tr>
        <w:tc>
          <w:tcPr>
            <w:tcW w:type="dxa" w:w="4896"/>
          </w:tcPr>
          <w:p>
            <w:r>
              <w:t>Earning event</w:t>
            </w:r>
          </w:p>
        </w:tc>
        <w:tc>
          <w:tcPr>
            <w:tcW w:type="dxa" w:w="4896"/>
          </w:tcPr>
          <w:p>
            <w:r>
              <w:t>Only an eligible, campaign-defined action earns points. Scanning a QR, opening a list or an impression alone does not automatically earn points.</w:t>
            </w:r>
          </w:p>
        </w:tc>
      </w:tr>
      <w:tr>
        <w:tc>
          <w:tcPr>
            <w:tcW w:type="dxa" w:w="4896"/>
          </w:tcPr>
          <w:p>
            <w:r>
              <w:t>Units</w:t>
            </w:r>
          </w:p>
        </w:tc>
        <w:tc>
          <w:tcPr>
            <w:tcW w:type="dxa" w:w="4896"/>
          </w:tcPr>
          <w:p>
            <w:r>
              <w:t>Use integer ONEQR Points. 100 points correspond to $1; display point balance and equivalent value.</w:t>
            </w:r>
          </w:p>
        </w:tc>
      </w:tr>
      <w:tr>
        <w:tc>
          <w:tcPr>
            <w:tcW w:type="dxa" w:w="4896"/>
          </w:tcPr>
          <w:p>
            <w:r>
              <w:t>Point states</w:t>
            </w:r>
          </w:p>
        </w:tc>
        <w:tc>
          <w:tcPr>
            <w:tcW w:type="dxa" w:w="4896"/>
          </w:tcPr>
          <w:p>
            <w:r>
              <w:t>Pending, approved, reserved, spent or paid, and adjusted or reversed. Only approved and available points may be used.</w:t>
            </w:r>
          </w:p>
        </w:tc>
      </w:tr>
      <w:tr>
        <w:tc>
          <w:tcPr>
            <w:tcW w:type="dxa" w:w="4896"/>
          </w:tcPr>
          <w:p>
            <w:r>
              <w:t>Referral</w:t>
            </w:r>
          </w:p>
        </w:tc>
        <w:tc>
          <w:tcPr>
            <w:tcW w:type="dxa" w:w="4896"/>
          </w:tcPr>
          <w:p>
            <w:r>
              <w:t>Prepare a separate configurable source for future referral programs. Do not award referral points or assume payout rights until that program is defined and approved.</w:t>
            </w:r>
          </w:p>
        </w:tc>
      </w:tr>
    </w:tbl>
    <w:p/>
    <w:p>
      <w:r>
        <w:t>Maintain an immutable ledger or equivalent auditable transaction history with source program, event ID, business, timestamp, rate or policy version, point amount, status and adjustment reason. Deduplicate retries and events. Explain disallowed or reversed events and provide an appeal route.</w:t>
      </w:r>
    </w:p>
    <w:p>
      <w:pPr>
        <w:pStyle w:val="Heading1"/>
      </w:pPr>
      <w:r>
        <w:t>5 Two wallet balances</w:t>
      </w:r>
    </w:p>
    <w:p>
      <w:r>
        <w:t>Earnings wallet: credit only the business’s own approved advertising earnings and any other explicitly enabled source according to that source’s policy. Approved available points may be transferred, converted into spending credit, or submitted for payout subject to the rules below.</w:t>
      </w:r>
    </w:p>
    <w:p>
      <w:r>
        <w:t>Spending wallet: record credits received from another account separately from credits converted from the owner’s points and from purchased credits. Credits received from others are spend-only, cannot be withdrawn as cash, and are not re-transferable in the initial phase. Do not merge them into the earnings wallet or payout-eligible balance.</w:t>
      </w:r>
    </w:p>
    <w:p>
      <w:r>
        <w:t>Conversion uses 100 approved available points per 1 credit. Subtract points and credit the spending wallet atomically. Converted points are no longer withdrawable. The refund or reverse-conversion policy and supported products must be defined before enabling those actions.</w:t>
      </w:r>
    </w:p>
    <w:p>
      <w:pPr>
        <w:pStyle w:val="Heading1"/>
      </w:pPr>
      <w:r>
        <w:t>6 Transfer flow</w:t>
      </w:r>
    </w:p>
    <w:p>
      <w:pPr>
        <w:pStyle w:val="ListBullet"/>
      </w:pPr>
      <w:r>
        <w:t>Sender selects an eligible recipient account, enters at least 1,000 whole approved available points and reviews the recipient identity and equivalent credits before confirming.</w:t>
      </w:r>
    </w:p>
    <w:p>
      <w:pPr>
        <w:pStyle w:val="ListBullet"/>
      </w:pPr>
      <w:r>
        <w:t>On success atomically debit the sender earnings wallet and credit the recipient spending wallet at 100 points per credit. Record sender, recipient, amount, source, timestamps, transaction status and idempotency key.</w:t>
      </w:r>
    </w:p>
    <w:p>
      <w:pPr>
        <w:pStyle w:val="ListBullet"/>
      </w:pPr>
      <w:r>
        <w:t>Reject insufficient balance, below-minimum amounts, invalid or ineligible recipients and duplicate requests. Do not credit the recipient earnings wallet. Do not permit the received amount to be withdrawn or transferred onward.</w:t>
      </w:r>
    </w:p>
    <w:p>
      <w:pPr>
        <w:pStyle w:val="ListBullet"/>
      </w:pPr>
      <w:r>
        <w:t>Specify recovery, disputed transfer and reversal handling before release; do not automatically debit unrelated funds. Show clear transaction status and error messages.</w:t>
      </w:r>
    </w:p>
    <w:p>
      <w:pPr>
        <w:pStyle w:val="Heading1"/>
      </w:pPr>
      <w:r>
        <w:t>7 Payout flow</w:t>
      </w:r>
    </w:p>
    <w:p>
      <w:pPr>
        <w:pStyle w:val="ListBullet"/>
      </w:pPr>
      <w:r>
        <w:t>Allow a payout request only when the available approved, unused earnings balance is at least 10,000 points ($100). Received spending credits do not count toward the threshold.</w:t>
      </w:r>
    </w:p>
    <w:p>
      <w:pPr>
        <w:pStyle w:val="ListBullet"/>
      </w:pPr>
      <w:r>
        <w:t>When the user requests payout, collect or reuse required payee, tax identification and appropriate tax form, verification, and payment method information. Exact data and timing depend on the payment provider and applicable requirements.</w:t>
      </w:r>
    </w:p>
    <w:p>
      <w:pPr>
        <w:pStyle w:val="ListBullet"/>
      </w:pPr>
      <w:r>
        <w:t>Show points to be deducted, conversion, any approved fee, net amount and processing status. Reserve points when a request is accepted so the same balance cannot also be spent or transferred; settle or release them according to the final failure and reversal policy.</w:t>
      </w:r>
    </w:p>
    <w:p>
      <w:pPr>
        <w:pStyle w:val="ListBullet"/>
      </w:pPr>
      <w:r>
        <w:t>Do not expose a successful payout until the payment provider confirms it. Store payout ID, provider status and audit trail. Protect sensitive tax and identity data and restrict access.</w:t>
      </w:r>
    </w:p>
    <w:p>
      <w:pPr>
        <w:pStyle w:val="Heading1"/>
      </w:pPr>
      <w:r>
        <w:t>8 Languages and interface</w:t>
      </w:r>
    </w:p>
    <w:p>
      <w:r>
        <w:t>Provide complete professionally reviewed English and Vietnamese copy for onboarding, terms, wallet, transfers, payouts, errors and policy changes. Offer other languages through Google translation as an optional machine-translated convenience, identify translations as automatic, and provide a graceful fallback if the service is unavailable. Make the authoritative language and translation policy explicit in the final terms.</w:t>
      </w:r>
    </w:p>
    <w:p>
      <w:pPr>
        <w:pStyle w:val="Heading1"/>
      </w:pPr>
      <w:r>
        <w:t>9 Customer terms and policy content</w:t>
      </w:r>
    </w:p>
    <w:p>
      <w:r>
        <w:t>Display terms during activation covering mandatory placements; consent and versioning; industry protection and classification; eligible earnings and review; 100 points per $1; transfer minimum; spending-wallet limitations; payout threshold and verification; adjustments, dispute route, account closure, changes and treatment of remaining balances. Provide the terms in English and Vietnamese. The user has approved the product direction; prepare final operational and legal wording for release without presenting implementation rules as undecided.</w:t>
      </w:r>
    </w:p>
    <w:p>
      <w:pPr>
        <w:pStyle w:val="Heading1"/>
      </w:pPr>
      <w:r>
        <w:t>10 Acceptance criteria</w:t>
      </w:r>
    </w:p>
    <w:p>
      <w:pPr>
        <w:pStyle w:val="ListBullet"/>
      </w:pPr>
      <w:r>
        <w:t>A business cannot activate the current OneQR plan without a selected primary industry and an affirmative terms checkbox; consent version and actor are recorded.</w:t>
      </w:r>
    </w:p>
    <w:p>
      <w:pPr>
        <w:pStyle w:val="ListBullet"/>
      </w:pPr>
      <w:r>
        <w:t>Same-industry third-party paid ads never appear in host-originating Deal Nearby, Search Deals or Explore sessions. Unclassifiable cases are withheld until classified.</w:t>
      </w:r>
    </w:p>
    <w:p>
      <w:pPr>
        <w:pStyle w:val="ListBullet"/>
      </w:pPr>
      <w:r>
        <w:t>A valid eligible ad event enters pending once; an approved point balance reflects the applicable configured campaign policy. Scan-only and opening a discovery list create no earnings.</w:t>
      </w:r>
    </w:p>
    <w:p>
      <w:pPr>
        <w:pStyle w:val="ListBullet"/>
      </w:pPr>
      <w:r>
        <w:t>Transferring 1,000 approved points decreases the sender earnings balance by 1,000 and increases the recipient spending balance by 10 credits; 999 points is rejected. Received credits cannot enter withdrawable balance.</w:t>
      </w:r>
    </w:p>
    <w:p>
      <w:pPr>
        <w:pStyle w:val="ListBullet"/>
      </w:pPr>
      <w:r>
        <w:t>Converting 1,000 points yields 10 spending credits and reduces the available earnings balance by 1,000. Concurrent or repeated actions cannot spend the same points twice.</w:t>
      </w:r>
    </w:p>
    <w:p>
      <w:pPr>
        <w:pStyle w:val="ListBullet"/>
      </w:pPr>
      <w:r>
        <w:t>A payout request for less than 10,000 available approved points is blocked. At 10,000 points the user can begin required payout onboarding; points are reserved only after a valid request is accepted.</w:t>
      </w:r>
    </w:p>
    <w:p>
      <w:pPr>
        <w:pStyle w:val="ListBullet"/>
      </w:pPr>
      <w:r>
        <w:t>English and Vietnamese views expose equivalent rules. If automated translation is unavailable, the core bilingual flow continues to work.</w:t>
      </w:r>
    </w:p>
    <w:p>
      <w:pPr>
        <w:pStyle w:val="Heading1"/>
      </w:pPr>
      <w:r>
        <w:t>11 Configuration and launch dependencies</w:t>
      </w:r>
    </w:p>
    <w:p>
      <w:r>
        <w:t>The agreed product rules above are implementation requirements. The following details have not been supplied: per-event earning rates and qualification, referral reward amounts and conditions, settlement schedule, payout provider and methods, fees, transfer limits beyond the minimum, supported spending products, exception handling, and finalized terms text. Keep these configurable or disabled until specified; do not invent values. Confirm the transfer and payout model, tax collection timing and any provider requirements before production launch.</w:t>
      </w:r>
    </w:p>
    <w:p>
      <w:r>
        <w:br w:type="page"/>
      </w:r>
    </w:p>
    <w:p>
      <w:pPr>
        <w:pStyle w:val="Title"/>
      </w:pPr>
      <w:r>
        <w:t>Yêu cầu phát triển quảng cáo và ví điểm ONEQR</w:t>
      </w:r>
    </w:p>
    <w:p>
      <w:r>
        <w:t>NEXORA TOUCH  |  Tài liệu bàn giao cho đội phát triển  |  27 tháng 10 năm 2026</w:t>
      </w:r>
    </w:p>
    <w:p>
      <w:r>
        <w:t>Triển khai các quy tắc sản phẩm đã chốt cho quảng cáo OneQR bắt buộc, bảo vệ đối thủ, điểm thu nhập, credit sử dụng, chuyển điểm, yêu cầu rút tiền và trải nghiệm song ngữ. HTML đi kèm là bản mô phỏng giao diện; tài liệu này xác định hành vi cần triển khai.</w:t>
      </w:r>
    </w:p>
    <w:p>
      <w:pPr>
        <w:pStyle w:val="Heading1"/>
      </w:pPr>
      <w:r>
        <w:t>1 Quyết định sản phẩm</w:t>
      </w:r>
    </w:p>
    <w:p>
      <w:pPr>
        <w:pStyle w:val="ListBullet"/>
      </w:pPr>
      <w:r>
        <w:t>Gói OneQR hiện tại bao gồm quảng cáo bắt buộc. Khi kích hoạt và đồng ý điều khoản, doanh nghiệp tự tham gia chương trình thu nhập; không cần nút bật kiếm tiền riêng.</w:t>
      </w:r>
    </w:p>
    <w:p>
      <w:pPr>
        <w:pStyle w:val="ListBullet"/>
      </w:pPr>
      <w:r>
        <w:t>Quảng cáo có thể xuất hiện trong Deal Nearby, Search Deals và Khám phá. Thông báo vị trí và gắn nhãn nội dung tài trợ. Gói trả phí tương lai có thể cho phép tắt quảng cáo; hiện tại chưa triển khai hoặc cam kết tính năng đó.</w:t>
      </w:r>
    </w:p>
    <w:p>
      <w:pPr>
        <w:pStyle w:val="ListBullet"/>
      </w:pPr>
      <w:r>
        <w:t>Chặn doanh nghiệp bên thứ ba cùng ngành trong các phiên bắt đầu từ OneQR của doanh nghiệp, kể cả quảng cáo trả phí.</w:t>
      </w:r>
    </w:p>
    <w:p>
      <w:pPr>
        <w:pStyle w:val="ListBullet"/>
      </w:pPr>
      <w:r>
        <w:t>100 ONEQR Points = 1 credit = $1 giá trị quy đổi hoặc sử dụng. Chuyển tối thiểu 1.000 điểm đã duyệt ($10). Yêu cầu rút tối thiểu 10.000 điểm đã duyệt chưa sử dụng ($100).</w:t>
      </w:r>
    </w:p>
    <w:p>
      <w:pPr>
        <w:pStyle w:val="Heading1"/>
      </w:pPr>
      <w:r>
        <w:t>2 Kích hoạt và chọn ngành</w:t>
      </w:r>
    </w:p>
    <w:p>
      <w:pPr>
        <w:pStyle w:val="ListBullet"/>
      </w:pPr>
      <w:r>
        <w:t>Thu thập ngành chính và cho chọn nhiều ngành phụ liên quan. Xây dựng danh mục có thể mở rộng và quản trị, có tên tiếng Anh và tiếng Việt; bao gồm làm đẹp, ăn uống, y tế, dịch vụ nhà cửa, xe cộ, bán lẻ, dịch vụ chuyên môn, du lịch, sự kiện, giáo dục, gia đình và thú cưng. Có lựa chọn Khác kèm mô tả và xét phân loại.</w:t>
      </w:r>
    </w:p>
    <w:p>
      <w:pPr>
        <w:pStyle w:val="ListBullet"/>
      </w:pPr>
      <w:r>
        <w:t>Trước khi kích hoạt, hiển thị điều khoản và ô đồng ý chưa tích sẵn, nêu rõ vị trí quảng cáo và tự tham gia thu nhập. Bắt buộc người dùng chủ động tích; nếu không đồng ý thì không kích hoạt theo gói hiện tại.</w:t>
      </w:r>
    </w:p>
    <w:p>
      <w:pPr>
        <w:pStyle w:val="ListBullet"/>
      </w:pPr>
      <w:r>
        <w:t>Lưu mã doanh nghiệp, tài khoản có thẩm quyền, thời điểm đồng ý, phiên bản điều khoản và ngành đã chọn. Dùng lại hồ sơ sẵn có; thay đổi ngành phải được xác nhận và lưu lịch sử.</w:t>
      </w:r>
    </w:p>
    <w:p>
      <w:pPr>
        <w:pStyle w:val="ListBullet"/>
      </w:pPr>
      <w:r>
        <w:t>Nếu thiếu ngành, ngành chờ duyệt hoặc không thể xác định quảng cáo có cạnh tranh hay không, tạm không hiển thị quảng cáo bên thứ ba chưa xác định an toàn. Có quy trình sửa và duyệt phân loại.</w:t>
      </w:r>
    </w:p>
    <w:p>
      <w:pPr>
        <w:pStyle w:val="Heading1"/>
      </w:pPr>
      <w:r>
        <w:t>3 Lọc đối thủ và phân phối quảng cáo</w:t>
      </w:r>
    </w:p>
    <w:p>
      <w:pPr>
        <w:pStyle w:val="ListBullet"/>
      </w:pPr>
      <w:r>
        <w:t>Xác định doanh nghiệp chủ QR cùng ngành chính và ngành phụ đã xác nhận từ phiên OneQR. So sánh từng doanh nghiệp quảng cáo với phân loại áp dụng trước khi chọn nội dung bên thứ ba.</w:t>
      </w:r>
    </w:p>
    <w:p>
      <w:pPr>
        <w:pStyle w:val="ListBullet"/>
      </w:pPr>
      <w:r>
        <w:t>Loại doanh nghiệp cùng ngành khỏi Deal Nearby, Search Deals và Khám phá trong phiên đó. Quảng cáo trả tiền không được vượt bộ lọc. Quản trị mối liên hệ giữa các ngành và ghi lịch sử quyết định lọc.</w:t>
      </w:r>
    </w:p>
    <w:p>
      <w:pPr>
        <w:pStyle w:val="ListBullet"/>
      </w:pPr>
      <w:r>
        <w:t>Không thay đổi danh mục làm sai phân loại mà không kiểm tra. Hiển thị trạng thái ngành cho chủ tiệm, có kênh báo lỗi và giữ thông tin nguồn QR khi khách chuyển giữa các màn hình khám phá.</w:t>
      </w:r>
    </w:p>
    <w:p>
      <w:pPr>
        <w:pStyle w:val="Heading1"/>
      </w:pPr>
      <w:r>
        <w:t>4 Thu nhập và quy đổi</w:t>
      </w:r>
    </w:p>
    <w:p>
      <w:pPr>
        <w:pStyle w:val="ListBullet"/>
      </w:pPr>
      <w:r>
        <w:t>Chỉ hành động hợp lệ theo điều kiện chiến dịch mới tạo điểm. Quét QR, mở danh sách hoặc lượt hiển thị không tự động tạo điểm.</w:t>
      </w:r>
    </w:p>
    <w:p>
      <w:pPr>
        <w:pStyle w:val="ListBullet"/>
      </w:pPr>
      <w:r>
        <w:t>Điểm ONEQR là số nguyên; 100 điểm tương ứng $1. Hiển thị số điểm và giá trị tương ứng.</w:t>
      </w:r>
    </w:p>
    <w:p>
      <w:pPr>
        <w:pStyle w:val="ListBullet"/>
      </w:pPr>
      <w:r>
        <w:t>Quản lý trạng thái chờ duyệt, đã duyệt, đang giữ, đã sử dụng hoặc thanh toán, và điều chỉnh hoặc đảo. Chỉ điểm đã duyệt và còn khả dụng được dùng.</w:t>
      </w:r>
    </w:p>
    <w:p>
      <w:pPr>
        <w:pStyle w:val="ListBullet"/>
      </w:pPr>
      <w:r>
        <w:t>Chuẩn bị nguồn điểm referral riêng để cấu hình về sau. Chưa tự cộng hoặc cho rút điểm referral cho đến khi chương trình và quyền sử dụng được xác định và phê duyệt.</w:t>
      </w:r>
    </w:p>
    <w:p>
      <w:pPr>
        <w:pStyle w:val="ListBullet"/>
      </w:pPr>
      <w:r>
        <w:t>Lưu sổ giao dịch có thể kiểm toán: nguồn chương trình, mã sự kiện, doanh nghiệp, thời gian, phiên bản tỷ lệ hoặc chính sách, số điểm, trạng thái và lý do điều chỉnh. Chống ghi trùng và cung cấp lý do cùng kênh khiếu nại.</w:t>
      </w:r>
    </w:p>
    <w:p>
      <w:pPr>
        <w:pStyle w:val="Heading1"/>
      </w:pPr>
      <w:r>
        <w:t>5 Hai số dư ví</w:t>
      </w:r>
    </w:p>
    <w:p>
      <w:pPr>
        <w:pStyle w:val="ListBullet"/>
      </w:pPr>
      <w:r>
        <w:t>Ví thu nhập: chỉ nhận điểm doanh nghiệp tự kiếm từ quảng cáo hợp lệ và các nguồn khác được bật theo chính sách riêng. Điểm đã duyệt còn khả dụng có thể chuyển, đổi credit hoặc yêu cầu rút theo điều kiện.</w:t>
      </w:r>
    </w:p>
    <w:p>
      <w:pPr>
        <w:pStyle w:val="ListBullet"/>
      </w:pPr>
      <w:r>
        <w:t>Ví sử dụng: ghi riêng credit nhận từ người khác, credit đổi từ điểm của chính mình và credit đã nạp. Credit nhận từ người khác chỉ để sử dụng, không rút tiền và không chuyển tiếp trong giai đoạn đầu. Không nhập vào ví thu nhập hoặc số dư đủ điều kiện rút.</w:t>
      </w:r>
    </w:p>
    <w:p>
      <w:pPr>
        <w:pStyle w:val="ListBullet"/>
      </w:pPr>
      <w:r>
        <w:t>Đổi 100 điểm đã duyệt thành 1 credit, trừ điểm và cộng credit cùng một giao dịch. Điểm đã đổi không còn được rút. Cần xác định chính sách hoàn hoặc đổi ngược và sản phẩm áp dụng trước khi mở các thao tác đó.</w:t>
      </w:r>
    </w:p>
    <w:p>
      <w:pPr>
        <w:pStyle w:val="Heading1"/>
      </w:pPr>
      <w:r>
        <w:t>6 Luồng chuyển điểm</w:t>
      </w:r>
    </w:p>
    <w:p>
      <w:pPr>
        <w:pStyle w:val="ListBullet"/>
      </w:pPr>
      <w:r>
        <w:t>Người gửi chọn tài khoản đủ điều kiện, nhập ít nhất 1.000 điểm nguyên đã duyệt còn khả dụng và kiểm tra danh tính người nhận cùng số credit tương ứng trước khi xác nhận.</w:t>
      </w:r>
    </w:p>
    <w:p>
      <w:pPr>
        <w:pStyle w:val="ListBullet"/>
      </w:pPr>
      <w:r>
        <w:t>Khi thành công, đồng thời trừ ví thu nhập người gửi và cộng ví sử dụng người nhận theo tỷ lệ 100 điểm = 1 credit. Lưu người gửi, người nhận, số lượng, nguồn, thời gian, trạng thái và khóa chống xử lý trùng.</w:t>
      </w:r>
    </w:p>
    <w:p>
      <w:pPr>
        <w:pStyle w:val="ListBullet"/>
      </w:pPr>
      <w:r>
        <w:t>Từ chối số dư không đủ, dưới ngưỡng, người nhận không hợp lệ hoặc yêu cầu trùng. Không cộng vào ví thu nhập người nhận; không cho rút hoặc chuyển tiếp giá trị đã nhận.</w:t>
      </w:r>
    </w:p>
    <w:p>
      <w:pPr>
        <w:pStyle w:val="ListBullet"/>
      </w:pPr>
      <w:r>
        <w:t>Trước khi phát hành phải xác định cách xử lý chuyển nhầm, tranh chấp và đảo giao dịch; không tự động trừ tiền không liên quan. Hiển thị trạng thái và lỗi rõ ràng.</w:t>
      </w:r>
    </w:p>
    <w:p>
      <w:pPr>
        <w:pStyle w:val="Heading1"/>
      </w:pPr>
      <w:r>
        <w:t>7 Luồng yêu cầu rút tiền</w:t>
      </w:r>
    </w:p>
    <w:p>
      <w:pPr>
        <w:pStyle w:val="ListBullet"/>
      </w:pPr>
      <w:r>
        <w:t>Chỉ cho yêu cầu rút khi có từ 10.000 điểm đã duyệt, chưa dùng và còn khả dụng ($100). Credit nhận trong ví sử dụng không tính vào ngưỡng.</w:t>
      </w:r>
    </w:p>
    <w:p>
      <w:pPr>
        <w:pStyle w:val="ListBullet"/>
      </w:pPr>
      <w:r>
        <w:t>Khi yêu cầu rút, thu hoặc dùng lại thông tin người nhận, mã số thuế và mẫu thuế phù hợp, thông tin xác minh và phương thức nhận tiền theo yêu cầu. Thời điểm và dữ liệu thực tế phụ thuộc đối tác thanh toán và quy định áp dụng.</w:t>
      </w:r>
    </w:p>
    <w:p>
      <w:pPr>
        <w:pStyle w:val="ListBullet"/>
      </w:pPr>
      <w:r>
        <w:t>Hiển thị điểm bị trừ, tỷ lệ quy đổi, phí đã được duyệt nếu có, số tiền nhận và trạng thái. Giữ điểm khi yêu cầu hợp lệ được chấp nhận để tránh dùng hai lần; hoàn tất hoặc giải phóng theo chính sách xử lý lỗi và đảo giao dịch.</w:t>
      </w:r>
    </w:p>
    <w:p>
      <w:pPr>
        <w:pStyle w:val="ListBullet"/>
      </w:pPr>
      <w:r>
        <w:t>Chỉ hiển thị thanh toán thành công khi nhà cung cấp xác nhận. Lưu mã payout, trạng thái đối tác và lịch sử kiểm toán. Bảo vệ và giới hạn quyền truy cập dữ liệu thuế và danh tính.</w:t>
      </w:r>
    </w:p>
    <w:p>
      <w:pPr>
        <w:pStyle w:val="Heading1"/>
      </w:pPr>
      <w:r>
        <w:t>8 Ngôn ngữ và giao diện</w:t>
      </w:r>
    </w:p>
    <w:p>
      <w:pPr>
        <w:pStyle w:val="ListBullet"/>
      </w:pPr>
      <w:r>
        <w:t>Cung cấp đầy đủ nội dung tiếng Anh và tiếng Việt được kiểm tra cho kích hoạt, điều khoản, ví, chuyển, rút, lỗi và thay đổi chính sách.</w:t>
      </w:r>
    </w:p>
    <w:p>
      <w:pPr>
        <w:pStyle w:val="ListBullet"/>
      </w:pPr>
      <w:r>
        <w:t>Các ngôn ngữ khác có thể dùng Google Dịch tùy chọn, ghi rõ là dịch tự động và có phương án dự phòng khi dịch vụ không hoạt động. Xác định ngôn ngữ có giá trị áp dụng trong điều khoản cuối cùng.</w:t>
      </w:r>
    </w:p>
    <w:p>
      <w:pPr>
        <w:pStyle w:val="Heading1"/>
      </w:pPr>
      <w:r>
        <w:t>9 Nội dung điều khoản cho khách</w:t>
      </w:r>
    </w:p>
    <w:p>
      <w:pPr>
        <w:pStyle w:val="ListBullet"/>
      </w:pPr>
      <w:r>
        <w:t>Khi kích hoạt, hiển thị điều khoản về các vị trí quảng cáo bắt buộc; sự đồng ý và phiên bản; bảo vệ đối thủ và phân loại ngành; điều kiện nhận và duyệt điểm; tỷ lệ 100 điểm = $1; ngưỡng chuyển; giới hạn ví sử dụng; ngưỡng rút và xác minh; điều chỉnh, khiếu nại, đóng tài khoản, thay đổi và xử lý số dư.</w:t>
      </w:r>
    </w:p>
    <w:p>
      <w:pPr>
        <w:pStyle w:val="ListBullet"/>
      </w:pPr>
      <w:r>
        <w:t>Cung cấp điều khoản tiếng Anh và tiếng Việt. Quyết định sản phẩm đã được chốt; hoàn thiện câu chữ vận hành và pháp lý trước phát hành, không trình bày các quy tắc sản phẩm như chưa quyết định.</w:t>
      </w:r>
    </w:p>
    <w:p>
      <w:pPr>
        <w:pStyle w:val="Heading1"/>
      </w:pPr>
      <w:r>
        <w:t>10 Tiêu chí nghiệm thu</w:t>
      </w:r>
    </w:p>
    <w:p>
      <w:pPr>
        <w:pStyle w:val="ListBullet"/>
      </w:pPr>
      <w:r>
        <w:t>Không thể kích hoạt gói OneQR hiện tại nếu thiếu ngành chính hoặc chưa chủ động đồng ý; hệ thống lưu phiên bản điều khoản và người đồng ý.</w:t>
      </w:r>
    </w:p>
    <w:p>
      <w:pPr>
        <w:pStyle w:val="ListBullet"/>
      </w:pPr>
      <w:r>
        <w:t>Quảng cáo trả phí của doanh nghiệp cùng ngành không xuất hiện trong Deal Nearby, Search Deals hoặc Khám phá của phiên OneQR chủ tiệm. Các trường hợp không phân loại được phải tạm chặn.</w:t>
      </w:r>
    </w:p>
    <w:p>
      <w:pPr>
        <w:pStyle w:val="ListBullet"/>
      </w:pPr>
      <w:r>
        <w:t>Sự kiện quảng cáo hợp lệ được ghi chờ duyệt một lần và cộng theo chính sách đã cấu hình. Quét mã hoặc mở danh sách không tạo điểm.</w:t>
      </w:r>
    </w:p>
    <w:p>
      <w:pPr>
        <w:pStyle w:val="ListBullet"/>
      </w:pPr>
      <w:r>
        <w:t>Chuyển 1.000 điểm đã duyệt trừ 1.000 điểm của người gửi và cộng 10 credit vào ví sử dụng người nhận; 999 điểm bị từ chối. Credit nhận không vào số dư được rút.</w:t>
      </w:r>
    </w:p>
    <w:p>
      <w:pPr>
        <w:pStyle w:val="ListBullet"/>
      </w:pPr>
      <w:r>
        <w:t>Đổi 1.000 điểm nhận 10 credit và giảm 1.000 điểm khả dụng. Các thao tác trùng hoặc đồng thời không được sử dụng cùng điểm hai lần.</w:t>
      </w:r>
    </w:p>
    <w:p>
      <w:pPr>
        <w:pStyle w:val="ListBullet"/>
      </w:pPr>
      <w:r>
        <w:t>Dưới 10.000 điểm đã duyệt còn khả dụng thì không được yêu cầu rút. Từ 10.000 điểm có thể bắt đầu hoàn tất thông tin nhận tiền; chỉ giữ điểm sau khi yêu cầu hợp lệ được chấp nhận.</w:t>
      </w:r>
    </w:p>
    <w:p>
      <w:pPr>
        <w:pStyle w:val="ListBullet"/>
      </w:pPr>
      <w:r>
        <w:t>Giao diện tiếng Anh và tiếng Việt có cùng quy tắc. Nếu dịch tự động không hoạt động, hai ngôn ngữ chính vẫn sử dụng được.</w:t>
      </w:r>
    </w:p>
    <w:p>
      <w:pPr>
        <w:pStyle w:val="Heading1"/>
      </w:pPr>
      <w:r>
        <w:t>11 Thông số cần cấu hình và điều kiện phát hành</w:t>
      </w:r>
    </w:p>
    <w:p>
      <w:pPr>
        <w:pStyle w:val="ListBullet"/>
      </w:pPr>
      <w:r>
        <w:t>Các quy tắc sản phẩm trên là yêu cầu triển khai đã chốt. Các chi tiết chưa được cung cấp gồm mức điểm và điều kiện của từng sự kiện quảng cáo, mức thưởng và điều kiện referral, lịch đối soát, đối tác và phương thức payout, phí, giới hạn chuyển ngoài mức tối thiểu, sản phẩm được dùng, xử lý ngoại lệ và câu chữ điều khoản cuối cùng.</w:t>
      </w:r>
    </w:p>
    <w:p>
      <w:pPr>
        <w:pStyle w:val="ListBullet"/>
      </w:pPr>
      <w:r>
        <w:t>Để các thông số này có thể cấu hình hoặc chưa bật đến khi được cung cấp; không tự đặt số. Xác nhận mô hình chuyển và rút, thời điểm thu thông tin thuế cùng yêu cầu của đối tác trước khi đưa vào vận hành.</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NEXORA TOUCH  |  OneQR developer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