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A6C7A" w14:textId="77777777" w:rsidR="008F6A45" w:rsidRPr="00A35F61" w:rsidRDefault="00000000">
      <w:pPr>
        <w:jc w:val="center"/>
        <w:rPr>
          <w:b/>
          <w:sz w:val="28"/>
          <w:szCs w:val="28"/>
        </w:rPr>
      </w:pPr>
      <w:r w:rsidRPr="00A35F61">
        <w:rPr>
          <w:b/>
          <w:sz w:val="28"/>
          <w:szCs w:val="28"/>
        </w:rPr>
        <w:t>TrackWise Solutions</w:t>
      </w:r>
    </w:p>
    <w:p w14:paraId="35906EA5" w14:textId="77777777" w:rsidR="008F6A45" w:rsidRDefault="008F6A45">
      <w:pPr>
        <w:rPr>
          <w:sz w:val="24"/>
          <w:szCs w:val="24"/>
          <w:highlight w:val="white"/>
        </w:rPr>
      </w:pPr>
    </w:p>
    <w:p w14:paraId="00F1801E" w14:textId="77777777" w:rsidR="008F6A45" w:rsidRDefault="008F6A45">
      <w:pPr>
        <w:rPr>
          <w:sz w:val="24"/>
          <w:szCs w:val="24"/>
          <w:highlight w:val="white"/>
        </w:rPr>
      </w:pPr>
    </w:p>
    <w:p w14:paraId="4BCCC003" w14:textId="77777777" w:rsidR="008F6A45" w:rsidRDefault="00000000">
      <w:pPr>
        <w:jc w:val="both"/>
        <w:rPr>
          <w:b/>
          <w:sz w:val="24"/>
          <w:szCs w:val="24"/>
          <w:highlight w:val="white"/>
          <w:u w:val="single"/>
        </w:rPr>
      </w:pPr>
      <w:r>
        <w:rPr>
          <w:b/>
          <w:sz w:val="24"/>
          <w:szCs w:val="24"/>
          <w:highlight w:val="white"/>
          <w:u w:val="single"/>
        </w:rPr>
        <w:t>DATA PROCESSING</w:t>
      </w:r>
    </w:p>
    <w:p w14:paraId="08EF0704" w14:textId="77777777" w:rsidR="008F6A45" w:rsidRDefault="00000000">
      <w:pPr>
        <w:pStyle w:val="Heading3"/>
        <w:keepNext w:val="0"/>
        <w:keepLines w:val="0"/>
        <w:spacing w:before="280"/>
        <w:jc w:val="both"/>
        <w:rPr>
          <w:color w:val="000000"/>
          <w:sz w:val="24"/>
          <w:szCs w:val="24"/>
          <w:highlight w:val="white"/>
        </w:rPr>
      </w:pPr>
      <w:bookmarkStart w:id="0" w:name="_hnyzznokalnd" w:colFirst="0" w:colLast="0"/>
      <w:bookmarkEnd w:id="0"/>
      <w:r>
        <w:rPr>
          <w:color w:val="000000"/>
          <w:sz w:val="24"/>
          <w:szCs w:val="24"/>
          <w:highlight w:val="white"/>
        </w:rPr>
        <w:t>1. Data Sources</w:t>
      </w:r>
    </w:p>
    <w:p w14:paraId="54ECCDD0" w14:textId="77777777" w:rsidR="008F6A45" w:rsidRDefault="00000000">
      <w:pPr>
        <w:numPr>
          <w:ilvl w:val="0"/>
          <w:numId w:val="16"/>
        </w:numPr>
        <w:rPr>
          <w:sz w:val="24"/>
          <w:szCs w:val="24"/>
          <w:highlight w:val="white"/>
        </w:rPr>
      </w:pPr>
      <w:r>
        <w:rPr>
          <w:sz w:val="24"/>
          <w:szCs w:val="24"/>
          <w:highlight w:val="white"/>
        </w:rPr>
        <w:t xml:space="preserve">State factsheets for 2021, 2022, 2023 for State, Station, Guest rewards, Ridership, OTP, Route, and Employment data - </w:t>
      </w:r>
      <w:hyperlink r:id="rId5">
        <w:r w:rsidR="008F6A45">
          <w:rPr>
            <w:sz w:val="24"/>
            <w:szCs w:val="24"/>
            <w:highlight w:val="white"/>
            <w:u w:val="single"/>
          </w:rPr>
          <w:t>https://www.amtrak.com/about-amtrak/amtrak-facts/state-fact-sheets.html</w:t>
        </w:r>
      </w:hyperlink>
    </w:p>
    <w:p w14:paraId="1BA08898" w14:textId="77777777" w:rsidR="008F6A45" w:rsidRDefault="00000000">
      <w:pPr>
        <w:numPr>
          <w:ilvl w:val="0"/>
          <w:numId w:val="16"/>
        </w:numPr>
        <w:rPr>
          <w:sz w:val="24"/>
          <w:szCs w:val="24"/>
          <w:highlight w:val="white"/>
        </w:rPr>
      </w:pPr>
      <w:r>
        <w:rPr>
          <w:sz w:val="24"/>
          <w:szCs w:val="24"/>
          <w:highlight w:val="white"/>
        </w:rPr>
        <w:t xml:space="preserve">Respective route pages for stations that the route connects - </w:t>
      </w:r>
      <w:hyperlink r:id="rId6">
        <w:r w:rsidR="008F6A45">
          <w:rPr>
            <w:sz w:val="24"/>
            <w:szCs w:val="24"/>
            <w:highlight w:val="white"/>
            <w:u w:val="single"/>
          </w:rPr>
          <w:t>https://www.amtrak.com/acela-train</w:t>
        </w:r>
      </w:hyperlink>
    </w:p>
    <w:p w14:paraId="78A4F580" w14:textId="77777777" w:rsidR="008F6A45" w:rsidRDefault="008F6A45">
      <w:pPr>
        <w:ind w:left="720"/>
        <w:rPr>
          <w:sz w:val="24"/>
          <w:szCs w:val="24"/>
          <w:highlight w:val="white"/>
        </w:rPr>
      </w:pPr>
      <w:hyperlink r:id="rId7">
        <w:r>
          <w:rPr>
            <w:sz w:val="24"/>
            <w:szCs w:val="24"/>
            <w:highlight w:val="white"/>
            <w:u w:val="single"/>
          </w:rPr>
          <w:t>https://amtrakguide.com/routes/</w:t>
        </w:r>
      </w:hyperlink>
    </w:p>
    <w:p w14:paraId="6B6B17DF" w14:textId="77777777" w:rsidR="008F6A45" w:rsidRDefault="008F6A45">
      <w:pPr>
        <w:ind w:left="720"/>
        <w:rPr>
          <w:sz w:val="24"/>
          <w:szCs w:val="24"/>
          <w:highlight w:val="white"/>
        </w:rPr>
      </w:pPr>
    </w:p>
    <w:p w14:paraId="067FC744" w14:textId="77777777" w:rsidR="008F6A45" w:rsidRDefault="00000000">
      <w:pPr>
        <w:jc w:val="both"/>
        <w:rPr>
          <w:sz w:val="24"/>
          <w:szCs w:val="24"/>
          <w:highlight w:val="white"/>
        </w:rPr>
      </w:pPr>
      <w:r>
        <w:rPr>
          <w:sz w:val="24"/>
          <w:szCs w:val="24"/>
          <w:highlight w:val="white"/>
        </w:rPr>
        <w:t>2. Data Cleaning and Transformation</w:t>
      </w:r>
    </w:p>
    <w:p w14:paraId="6F0C3BEA" w14:textId="77777777" w:rsidR="008F6A45" w:rsidRDefault="00000000">
      <w:pPr>
        <w:numPr>
          <w:ilvl w:val="0"/>
          <w:numId w:val="18"/>
        </w:numPr>
        <w:jc w:val="both"/>
        <w:rPr>
          <w:sz w:val="24"/>
          <w:szCs w:val="24"/>
          <w:highlight w:val="white"/>
        </w:rPr>
      </w:pPr>
      <w:r>
        <w:rPr>
          <w:sz w:val="24"/>
          <w:szCs w:val="24"/>
          <w:highlight w:val="white"/>
        </w:rPr>
        <w:t>Based on the ERD the data was split into the respective tables.</w:t>
      </w:r>
    </w:p>
    <w:p w14:paraId="43637366" w14:textId="77777777" w:rsidR="008F6A45" w:rsidRDefault="00000000">
      <w:pPr>
        <w:numPr>
          <w:ilvl w:val="0"/>
          <w:numId w:val="18"/>
        </w:numPr>
        <w:jc w:val="both"/>
        <w:rPr>
          <w:sz w:val="24"/>
          <w:szCs w:val="24"/>
          <w:highlight w:val="white"/>
        </w:rPr>
      </w:pPr>
      <w:r>
        <w:rPr>
          <w:sz w:val="24"/>
          <w:szCs w:val="24"/>
        </w:rPr>
        <w:t>ID Creation for having fixed length primary key</w:t>
      </w:r>
    </w:p>
    <w:p w14:paraId="594EDF67" w14:textId="77777777" w:rsidR="008F6A45" w:rsidRDefault="00000000">
      <w:pPr>
        <w:numPr>
          <w:ilvl w:val="1"/>
          <w:numId w:val="18"/>
        </w:numPr>
        <w:jc w:val="both"/>
        <w:rPr>
          <w:sz w:val="24"/>
          <w:szCs w:val="24"/>
          <w:highlight w:val="white"/>
        </w:rPr>
      </w:pPr>
      <w:r>
        <w:rPr>
          <w:sz w:val="24"/>
          <w:szCs w:val="24"/>
        </w:rPr>
        <w:t>StateCode: A two-letter code was assigned to each state to have a fixed-length primary key for the state table. This code is similar to the state postal abbreviation used for Addresses in the US</w:t>
      </w:r>
    </w:p>
    <w:p w14:paraId="41DD59F8" w14:textId="77777777" w:rsidR="008F6A45" w:rsidRDefault="00000000">
      <w:pPr>
        <w:numPr>
          <w:ilvl w:val="1"/>
          <w:numId w:val="18"/>
        </w:numPr>
        <w:jc w:val="both"/>
        <w:rPr>
          <w:sz w:val="24"/>
          <w:szCs w:val="24"/>
        </w:rPr>
      </w:pPr>
      <w:r>
        <w:rPr>
          <w:sz w:val="24"/>
          <w:szCs w:val="24"/>
        </w:rPr>
        <w:t>StationCode: The station code mentioned on the Amtrak state factsheets was kept to maintain consistency.</w:t>
      </w:r>
    </w:p>
    <w:p w14:paraId="63D159FB" w14:textId="77777777" w:rsidR="008F6A45" w:rsidRDefault="00000000">
      <w:pPr>
        <w:numPr>
          <w:ilvl w:val="1"/>
          <w:numId w:val="18"/>
        </w:numPr>
        <w:jc w:val="both"/>
        <w:rPr>
          <w:sz w:val="24"/>
          <w:szCs w:val="24"/>
        </w:rPr>
      </w:pPr>
      <w:r>
        <w:rPr>
          <w:sz w:val="24"/>
          <w:szCs w:val="24"/>
        </w:rPr>
        <w:t>RouteID: A four-letter code was used for each route to create a fixed-length identifier</w:t>
      </w:r>
    </w:p>
    <w:p w14:paraId="7175D8AF" w14:textId="77777777" w:rsidR="008F6A45" w:rsidRDefault="00000000">
      <w:pPr>
        <w:numPr>
          <w:ilvl w:val="0"/>
          <w:numId w:val="18"/>
        </w:numPr>
        <w:jc w:val="both"/>
        <w:rPr>
          <w:sz w:val="24"/>
          <w:szCs w:val="24"/>
          <w:highlight w:val="white"/>
        </w:rPr>
      </w:pPr>
      <w:r>
        <w:rPr>
          <w:sz w:val="24"/>
          <w:szCs w:val="24"/>
        </w:rPr>
        <w:t>To maintain the database's flexibility for future data additions, the records for each year were stored as separate rows in the relevant tables, such as Rewards, Employment, and OTP. This structure allows for straightforward integration of new data without altering the database schema.</w:t>
      </w:r>
    </w:p>
    <w:p w14:paraId="51069DFF" w14:textId="77777777" w:rsidR="008F6A45" w:rsidRDefault="00000000">
      <w:pPr>
        <w:numPr>
          <w:ilvl w:val="1"/>
          <w:numId w:val="18"/>
        </w:numPr>
        <w:jc w:val="both"/>
        <w:rPr>
          <w:sz w:val="24"/>
          <w:szCs w:val="24"/>
          <w:highlight w:val="white"/>
        </w:rPr>
      </w:pPr>
      <w:r>
        <w:rPr>
          <w:sz w:val="24"/>
          <w:szCs w:val="24"/>
        </w:rPr>
        <w:t>Example: The Rewards table was designed to store yearly data with each year's information represented as a separate row. When new data for the next year is added, new rows can just be added to the table without any change in the design itself.</w:t>
      </w:r>
    </w:p>
    <w:p w14:paraId="05E81330" w14:textId="77777777" w:rsidR="008F6A45" w:rsidRDefault="008F6A45">
      <w:pPr>
        <w:widowControl w:val="0"/>
        <w:spacing w:line="240" w:lineRule="auto"/>
        <w:rPr>
          <w:sz w:val="24"/>
          <w:szCs w:val="24"/>
        </w:rPr>
      </w:pPr>
    </w:p>
    <w:tbl>
      <w:tblPr>
        <w:tblStyle w:val="a"/>
        <w:tblW w:w="5055" w:type="dxa"/>
        <w:tblInd w:w="1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635"/>
        <w:gridCol w:w="2100"/>
      </w:tblGrid>
      <w:tr w:rsidR="008F6A45" w14:paraId="048A864F" w14:textId="77777777" w:rsidTr="004E339C">
        <w:trPr>
          <w:trHeight w:val="415"/>
        </w:trPr>
        <w:tc>
          <w:tcPr>
            <w:tcW w:w="1320" w:type="dxa"/>
            <w:tcMar>
              <w:top w:w="20" w:type="dxa"/>
              <w:left w:w="20" w:type="dxa"/>
              <w:right w:w="20" w:type="dxa"/>
            </w:tcMar>
            <w:vAlign w:val="bottom"/>
          </w:tcPr>
          <w:p w14:paraId="3334B9DB" w14:textId="77777777" w:rsidR="008F6A45" w:rsidRDefault="00000000" w:rsidP="004E339C">
            <w:pPr>
              <w:widowControl w:val="0"/>
              <w:spacing w:line="240" w:lineRule="auto"/>
              <w:jc w:val="center"/>
              <w:rPr>
                <w:sz w:val="24"/>
                <w:szCs w:val="24"/>
              </w:rPr>
            </w:pPr>
            <w:r>
              <w:rPr>
                <w:b/>
                <w:sz w:val="24"/>
                <w:szCs w:val="24"/>
              </w:rPr>
              <w:t>stateCode</w:t>
            </w:r>
          </w:p>
        </w:tc>
        <w:tc>
          <w:tcPr>
            <w:tcW w:w="1635" w:type="dxa"/>
            <w:tcMar>
              <w:top w:w="20" w:type="dxa"/>
              <w:left w:w="20" w:type="dxa"/>
              <w:right w:w="20" w:type="dxa"/>
            </w:tcMar>
            <w:vAlign w:val="bottom"/>
          </w:tcPr>
          <w:p w14:paraId="08CAE0DA" w14:textId="77777777" w:rsidR="008F6A45" w:rsidRDefault="00000000" w:rsidP="004E339C">
            <w:pPr>
              <w:widowControl w:val="0"/>
              <w:spacing w:line="240" w:lineRule="auto"/>
              <w:jc w:val="center"/>
              <w:rPr>
                <w:sz w:val="24"/>
                <w:szCs w:val="24"/>
              </w:rPr>
            </w:pPr>
            <w:r>
              <w:rPr>
                <w:b/>
                <w:sz w:val="24"/>
                <w:szCs w:val="24"/>
              </w:rPr>
              <w:t>rewardsYear</w:t>
            </w:r>
          </w:p>
        </w:tc>
        <w:tc>
          <w:tcPr>
            <w:tcW w:w="2100" w:type="dxa"/>
            <w:tcMar>
              <w:top w:w="20" w:type="dxa"/>
              <w:left w:w="20" w:type="dxa"/>
              <w:right w:w="20" w:type="dxa"/>
            </w:tcMar>
            <w:vAlign w:val="bottom"/>
          </w:tcPr>
          <w:p w14:paraId="6A20B9F3" w14:textId="77777777" w:rsidR="008F6A45" w:rsidRDefault="00000000" w:rsidP="004E339C">
            <w:pPr>
              <w:widowControl w:val="0"/>
              <w:spacing w:line="240" w:lineRule="auto"/>
              <w:jc w:val="center"/>
              <w:rPr>
                <w:sz w:val="24"/>
                <w:szCs w:val="24"/>
              </w:rPr>
            </w:pPr>
            <w:r>
              <w:rPr>
                <w:b/>
                <w:sz w:val="24"/>
                <w:szCs w:val="24"/>
              </w:rPr>
              <w:t>rewardMembers</w:t>
            </w:r>
          </w:p>
        </w:tc>
      </w:tr>
      <w:tr w:rsidR="008F6A45" w14:paraId="1D705323" w14:textId="77777777" w:rsidTr="004E339C">
        <w:trPr>
          <w:trHeight w:val="415"/>
        </w:trPr>
        <w:tc>
          <w:tcPr>
            <w:tcW w:w="1320" w:type="dxa"/>
            <w:tcMar>
              <w:top w:w="20" w:type="dxa"/>
              <w:left w:w="20" w:type="dxa"/>
              <w:right w:w="20" w:type="dxa"/>
            </w:tcMar>
            <w:vAlign w:val="bottom"/>
          </w:tcPr>
          <w:p w14:paraId="514F2ECF" w14:textId="77777777" w:rsidR="008F6A45" w:rsidRDefault="00000000" w:rsidP="004E339C">
            <w:pPr>
              <w:widowControl w:val="0"/>
              <w:spacing w:line="240" w:lineRule="auto"/>
              <w:jc w:val="center"/>
              <w:rPr>
                <w:sz w:val="24"/>
                <w:szCs w:val="24"/>
              </w:rPr>
            </w:pPr>
            <w:r>
              <w:rPr>
                <w:sz w:val="24"/>
                <w:szCs w:val="24"/>
              </w:rPr>
              <w:t>AL</w:t>
            </w:r>
          </w:p>
        </w:tc>
        <w:tc>
          <w:tcPr>
            <w:tcW w:w="1635" w:type="dxa"/>
            <w:tcMar>
              <w:top w:w="20" w:type="dxa"/>
              <w:left w:w="20" w:type="dxa"/>
              <w:right w:w="20" w:type="dxa"/>
            </w:tcMar>
            <w:vAlign w:val="bottom"/>
          </w:tcPr>
          <w:p w14:paraId="65C3982F" w14:textId="77777777" w:rsidR="008F6A45" w:rsidRDefault="00000000" w:rsidP="004E339C">
            <w:pPr>
              <w:widowControl w:val="0"/>
              <w:spacing w:line="240" w:lineRule="auto"/>
              <w:jc w:val="center"/>
              <w:rPr>
                <w:sz w:val="24"/>
                <w:szCs w:val="24"/>
              </w:rPr>
            </w:pPr>
            <w:r>
              <w:rPr>
                <w:sz w:val="24"/>
                <w:szCs w:val="24"/>
              </w:rPr>
              <w:t>2021</w:t>
            </w:r>
          </w:p>
        </w:tc>
        <w:tc>
          <w:tcPr>
            <w:tcW w:w="2100" w:type="dxa"/>
            <w:tcMar>
              <w:top w:w="20" w:type="dxa"/>
              <w:left w:w="20" w:type="dxa"/>
              <w:right w:w="20" w:type="dxa"/>
            </w:tcMar>
            <w:vAlign w:val="bottom"/>
          </w:tcPr>
          <w:p w14:paraId="1BB22CE0" w14:textId="77777777" w:rsidR="008F6A45" w:rsidRDefault="00000000" w:rsidP="004E339C">
            <w:pPr>
              <w:widowControl w:val="0"/>
              <w:spacing w:line="240" w:lineRule="auto"/>
              <w:jc w:val="center"/>
              <w:rPr>
                <w:sz w:val="24"/>
                <w:szCs w:val="24"/>
              </w:rPr>
            </w:pPr>
            <w:r>
              <w:rPr>
                <w:sz w:val="24"/>
                <w:szCs w:val="24"/>
              </w:rPr>
              <w:t>36,069</w:t>
            </w:r>
          </w:p>
        </w:tc>
      </w:tr>
      <w:tr w:rsidR="008F6A45" w14:paraId="1CA11C95" w14:textId="77777777" w:rsidTr="004E339C">
        <w:trPr>
          <w:trHeight w:val="415"/>
        </w:trPr>
        <w:tc>
          <w:tcPr>
            <w:tcW w:w="1320" w:type="dxa"/>
            <w:tcMar>
              <w:top w:w="20" w:type="dxa"/>
              <w:left w:w="20" w:type="dxa"/>
              <w:right w:w="20" w:type="dxa"/>
            </w:tcMar>
            <w:vAlign w:val="bottom"/>
          </w:tcPr>
          <w:p w14:paraId="79321D4F" w14:textId="77777777" w:rsidR="008F6A45" w:rsidRDefault="00000000" w:rsidP="004E339C">
            <w:pPr>
              <w:widowControl w:val="0"/>
              <w:spacing w:line="240" w:lineRule="auto"/>
              <w:jc w:val="center"/>
              <w:rPr>
                <w:sz w:val="24"/>
                <w:szCs w:val="24"/>
              </w:rPr>
            </w:pPr>
            <w:r>
              <w:rPr>
                <w:sz w:val="24"/>
                <w:szCs w:val="24"/>
              </w:rPr>
              <w:t>AL</w:t>
            </w:r>
          </w:p>
        </w:tc>
        <w:tc>
          <w:tcPr>
            <w:tcW w:w="1635" w:type="dxa"/>
            <w:tcMar>
              <w:top w:w="20" w:type="dxa"/>
              <w:left w:w="20" w:type="dxa"/>
              <w:right w:w="20" w:type="dxa"/>
            </w:tcMar>
            <w:vAlign w:val="bottom"/>
          </w:tcPr>
          <w:p w14:paraId="129B575D" w14:textId="77777777" w:rsidR="008F6A45" w:rsidRDefault="00000000" w:rsidP="004E339C">
            <w:pPr>
              <w:widowControl w:val="0"/>
              <w:spacing w:line="240" w:lineRule="auto"/>
              <w:jc w:val="center"/>
              <w:rPr>
                <w:sz w:val="24"/>
                <w:szCs w:val="24"/>
              </w:rPr>
            </w:pPr>
            <w:r>
              <w:rPr>
                <w:sz w:val="24"/>
                <w:szCs w:val="24"/>
              </w:rPr>
              <w:t>2022</w:t>
            </w:r>
          </w:p>
        </w:tc>
        <w:tc>
          <w:tcPr>
            <w:tcW w:w="2100" w:type="dxa"/>
            <w:tcMar>
              <w:top w:w="20" w:type="dxa"/>
              <w:left w:w="20" w:type="dxa"/>
              <w:right w:w="20" w:type="dxa"/>
            </w:tcMar>
            <w:vAlign w:val="bottom"/>
          </w:tcPr>
          <w:p w14:paraId="6C734168" w14:textId="77777777" w:rsidR="008F6A45" w:rsidRDefault="00000000" w:rsidP="004E339C">
            <w:pPr>
              <w:widowControl w:val="0"/>
              <w:spacing w:line="240" w:lineRule="auto"/>
              <w:jc w:val="center"/>
              <w:rPr>
                <w:sz w:val="24"/>
                <w:szCs w:val="24"/>
              </w:rPr>
            </w:pPr>
            <w:r>
              <w:rPr>
                <w:sz w:val="24"/>
                <w:szCs w:val="24"/>
              </w:rPr>
              <w:t>50,452</w:t>
            </w:r>
          </w:p>
        </w:tc>
      </w:tr>
      <w:tr w:rsidR="008F6A45" w14:paraId="1B16C72E" w14:textId="77777777" w:rsidTr="004E339C">
        <w:trPr>
          <w:trHeight w:val="415"/>
        </w:trPr>
        <w:tc>
          <w:tcPr>
            <w:tcW w:w="1320" w:type="dxa"/>
            <w:tcMar>
              <w:top w:w="20" w:type="dxa"/>
              <w:left w:w="20" w:type="dxa"/>
              <w:right w:w="20" w:type="dxa"/>
            </w:tcMar>
            <w:vAlign w:val="bottom"/>
          </w:tcPr>
          <w:p w14:paraId="6BD245E3" w14:textId="77777777" w:rsidR="008F6A45" w:rsidRDefault="00000000" w:rsidP="004E339C">
            <w:pPr>
              <w:widowControl w:val="0"/>
              <w:spacing w:line="240" w:lineRule="auto"/>
              <w:jc w:val="center"/>
              <w:rPr>
                <w:sz w:val="24"/>
                <w:szCs w:val="24"/>
              </w:rPr>
            </w:pPr>
            <w:r>
              <w:rPr>
                <w:sz w:val="24"/>
                <w:szCs w:val="24"/>
              </w:rPr>
              <w:t>AL</w:t>
            </w:r>
          </w:p>
        </w:tc>
        <w:tc>
          <w:tcPr>
            <w:tcW w:w="1635" w:type="dxa"/>
            <w:tcMar>
              <w:top w:w="20" w:type="dxa"/>
              <w:left w:w="20" w:type="dxa"/>
              <w:right w:w="20" w:type="dxa"/>
            </w:tcMar>
            <w:vAlign w:val="bottom"/>
          </w:tcPr>
          <w:p w14:paraId="7CCFF36C" w14:textId="77777777" w:rsidR="008F6A45" w:rsidRDefault="00000000" w:rsidP="004E339C">
            <w:pPr>
              <w:widowControl w:val="0"/>
              <w:spacing w:line="240" w:lineRule="auto"/>
              <w:jc w:val="center"/>
              <w:rPr>
                <w:sz w:val="24"/>
                <w:szCs w:val="24"/>
              </w:rPr>
            </w:pPr>
            <w:r>
              <w:rPr>
                <w:sz w:val="24"/>
                <w:szCs w:val="24"/>
              </w:rPr>
              <w:t>2023</w:t>
            </w:r>
          </w:p>
        </w:tc>
        <w:tc>
          <w:tcPr>
            <w:tcW w:w="2100" w:type="dxa"/>
            <w:tcMar>
              <w:top w:w="20" w:type="dxa"/>
              <w:left w:w="20" w:type="dxa"/>
              <w:right w:w="20" w:type="dxa"/>
            </w:tcMar>
            <w:vAlign w:val="bottom"/>
          </w:tcPr>
          <w:p w14:paraId="50BA6DE5" w14:textId="77777777" w:rsidR="008F6A45" w:rsidRDefault="00000000" w:rsidP="004E339C">
            <w:pPr>
              <w:widowControl w:val="0"/>
              <w:spacing w:line="240" w:lineRule="auto"/>
              <w:jc w:val="center"/>
              <w:rPr>
                <w:sz w:val="24"/>
                <w:szCs w:val="24"/>
              </w:rPr>
            </w:pPr>
            <w:r>
              <w:rPr>
                <w:sz w:val="24"/>
                <w:szCs w:val="24"/>
              </w:rPr>
              <w:t>58,084</w:t>
            </w:r>
          </w:p>
        </w:tc>
      </w:tr>
    </w:tbl>
    <w:p w14:paraId="4EF1345D" w14:textId="77777777" w:rsidR="00A35F61" w:rsidRPr="00A35F61" w:rsidRDefault="00A35F61" w:rsidP="004E339C">
      <w:pPr>
        <w:jc w:val="both"/>
        <w:rPr>
          <w:sz w:val="24"/>
          <w:szCs w:val="24"/>
          <w:highlight w:val="white"/>
        </w:rPr>
      </w:pPr>
    </w:p>
    <w:p w14:paraId="39E23384" w14:textId="515898F8" w:rsidR="008F6A45" w:rsidRDefault="00000000">
      <w:pPr>
        <w:numPr>
          <w:ilvl w:val="0"/>
          <w:numId w:val="18"/>
        </w:numPr>
        <w:jc w:val="both"/>
        <w:rPr>
          <w:sz w:val="24"/>
          <w:szCs w:val="24"/>
          <w:highlight w:val="white"/>
        </w:rPr>
      </w:pPr>
      <w:r>
        <w:rPr>
          <w:sz w:val="24"/>
          <w:szCs w:val="24"/>
        </w:rPr>
        <w:lastRenderedPageBreak/>
        <w:t>The stationCity column was taken from the state factsheet (City(Code)) by removing the name of the station and keeping only the name of the city. This column was created so that we can group the city for the visualization.</w:t>
      </w:r>
    </w:p>
    <w:p w14:paraId="35DF18D5" w14:textId="77777777" w:rsidR="008F6A45" w:rsidRDefault="00000000">
      <w:pPr>
        <w:pStyle w:val="Heading3"/>
        <w:keepNext w:val="0"/>
        <w:keepLines w:val="0"/>
        <w:spacing w:before="280"/>
        <w:jc w:val="both"/>
        <w:rPr>
          <w:color w:val="000000"/>
          <w:sz w:val="24"/>
          <w:szCs w:val="24"/>
          <w:highlight w:val="white"/>
        </w:rPr>
      </w:pPr>
      <w:bookmarkStart w:id="1" w:name="_jbzf90o8s69u" w:colFirst="0" w:colLast="0"/>
      <w:bookmarkEnd w:id="1"/>
      <w:r>
        <w:rPr>
          <w:color w:val="000000"/>
          <w:sz w:val="24"/>
          <w:szCs w:val="24"/>
          <w:highlight w:val="white"/>
        </w:rPr>
        <w:t>3. Importing Data</w:t>
      </w:r>
    </w:p>
    <w:p w14:paraId="4AC880F7" w14:textId="77777777" w:rsidR="008F6A45" w:rsidRDefault="00000000">
      <w:pPr>
        <w:numPr>
          <w:ilvl w:val="0"/>
          <w:numId w:val="21"/>
        </w:numPr>
        <w:rPr>
          <w:sz w:val="24"/>
          <w:szCs w:val="24"/>
        </w:rPr>
      </w:pPr>
      <w:r>
        <w:rPr>
          <w:sz w:val="24"/>
          <w:szCs w:val="24"/>
        </w:rPr>
        <w:t>The data was cleaned first in an Excel and then imported into the SQL server using INSERT VALUE statements</w:t>
      </w:r>
    </w:p>
    <w:p w14:paraId="0908588E" w14:textId="77777777" w:rsidR="008F6A45" w:rsidRDefault="00000000">
      <w:pPr>
        <w:ind w:left="720"/>
        <w:rPr>
          <w:sz w:val="24"/>
          <w:szCs w:val="24"/>
        </w:rPr>
      </w:pPr>
      <w:r>
        <w:rPr>
          <w:sz w:val="24"/>
          <w:szCs w:val="24"/>
        </w:rPr>
        <w:t>Example: For the State table, for the following few rows the insert statement was as follows</w:t>
      </w:r>
    </w:p>
    <w:p w14:paraId="2039E461" w14:textId="77777777" w:rsidR="008F6A45" w:rsidRDefault="008F6A45">
      <w:pPr>
        <w:widowControl w:val="0"/>
        <w:spacing w:line="240" w:lineRule="auto"/>
        <w:rPr>
          <w:sz w:val="24"/>
          <w:szCs w:val="24"/>
        </w:rPr>
      </w:pPr>
    </w:p>
    <w:tbl>
      <w:tblPr>
        <w:tblStyle w:val="a0"/>
        <w:tblpPr w:leftFromText="180" w:rightFromText="180" w:topFromText="180" w:bottomFromText="180" w:vertAnchor="text" w:tblpX="720"/>
        <w:tblW w:w="2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635"/>
      </w:tblGrid>
      <w:tr w:rsidR="008F6A45" w14:paraId="4CF6132C" w14:textId="77777777">
        <w:trPr>
          <w:trHeight w:val="415"/>
        </w:trPr>
        <w:tc>
          <w:tcPr>
            <w:tcW w:w="13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7FB17D5" w14:textId="77777777" w:rsidR="008F6A45" w:rsidRDefault="00000000">
            <w:pPr>
              <w:widowControl w:val="0"/>
              <w:spacing w:line="240" w:lineRule="auto"/>
              <w:jc w:val="center"/>
              <w:rPr>
                <w:sz w:val="24"/>
                <w:szCs w:val="24"/>
              </w:rPr>
            </w:pPr>
            <w:r>
              <w:rPr>
                <w:b/>
                <w:sz w:val="24"/>
                <w:szCs w:val="24"/>
              </w:rPr>
              <w:t>stateCode</w:t>
            </w:r>
          </w:p>
        </w:tc>
        <w:tc>
          <w:tcPr>
            <w:tcW w:w="163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6CE21DE" w14:textId="77777777" w:rsidR="008F6A45" w:rsidRDefault="00000000">
            <w:pPr>
              <w:widowControl w:val="0"/>
              <w:spacing w:line="240" w:lineRule="auto"/>
              <w:jc w:val="center"/>
              <w:rPr>
                <w:sz w:val="24"/>
                <w:szCs w:val="24"/>
              </w:rPr>
            </w:pPr>
            <w:r>
              <w:rPr>
                <w:b/>
                <w:sz w:val="24"/>
                <w:szCs w:val="24"/>
              </w:rPr>
              <w:t>stateName</w:t>
            </w:r>
          </w:p>
        </w:tc>
      </w:tr>
      <w:tr w:rsidR="008F6A45" w14:paraId="3265A689" w14:textId="77777777">
        <w:trPr>
          <w:trHeight w:val="415"/>
        </w:trPr>
        <w:tc>
          <w:tcPr>
            <w:tcW w:w="13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74A4A71" w14:textId="77777777" w:rsidR="008F6A45" w:rsidRDefault="00000000">
            <w:pPr>
              <w:widowControl w:val="0"/>
              <w:spacing w:line="240" w:lineRule="auto"/>
              <w:jc w:val="center"/>
              <w:rPr>
                <w:sz w:val="24"/>
                <w:szCs w:val="24"/>
              </w:rPr>
            </w:pPr>
            <w:r>
              <w:rPr>
                <w:sz w:val="24"/>
                <w:szCs w:val="24"/>
              </w:rPr>
              <w:t>AL</w:t>
            </w:r>
          </w:p>
        </w:tc>
        <w:tc>
          <w:tcPr>
            <w:tcW w:w="163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8168128" w14:textId="77777777" w:rsidR="008F6A45" w:rsidRDefault="00000000">
            <w:pPr>
              <w:widowControl w:val="0"/>
              <w:spacing w:line="240" w:lineRule="auto"/>
              <w:jc w:val="center"/>
              <w:rPr>
                <w:sz w:val="24"/>
                <w:szCs w:val="24"/>
              </w:rPr>
            </w:pPr>
            <w:r>
              <w:rPr>
                <w:sz w:val="24"/>
                <w:szCs w:val="24"/>
              </w:rPr>
              <w:t>Alabama</w:t>
            </w:r>
          </w:p>
        </w:tc>
      </w:tr>
      <w:tr w:rsidR="008F6A45" w14:paraId="2C22F650" w14:textId="77777777">
        <w:trPr>
          <w:trHeight w:val="415"/>
        </w:trPr>
        <w:tc>
          <w:tcPr>
            <w:tcW w:w="13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0B2A8CB" w14:textId="77777777" w:rsidR="008F6A45" w:rsidRDefault="00000000">
            <w:pPr>
              <w:widowControl w:val="0"/>
              <w:spacing w:line="240" w:lineRule="auto"/>
              <w:jc w:val="center"/>
              <w:rPr>
                <w:sz w:val="24"/>
                <w:szCs w:val="24"/>
              </w:rPr>
            </w:pPr>
            <w:r>
              <w:rPr>
                <w:sz w:val="24"/>
                <w:szCs w:val="24"/>
              </w:rPr>
              <w:t>AZ</w:t>
            </w:r>
          </w:p>
        </w:tc>
        <w:tc>
          <w:tcPr>
            <w:tcW w:w="163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102311C" w14:textId="77777777" w:rsidR="008F6A45" w:rsidRDefault="00000000">
            <w:pPr>
              <w:widowControl w:val="0"/>
              <w:spacing w:line="240" w:lineRule="auto"/>
              <w:jc w:val="center"/>
              <w:rPr>
                <w:sz w:val="24"/>
                <w:szCs w:val="24"/>
              </w:rPr>
            </w:pPr>
            <w:r>
              <w:rPr>
                <w:sz w:val="24"/>
                <w:szCs w:val="24"/>
              </w:rPr>
              <w:t>Arizona</w:t>
            </w:r>
          </w:p>
        </w:tc>
      </w:tr>
      <w:tr w:rsidR="008F6A45" w14:paraId="5F829936" w14:textId="77777777">
        <w:trPr>
          <w:trHeight w:val="415"/>
        </w:trPr>
        <w:tc>
          <w:tcPr>
            <w:tcW w:w="13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45012A9" w14:textId="77777777" w:rsidR="008F6A45" w:rsidRDefault="00000000">
            <w:pPr>
              <w:widowControl w:val="0"/>
              <w:spacing w:line="240" w:lineRule="auto"/>
              <w:jc w:val="center"/>
              <w:rPr>
                <w:sz w:val="24"/>
                <w:szCs w:val="24"/>
              </w:rPr>
            </w:pPr>
            <w:r>
              <w:rPr>
                <w:sz w:val="24"/>
                <w:szCs w:val="24"/>
              </w:rPr>
              <w:t>AR</w:t>
            </w:r>
          </w:p>
        </w:tc>
        <w:tc>
          <w:tcPr>
            <w:tcW w:w="163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EE8AEB2" w14:textId="77777777" w:rsidR="008F6A45" w:rsidRDefault="00000000">
            <w:pPr>
              <w:widowControl w:val="0"/>
              <w:spacing w:line="240" w:lineRule="auto"/>
              <w:jc w:val="center"/>
              <w:rPr>
                <w:sz w:val="24"/>
                <w:szCs w:val="24"/>
              </w:rPr>
            </w:pPr>
            <w:r>
              <w:rPr>
                <w:sz w:val="24"/>
                <w:szCs w:val="24"/>
              </w:rPr>
              <w:t>Arkansas</w:t>
            </w:r>
          </w:p>
        </w:tc>
      </w:tr>
    </w:tbl>
    <w:p w14:paraId="303C8F73" w14:textId="77777777" w:rsidR="008F6A45" w:rsidRDefault="008F6A45">
      <w:pPr>
        <w:spacing w:before="240" w:after="240"/>
        <w:rPr>
          <w:sz w:val="24"/>
          <w:szCs w:val="24"/>
        </w:rPr>
      </w:pPr>
    </w:p>
    <w:p w14:paraId="1E57F8A9" w14:textId="77777777" w:rsidR="008F6A45" w:rsidRDefault="008F6A45">
      <w:pPr>
        <w:spacing w:before="240" w:after="240"/>
        <w:rPr>
          <w:sz w:val="24"/>
          <w:szCs w:val="24"/>
          <w:highlight w:val="white"/>
        </w:rPr>
      </w:pPr>
    </w:p>
    <w:p w14:paraId="2FEB229E" w14:textId="77777777" w:rsidR="008F6A45" w:rsidRDefault="008F6A45">
      <w:pPr>
        <w:jc w:val="both"/>
        <w:rPr>
          <w:b/>
          <w:sz w:val="24"/>
          <w:szCs w:val="24"/>
          <w:highlight w:val="white"/>
          <w:u w:val="single"/>
        </w:rPr>
      </w:pPr>
    </w:p>
    <w:p w14:paraId="6A9BDC37" w14:textId="77777777" w:rsidR="008F6A45" w:rsidRDefault="008F6A45">
      <w:pPr>
        <w:jc w:val="both"/>
        <w:rPr>
          <w:b/>
          <w:sz w:val="24"/>
          <w:szCs w:val="24"/>
          <w:highlight w:val="white"/>
          <w:u w:val="single"/>
        </w:rPr>
      </w:pPr>
    </w:p>
    <w:p w14:paraId="05259331" w14:textId="77777777" w:rsidR="00A35F61" w:rsidRDefault="00A35F61">
      <w:pPr>
        <w:ind w:firstLine="720"/>
        <w:jc w:val="both"/>
        <w:rPr>
          <w:sz w:val="24"/>
          <w:szCs w:val="24"/>
        </w:rPr>
      </w:pPr>
    </w:p>
    <w:p w14:paraId="5EA74F5F" w14:textId="77777777" w:rsidR="00A35F61" w:rsidRDefault="00A35F61">
      <w:pPr>
        <w:ind w:firstLine="720"/>
        <w:jc w:val="both"/>
        <w:rPr>
          <w:sz w:val="24"/>
          <w:szCs w:val="24"/>
        </w:rPr>
      </w:pPr>
    </w:p>
    <w:p w14:paraId="785C1B7E" w14:textId="0D8C6910" w:rsidR="008F6A45" w:rsidRDefault="00000000">
      <w:pPr>
        <w:ind w:firstLine="720"/>
        <w:jc w:val="both"/>
        <w:rPr>
          <w:sz w:val="24"/>
          <w:szCs w:val="24"/>
        </w:rPr>
      </w:pPr>
      <w:r>
        <w:rPr>
          <w:sz w:val="24"/>
          <w:szCs w:val="24"/>
        </w:rPr>
        <w:t>INSERT INTO [Amtrak.State] VALUES</w:t>
      </w:r>
    </w:p>
    <w:p w14:paraId="0097B819" w14:textId="77777777" w:rsidR="008F6A45" w:rsidRDefault="00000000">
      <w:pPr>
        <w:ind w:firstLine="720"/>
        <w:jc w:val="both"/>
        <w:rPr>
          <w:sz w:val="24"/>
          <w:szCs w:val="24"/>
        </w:rPr>
      </w:pPr>
      <w:r>
        <w:rPr>
          <w:sz w:val="24"/>
          <w:szCs w:val="24"/>
        </w:rPr>
        <w:t>('AL', 'Alabama'),</w:t>
      </w:r>
    </w:p>
    <w:p w14:paraId="577E4C35" w14:textId="77777777" w:rsidR="008F6A45" w:rsidRDefault="00000000">
      <w:pPr>
        <w:ind w:firstLine="720"/>
        <w:jc w:val="both"/>
        <w:rPr>
          <w:sz w:val="24"/>
          <w:szCs w:val="24"/>
        </w:rPr>
      </w:pPr>
      <w:r>
        <w:rPr>
          <w:sz w:val="24"/>
          <w:szCs w:val="24"/>
        </w:rPr>
        <w:t>('AZ', 'Arizona'),</w:t>
      </w:r>
    </w:p>
    <w:p w14:paraId="233E5EC7" w14:textId="77777777" w:rsidR="008F6A45" w:rsidRDefault="00000000">
      <w:pPr>
        <w:ind w:firstLine="720"/>
        <w:jc w:val="both"/>
        <w:rPr>
          <w:sz w:val="24"/>
          <w:szCs w:val="24"/>
          <w:highlight w:val="white"/>
        </w:rPr>
      </w:pPr>
      <w:r>
        <w:rPr>
          <w:sz w:val="24"/>
          <w:szCs w:val="24"/>
        </w:rPr>
        <w:t>('AR', 'Arkansas');</w:t>
      </w:r>
    </w:p>
    <w:p w14:paraId="2AC6CF36" w14:textId="77777777" w:rsidR="008F6A45" w:rsidRDefault="008F6A45">
      <w:pPr>
        <w:jc w:val="both"/>
        <w:rPr>
          <w:b/>
          <w:sz w:val="24"/>
          <w:szCs w:val="24"/>
          <w:highlight w:val="white"/>
          <w:u w:val="single"/>
        </w:rPr>
      </w:pPr>
    </w:p>
    <w:p w14:paraId="28081912" w14:textId="2ACBF5C1" w:rsidR="008F6A45" w:rsidRDefault="00000000">
      <w:pPr>
        <w:rPr>
          <w:b/>
          <w:sz w:val="24"/>
          <w:szCs w:val="24"/>
          <w:highlight w:val="white"/>
          <w:u w:val="single"/>
        </w:rPr>
      </w:pPr>
      <w:r>
        <w:rPr>
          <w:b/>
          <w:sz w:val="24"/>
          <w:szCs w:val="24"/>
          <w:highlight w:val="white"/>
          <w:u w:val="single"/>
        </w:rPr>
        <w:t>FINDINGS, INSIGHTS, AND RECOMMENDATIONS (BUSINESS TRANSACTIONS)</w:t>
      </w:r>
    </w:p>
    <w:p w14:paraId="59B681D5" w14:textId="77777777" w:rsidR="008F6A45" w:rsidRDefault="008F6A45">
      <w:pPr>
        <w:jc w:val="both"/>
        <w:rPr>
          <w:b/>
          <w:sz w:val="24"/>
          <w:szCs w:val="24"/>
          <w:highlight w:val="white"/>
          <w:u w:val="single"/>
        </w:rPr>
      </w:pPr>
    </w:p>
    <w:p w14:paraId="0DF0BB11" w14:textId="152110C7" w:rsidR="008F6A45" w:rsidRPr="00A35F61" w:rsidRDefault="00000000" w:rsidP="00A35F61">
      <w:pPr>
        <w:jc w:val="both"/>
        <w:rPr>
          <w:b/>
          <w:sz w:val="24"/>
          <w:szCs w:val="24"/>
          <w:highlight w:val="white"/>
        </w:rPr>
      </w:pPr>
      <w:r>
        <w:rPr>
          <w:b/>
          <w:sz w:val="24"/>
          <w:szCs w:val="24"/>
          <w:highlight w:val="white"/>
        </w:rPr>
        <w:t>What are the top ten cities with maximum ridership?</w:t>
      </w:r>
    </w:p>
    <w:p w14:paraId="3845BE96" w14:textId="308D58EB" w:rsidR="00A35F61" w:rsidRPr="00A35F61" w:rsidRDefault="00000000" w:rsidP="00A35F61">
      <w:pPr>
        <w:rPr>
          <w:sz w:val="24"/>
          <w:szCs w:val="24"/>
          <w:highlight w:val="white"/>
        </w:rPr>
      </w:pPr>
      <w:r>
        <w:rPr>
          <w:noProof/>
          <w:sz w:val="24"/>
          <w:szCs w:val="24"/>
          <w:highlight w:val="white"/>
        </w:rPr>
        <w:drawing>
          <wp:inline distT="19050" distB="19050" distL="19050" distR="19050" wp14:anchorId="05C7B4D7" wp14:editId="4B9102B1">
            <wp:extent cx="3321844" cy="2686050"/>
            <wp:effectExtent l="0" t="0" r="571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269" t="12365" r="1991" b="1583"/>
                    <a:stretch>
                      <a:fillRect/>
                    </a:stretch>
                  </pic:blipFill>
                  <pic:spPr>
                    <a:xfrm>
                      <a:off x="0" y="0"/>
                      <a:ext cx="3373509" cy="2727827"/>
                    </a:xfrm>
                    <a:prstGeom prst="rect">
                      <a:avLst/>
                    </a:prstGeom>
                    <a:ln/>
                  </pic:spPr>
                </pic:pic>
              </a:graphicData>
            </a:graphic>
          </wp:inline>
        </w:drawing>
      </w:r>
      <w:bookmarkStart w:id="2" w:name="_pksy5q2gzmc" w:colFirst="0" w:colLast="0"/>
      <w:bookmarkEnd w:id="2"/>
    </w:p>
    <w:p w14:paraId="6779E78A" w14:textId="22558D3A" w:rsidR="008F6A45" w:rsidRDefault="00000000">
      <w:pPr>
        <w:pStyle w:val="Heading3"/>
        <w:keepNext w:val="0"/>
        <w:keepLines w:val="0"/>
        <w:spacing w:before="280"/>
        <w:rPr>
          <w:b/>
          <w:color w:val="000000"/>
          <w:sz w:val="24"/>
          <w:szCs w:val="24"/>
          <w:highlight w:val="white"/>
        </w:rPr>
      </w:pPr>
      <w:r>
        <w:rPr>
          <w:b/>
          <w:color w:val="000000"/>
          <w:sz w:val="24"/>
          <w:szCs w:val="24"/>
          <w:highlight w:val="white"/>
        </w:rPr>
        <w:lastRenderedPageBreak/>
        <w:t>Insights from the SQL Query</w:t>
      </w:r>
    </w:p>
    <w:p w14:paraId="4AB49032" w14:textId="77777777" w:rsidR="008F6A45" w:rsidRDefault="00000000">
      <w:pPr>
        <w:numPr>
          <w:ilvl w:val="0"/>
          <w:numId w:val="5"/>
        </w:numPr>
        <w:spacing w:before="240"/>
        <w:rPr>
          <w:sz w:val="24"/>
          <w:szCs w:val="24"/>
          <w:highlight w:val="white"/>
        </w:rPr>
      </w:pPr>
      <w:r>
        <w:rPr>
          <w:b/>
          <w:sz w:val="24"/>
          <w:szCs w:val="24"/>
          <w:highlight w:val="white"/>
        </w:rPr>
        <w:t xml:space="preserve">Top Performing Cities: </w:t>
      </w:r>
      <w:r>
        <w:rPr>
          <w:sz w:val="24"/>
          <w:szCs w:val="24"/>
          <w:highlight w:val="white"/>
        </w:rPr>
        <w:t>Our analysis identifies the top ten cities with the highest average ridership.</w:t>
      </w:r>
    </w:p>
    <w:p w14:paraId="0C0C99B2" w14:textId="77777777" w:rsidR="008F6A45" w:rsidRDefault="00000000">
      <w:pPr>
        <w:numPr>
          <w:ilvl w:val="0"/>
          <w:numId w:val="5"/>
        </w:numPr>
        <w:spacing w:after="240"/>
        <w:rPr>
          <w:sz w:val="24"/>
          <w:szCs w:val="24"/>
          <w:highlight w:val="white"/>
        </w:rPr>
      </w:pPr>
      <w:r>
        <w:rPr>
          <w:b/>
          <w:sz w:val="24"/>
          <w:szCs w:val="24"/>
          <w:highlight w:val="white"/>
        </w:rPr>
        <w:t xml:space="preserve">Average Ridership Values: </w:t>
      </w:r>
      <w:r>
        <w:rPr>
          <w:sz w:val="24"/>
          <w:szCs w:val="24"/>
          <w:highlight w:val="white"/>
        </w:rPr>
        <w:t>We provide the average ridership values for these cities, illustrating the scale of passenger traffic in each city.</w:t>
      </w:r>
    </w:p>
    <w:p w14:paraId="5A70F8BC" w14:textId="77777777" w:rsidR="008F6A45" w:rsidRDefault="00000000">
      <w:pPr>
        <w:pStyle w:val="Heading3"/>
        <w:keepNext w:val="0"/>
        <w:keepLines w:val="0"/>
        <w:spacing w:before="280"/>
        <w:rPr>
          <w:b/>
          <w:color w:val="000000"/>
          <w:sz w:val="24"/>
          <w:szCs w:val="24"/>
          <w:highlight w:val="white"/>
        </w:rPr>
      </w:pPr>
      <w:bookmarkStart w:id="3" w:name="_1vv3fe1ojcg6" w:colFirst="0" w:colLast="0"/>
      <w:bookmarkEnd w:id="3"/>
      <w:r>
        <w:rPr>
          <w:b/>
          <w:color w:val="000000"/>
          <w:sz w:val="24"/>
          <w:szCs w:val="24"/>
          <w:highlight w:val="white"/>
        </w:rPr>
        <w:t>Key Findings</w:t>
      </w:r>
    </w:p>
    <w:p w14:paraId="3B03318B" w14:textId="77777777" w:rsidR="008F6A45" w:rsidRDefault="00000000">
      <w:pPr>
        <w:numPr>
          <w:ilvl w:val="0"/>
          <w:numId w:val="4"/>
        </w:numPr>
        <w:spacing w:before="240"/>
        <w:rPr>
          <w:sz w:val="24"/>
          <w:szCs w:val="24"/>
          <w:highlight w:val="white"/>
        </w:rPr>
      </w:pPr>
      <w:r>
        <w:rPr>
          <w:b/>
          <w:sz w:val="24"/>
          <w:szCs w:val="24"/>
          <w:highlight w:val="white"/>
        </w:rPr>
        <w:t xml:space="preserve">New York: </w:t>
      </w:r>
      <w:r>
        <w:rPr>
          <w:sz w:val="24"/>
          <w:szCs w:val="24"/>
          <w:highlight w:val="white"/>
        </w:rPr>
        <w:t>New York stands out with the highest average ridership, significantly leading other cities. This underscores New York's critical role in Amtrak's operations and the high demand for passenger services in this city.</w:t>
      </w:r>
    </w:p>
    <w:p w14:paraId="049074E5" w14:textId="77777777" w:rsidR="008F6A45" w:rsidRDefault="00000000">
      <w:pPr>
        <w:numPr>
          <w:ilvl w:val="0"/>
          <w:numId w:val="4"/>
        </w:numPr>
        <w:rPr>
          <w:sz w:val="24"/>
          <w:szCs w:val="24"/>
          <w:highlight w:val="white"/>
        </w:rPr>
      </w:pPr>
      <w:r>
        <w:rPr>
          <w:b/>
          <w:sz w:val="24"/>
          <w:szCs w:val="24"/>
          <w:highlight w:val="white"/>
        </w:rPr>
        <w:t xml:space="preserve">Philadelphia and Chicago: </w:t>
      </w:r>
      <w:r>
        <w:rPr>
          <w:sz w:val="24"/>
          <w:szCs w:val="24"/>
          <w:highlight w:val="white"/>
        </w:rPr>
        <w:t>Following New York, Philadelphia and Chicago exhibit substantial ridership, serving as major hubs in the Amtrak network.</w:t>
      </w:r>
    </w:p>
    <w:p w14:paraId="34E12F09" w14:textId="77777777" w:rsidR="008F6A45" w:rsidRDefault="00000000">
      <w:pPr>
        <w:numPr>
          <w:ilvl w:val="0"/>
          <w:numId w:val="4"/>
        </w:numPr>
        <w:rPr>
          <w:sz w:val="24"/>
          <w:szCs w:val="24"/>
          <w:highlight w:val="white"/>
        </w:rPr>
      </w:pPr>
      <w:r>
        <w:rPr>
          <w:b/>
          <w:sz w:val="24"/>
          <w:szCs w:val="24"/>
          <w:highlight w:val="white"/>
        </w:rPr>
        <w:t xml:space="preserve">Washington and Los Angeles: </w:t>
      </w:r>
      <w:r>
        <w:rPr>
          <w:sz w:val="24"/>
          <w:szCs w:val="24"/>
          <w:highlight w:val="white"/>
        </w:rPr>
        <w:t>These cities also show high ridership, highlighting their importance within the network.</w:t>
      </w:r>
    </w:p>
    <w:p w14:paraId="3DD64ECD" w14:textId="77777777" w:rsidR="008F6A45" w:rsidRDefault="00000000">
      <w:pPr>
        <w:numPr>
          <w:ilvl w:val="0"/>
          <w:numId w:val="4"/>
        </w:numPr>
        <w:rPr>
          <w:sz w:val="24"/>
          <w:szCs w:val="24"/>
          <w:highlight w:val="white"/>
        </w:rPr>
      </w:pPr>
      <w:r>
        <w:rPr>
          <w:b/>
          <w:sz w:val="24"/>
          <w:szCs w:val="24"/>
          <w:highlight w:val="white"/>
        </w:rPr>
        <w:t xml:space="preserve">Mid-Tier Cities: </w:t>
      </w:r>
      <w:r>
        <w:rPr>
          <w:sz w:val="24"/>
          <w:szCs w:val="24"/>
          <w:highlight w:val="white"/>
        </w:rPr>
        <w:t>Cities like Boston, Baltimore, and Providence have moderate ridership, contributing significantly to the overall passenger volume.</w:t>
      </w:r>
    </w:p>
    <w:p w14:paraId="6199E2D7" w14:textId="77777777" w:rsidR="008F6A45" w:rsidRDefault="00000000">
      <w:pPr>
        <w:numPr>
          <w:ilvl w:val="0"/>
          <w:numId w:val="4"/>
        </w:numPr>
        <w:spacing w:after="240"/>
        <w:rPr>
          <w:sz w:val="24"/>
          <w:szCs w:val="24"/>
          <w:highlight w:val="white"/>
        </w:rPr>
      </w:pPr>
      <w:r>
        <w:rPr>
          <w:b/>
          <w:sz w:val="24"/>
          <w:szCs w:val="24"/>
          <w:highlight w:val="white"/>
        </w:rPr>
        <w:t xml:space="preserve">Lower in the Top Ten: </w:t>
      </w:r>
      <w:r>
        <w:rPr>
          <w:sz w:val="24"/>
          <w:szCs w:val="24"/>
          <w:highlight w:val="white"/>
        </w:rPr>
        <w:t>Sacramento and Wilmington, while still in the top ten, have lower ridership compared to the leading cities.</w:t>
      </w:r>
    </w:p>
    <w:p w14:paraId="67A0402C" w14:textId="77777777" w:rsidR="008F6A45" w:rsidRDefault="00000000">
      <w:pPr>
        <w:pStyle w:val="Heading3"/>
        <w:keepNext w:val="0"/>
        <w:keepLines w:val="0"/>
        <w:spacing w:before="280"/>
        <w:rPr>
          <w:b/>
          <w:color w:val="000000"/>
          <w:sz w:val="24"/>
          <w:szCs w:val="24"/>
          <w:highlight w:val="white"/>
        </w:rPr>
      </w:pPr>
      <w:bookmarkStart w:id="4" w:name="_vmd1fcyoovpm" w:colFirst="0" w:colLast="0"/>
      <w:bookmarkEnd w:id="4"/>
      <w:r>
        <w:rPr>
          <w:b/>
          <w:color w:val="000000"/>
          <w:sz w:val="24"/>
          <w:szCs w:val="24"/>
          <w:highlight w:val="white"/>
        </w:rPr>
        <w:t>Recommendations for Amtrak</w:t>
      </w:r>
    </w:p>
    <w:p w14:paraId="09CAD1AC" w14:textId="77777777" w:rsidR="008F6A45" w:rsidRDefault="00000000">
      <w:pPr>
        <w:numPr>
          <w:ilvl w:val="0"/>
          <w:numId w:val="9"/>
        </w:numPr>
        <w:spacing w:before="240"/>
        <w:rPr>
          <w:sz w:val="24"/>
          <w:szCs w:val="24"/>
          <w:highlight w:val="white"/>
        </w:rPr>
      </w:pPr>
      <w:r>
        <w:rPr>
          <w:b/>
          <w:sz w:val="24"/>
          <w:szCs w:val="24"/>
          <w:highlight w:val="white"/>
        </w:rPr>
        <w:t xml:space="preserve">Enhance Services in High Ridership Cities: </w:t>
      </w:r>
      <w:r>
        <w:rPr>
          <w:sz w:val="24"/>
          <w:szCs w:val="24"/>
          <w:highlight w:val="white"/>
        </w:rPr>
        <w:t>We recommend focusing on improving infrastructure, services, and schedules in New York, Philadelphia, and Chicago to meet the high passenger demand effectively.</w:t>
      </w:r>
    </w:p>
    <w:p w14:paraId="44DA665C" w14:textId="77777777" w:rsidR="008F6A45" w:rsidRDefault="00000000">
      <w:pPr>
        <w:numPr>
          <w:ilvl w:val="0"/>
          <w:numId w:val="9"/>
        </w:numPr>
        <w:rPr>
          <w:sz w:val="24"/>
          <w:szCs w:val="24"/>
          <w:highlight w:val="white"/>
        </w:rPr>
      </w:pPr>
      <w:r>
        <w:rPr>
          <w:b/>
          <w:sz w:val="24"/>
          <w:szCs w:val="24"/>
          <w:highlight w:val="white"/>
        </w:rPr>
        <w:t xml:space="preserve">Capacity Management: </w:t>
      </w:r>
      <w:r>
        <w:rPr>
          <w:sz w:val="24"/>
          <w:szCs w:val="24"/>
          <w:highlight w:val="white"/>
        </w:rPr>
        <w:t>We advise ensuring sufficient capacity and resources are allocated to cities like Washington and Los Angeles to manage high ridership efficiently.</w:t>
      </w:r>
    </w:p>
    <w:p w14:paraId="0995BE14" w14:textId="77777777" w:rsidR="008F6A45" w:rsidRDefault="00000000">
      <w:pPr>
        <w:numPr>
          <w:ilvl w:val="0"/>
          <w:numId w:val="9"/>
        </w:numPr>
        <w:rPr>
          <w:sz w:val="24"/>
          <w:szCs w:val="24"/>
          <w:highlight w:val="white"/>
        </w:rPr>
      </w:pPr>
      <w:r>
        <w:rPr>
          <w:b/>
          <w:sz w:val="24"/>
          <w:szCs w:val="24"/>
          <w:highlight w:val="white"/>
        </w:rPr>
        <w:t xml:space="preserve">Marketing and Promotion: </w:t>
      </w:r>
      <w:r>
        <w:rPr>
          <w:sz w:val="24"/>
          <w:szCs w:val="24"/>
          <w:highlight w:val="white"/>
        </w:rPr>
        <w:t>To boost ridership further, we suggest promoting travel to and from mid-tier cities like Boston and Baltimore.</w:t>
      </w:r>
    </w:p>
    <w:p w14:paraId="50A9B2E5" w14:textId="77777777" w:rsidR="008F6A45" w:rsidRDefault="00000000">
      <w:pPr>
        <w:numPr>
          <w:ilvl w:val="0"/>
          <w:numId w:val="9"/>
        </w:numPr>
        <w:rPr>
          <w:sz w:val="24"/>
          <w:szCs w:val="24"/>
          <w:highlight w:val="white"/>
        </w:rPr>
      </w:pPr>
      <w:r>
        <w:rPr>
          <w:b/>
          <w:sz w:val="24"/>
          <w:szCs w:val="24"/>
          <w:highlight w:val="white"/>
        </w:rPr>
        <w:t xml:space="preserve">Analyze Lower Tier Cities: </w:t>
      </w:r>
      <w:r>
        <w:rPr>
          <w:sz w:val="24"/>
          <w:szCs w:val="24"/>
          <w:highlight w:val="white"/>
        </w:rPr>
        <w:t>It would be beneficial to investigate the factors contributing to lower ridership in cities like Sacramento and Wilmington and explore opportunities to increase passenger traffic.</w:t>
      </w:r>
    </w:p>
    <w:p w14:paraId="1940ECC9" w14:textId="77777777" w:rsidR="008F6A45" w:rsidRDefault="00000000">
      <w:pPr>
        <w:numPr>
          <w:ilvl w:val="0"/>
          <w:numId w:val="9"/>
        </w:numPr>
        <w:spacing w:after="240"/>
        <w:rPr>
          <w:sz w:val="24"/>
          <w:szCs w:val="24"/>
          <w:highlight w:val="white"/>
        </w:rPr>
      </w:pPr>
      <w:r>
        <w:rPr>
          <w:b/>
          <w:sz w:val="24"/>
          <w:szCs w:val="24"/>
          <w:highlight w:val="white"/>
        </w:rPr>
        <w:t xml:space="preserve">Strategic Investments: </w:t>
      </w:r>
      <w:r>
        <w:rPr>
          <w:sz w:val="24"/>
          <w:szCs w:val="24"/>
          <w:highlight w:val="white"/>
        </w:rPr>
        <w:t>We recommend investing in infrastructure and service improvements in these top ten cities to maintain and potentially increase ridership, ensuring efficient and reliable operations.</w:t>
      </w:r>
    </w:p>
    <w:p w14:paraId="6AC89C94" w14:textId="77777777" w:rsidR="008F6A45" w:rsidRDefault="008F6A45">
      <w:pPr>
        <w:widowControl w:val="0"/>
        <w:rPr>
          <w:b/>
          <w:sz w:val="24"/>
          <w:szCs w:val="24"/>
          <w:highlight w:val="white"/>
        </w:rPr>
      </w:pPr>
    </w:p>
    <w:p w14:paraId="2D2BD77F" w14:textId="77777777" w:rsidR="008F6A45" w:rsidRDefault="008F6A45">
      <w:pPr>
        <w:widowControl w:val="0"/>
        <w:rPr>
          <w:b/>
          <w:sz w:val="24"/>
          <w:szCs w:val="24"/>
          <w:highlight w:val="white"/>
        </w:rPr>
      </w:pPr>
    </w:p>
    <w:p w14:paraId="05F6F50A" w14:textId="77777777" w:rsidR="008F6A45" w:rsidRDefault="008F6A45">
      <w:pPr>
        <w:widowControl w:val="0"/>
        <w:rPr>
          <w:b/>
          <w:sz w:val="24"/>
          <w:szCs w:val="24"/>
          <w:highlight w:val="white"/>
        </w:rPr>
      </w:pPr>
    </w:p>
    <w:p w14:paraId="6E232233" w14:textId="77777777" w:rsidR="008F6A45" w:rsidRDefault="008F6A45">
      <w:pPr>
        <w:widowControl w:val="0"/>
        <w:rPr>
          <w:b/>
          <w:sz w:val="24"/>
          <w:szCs w:val="24"/>
          <w:highlight w:val="white"/>
        </w:rPr>
      </w:pPr>
    </w:p>
    <w:p w14:paraId="54E3E6C0" w14:textId="77777777" w:rsidR="008F6A45" w:rsidRDefault="00000000">
      <w:pPr>
        <w:widowControl w:val="0"/>
        <w:rPr>
          <w:sz w:val="24"/>
          <w:szCs w:val="24"/>
          <w:highlight w:val="white"/>
        </w:rPr>
      </w:pPr>
      <w:r>
        <w:rPr>
          <w:b/>
          <w:sz w:val="24"/>
          <w:szCs w:val="24"/>
          <w:highlight w:val="white"/>
        </w:rPr>
        <w:lastRenderedPageBreak/>
        <w:t>Which are the top ten states with the largest year-over-year percentage increase (and the corresponding absolute increase) in guest reward enrollments?</w:t>
      </w:r>
    </w:p>
    <w:p w14:paraId="46184711" w14:textId="77777777" w:rsidR="008F6A45" w:rsidRDefault="008F6A45">
      <w:pPr>
        <w:widowControl w:val="0"/>
        <w:rPr>
          <w:sz w:val="24"/>
          <w:szCs w:val="24"/>
          <w:highlight w:val="white"/>
        </w:rPr>
      </w:pPr>
    </w:p>
    <w:p w14:paraId="2C6B1F8F" w14:textId="77777777" w:rsidR="008F6A45" w:rsidRDefault="00000000">
      <w:pPr>
        <w:widowControl w:val="0"/>
        <w:rPr>
          <w:sz w:val="24"/>
          <w:szCs w:val="24"/>
        </w:rPr>
      </w:pPr>
      <w:r>
        <w:rPr>
          <w:noProof/>
          <w:sz w:val="24"/>
          <w:szCs w:val="24"/>
        </w:rPr>
        <w:drawing>
          <wp:inline distT="19050" distB="19050" distL="19050" distR="19050" wp14:anchorId="6B125848" wp14:editId="39D1B16D">
            <wp:extent cx="5943600" cy="2133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1192" t="11402" r="1880"/>
                    <a:stretch>
                      <a:fillRect/>
                    </a:stretch>
                  </pic:blipFill>
                  <pic:spPr>
                    <a:xfrm>
                      <a:off x="0" y="0"/>
                      <a:ext cx="5943600" cy="2133600"/>
                    </a:xfrm>
                    <a:prstGeom prst="rect">
                      <a:avLst/>
                    </a:prstGeom>
                    <a:ln/>
                  </pic:spPr>
                </pic:pic>
              </a:graphicData>
            </a:graphic>
          </wp:inline>
        </w:drawing>
      </w:r>
    </w:p>
    <w:p w14:paraId="24A67643" w14:textId="77777777" w:rsidR="008F6A45" w:rsidRDefault="00000000">
      <w:pPr>
        <w:pStyle w:val="Heading3"/>
        <w:keepNext w:val="0"/>
        <w:keepLines w:val="0"/>
        <w:spacing w:before="280"/>
        <w:rPr>
          <w:b/>
          <w:color w:val="000000"/>
          <w:sz w:val="24"/>
          <w:szCs w:val="24"/>
          <w:highlight w:val="white"/>
        </w:rPr>
      </w:pPr>
      <w:bookmarkStart w:id="5" w:name="_bx8cvx62zra8" w:colFirst="0" w:colLast="0"/>
      <w:bookmarkEnd w:id="5"/>
      <w:r>
        <w:rPr>
          <w:b/>
          <w:color w:val="000000"/>
          <w:sz w:val="24"/>
          <w:szCs w:val="24"/>
          <w:highlight w:val="white"/>
        </w:rPr>
        <w:t>Insights from the SQL Query</w:t>
      </w:r>
    </w:p>
    <w:p w14:paraId="21139C7E" w14:textId="77777777" w:rsidR="008F6A45" w:rsidRDefault="00000000">
      <w:pPr>
        <w:numPr>
          <w:ilvl w:val="0"/>
          <w:numId w:val="5"/>
        </w:numPr>
        <w:spacing w:before="240"/>
        <w:rPr>
          <w:sz w:val="24"/>
          <w:szCs w:val="24"/>
          <w:highlight w:val="white"/>
        </w:rPr>
      </w:pPr>
      <w:r>
        <w:rPr>
          <w:b/>
          <w:sz w:val="24"/>
          <w:szCs w:val="24"/>
          <w:highlight w:val="white"/>
        </w:rPr>
        <w:t xml:space="preserve">Top Cities for Guest Reward Enrollment Increases: </w:t>
      </w:r>
      <w:r>
        <w:rPr>
          <w:sz w:val="24"/>
          <w:szCs w:val="24"/>
          <w:highlight w:val="white"/>
        </w:rPr>
        <w:t>Our analysis identifies the top ten cities with the highest percentage increase in guest reward enrollments.</w:t>
      </w:r>
    </w:p>
    <w:p w14:paraId="08675170" w14:textId="77777777" w:rsidR="008F6A45" w:rsidRDefault="00000000">
      <w:pPr>
        <w:numPr>
          <w:ilvl w:val="0"/>
          <w:numId w:val="5"/>
        </w:numPr>
        <w:rPr>
          <w:sz w:val="24"/>
          <w:szCs w:val="24"/>
          <w:highlight w:val="white"/>
        </w:rPr>
      </w:pPr>
      <w:r>
        <w:rPr>
          <w:b/>
          <w:sz w:val="24"/>
          <w:szCs w:val="24"/>
          <w:highlight w:val="white"/>
        </w:rPr>
        <w:t xml:space="preserve">Percentage Increase: </w:t>
      </w:r>
      <w:r>
        <w:rPr>
          <w:sz w:val="24"/>
          <w:szCs w:val="24"/>
          <w:highlight w:val="white"/>
        </w:rPr>
        <w:t>We provide the value for each city's percentage increase in guest reward enrollments.</w:t>
      </w:r>
    </w:p>
    <w:p w14:paraId="7EABE9FC" w14:textId="77777777" w:rsidR="008F6A45" w:rsidRDefault="00000000">
      <w:pPr>
        <w:numPr>
          <w:ilvl w:val="0"/>
          <w:numId w:val="5"/>
        </w:numPr>
        <w:spacing w:after="240"/>
        <w:rPr>
          <w:sz w:val="24"/>
          <w:szCs w:val="24"/>
          <w:highlight w:val="white"/>
        </w:rPr>
      </w:pPr>
      <w:r>
        <w:rPr>
          <w:b/>
          <w:sz w:val="24"/>
          <w:szCs w:val="24"/>
          <w:highlight w:val="white"/>
        </w:rPr>
        <w:t xml:space="preserve">Absolute Increase: </w:t>
      </w:r>
      <w:r>
        <w:rPr>
          <w:sz w:val="24"/>
          <w:szCs w:val="24"/>
          <w:highlight w:val="white"/>
        </w:rPr>
        <w:t>We provide the value for each city’s absolute increase in guest reward enrollments.</w:t>
      </w:r>
    </w:p>
    <w:p w14:paraId="243C6082" w14:textId="77777777" w:rsidR="008F6A45" w:rsidRDefault="00000000">
      <w:pPr>
        <w:pStyle w:val="Heading3"/>
        <w:keepNext w:val="0"/>
        <w:keepLines w:val="0"/>
        <w:spacing w:before="280"/>
        <w:rPr>
          <w:b/>
          <w:color w:val="000000"/>
          <w:sz w:val="24"/>
          <w:szCs w:val="24"/>
          <w:highlight w:val="white"/>
        </w:rPr>
      </w:pPr>
      <w:bookmarkStart w:id="6" w:name="_wbrjdsuiiz38" w:colFirst="0" w:colLast="0"/>
      <w:bookmarkEnd w:id="6"/>
      <w:r>
        <w:rPr>
          <w:b/>
          <w:color w:val="000000"/>
          <w:sz w:val="24"/>
          <w:szCs w:val="24"/>
          <w:highlight w:val="white"/>
        </w:rPr>
        <w:t>Key Findings</w:t>
      </w:r>
    </w:p>
    <w:p w14:paraId="3B4F2DB9" w14:textId="77777777" w:rsidR="008F6A45" w:rsidRDefault="00000000">
      <w:pPr>
        <w:numPr>
          <w:ilvl w:val="0"/>
          <w:numId w:val="11"/>
        </w:numPr>
        <w:spacing w:before="240"/>
        <w:rPr>
          <w:sz w:val="24"/>
          <w:szCs w:val="24"/>
          <w:highlight w:val="white"/>
        </w:rPr>
      </w:pPr>
      <w:r>
        <w:rPr>
          <w:b/>
          <w:sz w:val="24"/>
          <w:szCs w:val="24"/>
          <w:highlight w:val="white"/>
        </w:rPr>
        <w:t xml:space="preserve">Maine and Vermont: </w:t>
      </w:r>
      <w:r>
        <w:rPr>
          <w:sz w:val="24"/>
          <w:szCs w:val="24"/>
          <w:highlight w:val="white"/>
        </w:rPr>
        <w:t xml:space="preserve">Maine (18.89%) stands out with the highest percentage increase in guest reward enrollments. Vermont (18.10%) shows significant growth with the second-highest percentage increase in guest reward enrollments. </w:t>
      </w:r>
    </w:p>
    <w:p w14:paraId="6799EB85" w14:textId="77777777" w:rsidR="008F6A45" w:rsidRDefault="00000000">
      <w:pPr>
        <w:numPr>
          <w:ilvl w:val="0"/>
          <w:numId w:val="11"/>
        </w:numPr>
        <w:rPr>
          <w:sz w:val="24"/>
          <w:szCs w:val="24"/>
          <w:highlight w:val="white"/>
        </w:rPr>
      </w:pPr>
      <w:r>
        <w:rPr>
          <w:b/>
          <w:sz w:val="24"/>
          <w:szCs w:val="24"/>
          <w:highlight w:val="white"/>
        </w:rPr>
        <w:t xml:space="preserve">Rhode Island and Delaware: </w:t>
      </w:r>
      <w:r>
        <w:rPr>
          <w:sz w:val="24"/>
          <w:szCs w:val="24"/>
          <w:highlight w:val="white"/>
        </w:rPr>
        <w:t>Rhode Island (16.70%) and Delaware (16.52%) show high percentage increases although they are smaller states.</w:t>
      </w:r>
    </w:p>
    <w:p w14:paraId="16ED3AF0" w14:textId="77777777" w:rsidR="008F6A45" w:rsidRDefault="00000000">
      <w:pPr>
        <w:numPr>
          <w:ilvl w:val="0"/>
          <w:numId w:val="11"/>
        </w:numPr>
        <w:rPr>
          <w:b/>
          <w:sz w:val="24"/>
          <w:szCs w:val="24"/>
          <w:highlight w:val="white"/>
        </w:rPr>
      </w:pPr>
      <w:r>
        <w:rPr>
          <w:b/>
          <w:sz w:val="24"/>
          <w:szCs w:val="24"/>
          <w:highlight w:val="white"/>
        </w:rPr>
        <w:t xml:space="preserve">Virginia: </w:t>
      </w:r>
      <w:r>
        <w:rPr>
          <w:sz w:val="24"/>
          <w:szCs w:val="24"/>
          <w:highlight w:val="white"/>
        </w:rPr>
        <w:t>It has the highest absolute growth (103,451 enrollments) and a substantial percentage increase (16.30%) when compared to other states.</w:t>
      </w:r>
    </w:p>
    <w:p w14:paraId="25FAD910" w14:textId="77777777" w:rsidR="008F6A45" w:rsidRDefault="00000000">
      <w:pPr>
        <w:numPr>
          <w:ilvl w:val="0"/>
          <w:numId w:val="11"/>
        </w:numPr>
        <w:rPr>
          <w:sz w:val="24"/>
          <w:szCs w:val="24"/>
          <w:highlight w:val="white"/>
        </w:rPr>
      </w:pPr>
      <w:r>
        <w:rPr>
          <w:b/>
          <w:sz w:val="24"/>
          <w:szCs w:val="24"/>
          <w:highlight w:val="white"/>
        </w:rPr>
        <w:t>North Carolina and Alabama:</w:t>
      </w:r>
      <w:r>
        <w:rPr>
          <w:sz w:val="24"/>
          <w:szCs w:val="24"/>
          <w:highlight w:val="white"/>
        </w:rPr>
        <w:t xml:space="preserve"> North Carolina (16.18%) and Alabama (15.13%) display steady growth, having consistent rises in both percentage and absolute enrollments, making them significant performers in their respective regions.</w:t>
      </w:r>
    </w:p>
    <w:p w14:paraId="2366066B" w14:textId="77777777" w:rsidR="008F6A45" w:rsidRDefault="00000000">
      <w:pPr>
        <w:numPr>
          <w:ilvl w:val="0"/>
          <w:numId w:val="11"/>
        </w:numPr>
        <w:rPr>
          <w:b/>
          <w:sz w:val="24"/>
          <w:szCs w:val="24"/>
          <w:highlight w:val="white"/>
        </w:rPr>
      </w:pPr>
      <w:r>
        <w:rPr>
          <w:b/>
          <w:sz w:val="24"/>
          <w:szCs w:val="24"/>
          <w:highlight w:val="white"/>
        </w:rPr>
        <w:t xml:space="preserve">Massachusetts and Maryland:  </w:t>
      </w:r>
      <w:r>
        <w:rPr>
          <w:sz w:val="24"/>
          <w:szCs w:val="24"/>
          <w:highlight w:val="white"/>
        </w:rPr>
        <w:t>Massachusetts (15.57%) and Maryland (15.34%) retain competitive growth rates, as seen by their notable absolute increases of 82347 and 75051 enrollments, respectively. Both states showcase strong customer engagement trends in the Mid-Atlantic and New England regions.</w:t>
      </w:r>
    </w:p>
    <w:p w14:paraId="1C10F4EA" w14:textId="77777777" w:rsidR="008F6A45" w:rsidRDefault="00000000">
      <w:pPr>
        <w:numPr>
          <w:ilvl w:val="0"/>
          <w:numId w:val="11"/>
        </w:numPr>
        <w:spacing w:after="240"/>
        <w:rPr>
          <w:b/>
          <w:sz w:val="24"/>
          <w:szCs w:val="24"/>
          <w:highlight w:val="white"/>
        </w:rPr>
      </w:pPr>
      <w:r>
        <w:rPr>
          <w:b/>
          <w:sz w:val="24"/>
          <w:szCs w:val="24"/>
          <w:highlight w:val="white"/>
        </w:rPr>
        <w:lastRenderedPageBreak/>
        <w:t xml:space="preserve">Regional trends for loyalty growth: </w:t>
      </w:r>
      <w:r>
        <w:rPr>
          <w:sz w:val="24"/>
          <w:szCs w:val="24"/>
          <w:highlight w:val="white"/>
        </w:rPr>
        <w:t>Among the top 10 states for guest reward enrollment increases, many are located in the New England region (Maine, Vermont, Rhode Island, Massachusetts, New Hampshire).</w:t>
      </w:r>
    </w:p>
    <w:p w14:paraId="519077C5" w14:textId="77777777" w:rsidR="008F6A45" w:rsidRDefault="00000000">
      <w:pPr>
        <w:pStyle w:val="Heading3"/>
        <w:keepNext w:val="0"/>
        <w:keepLines w:val="0"/>
        <w:widowControl w:val="0"/>
        <w:spacing w:before="280" w:line="240" w:lineRule="auto"/>
        <w:rPr>
          <w:b/>
          <w:color w:val="000000"/>
          <w:sz w:val="24"/>
          <w:szCs w:val="24"/>
        </w:rPr>
      </w:pPr>
      <w:bookmarkStart w:id="7" w:name="_dgbslhr0im78" w:colFirst="0" w:colLast="0"/>
      <w:bookmarkEnd w:id="7"/>
      <w:r>
        <w:rPr>
          <w:b/>
          <w:color w:val="000000"/>
          <w:sz w:val="24"/>
          <w:szCs w:val="24"/>
        </w:rPr>
        <w:t>Recommendations for the Company</w:t>
      </w:r>
    </w:p>
    <w:p w14:paraId="2E4F9456" w14:textId="77777777" w:rsidR="008F6A45" w:rsidRDefault="00000000">
      <w:pPr>
        <w:numPr>
          <w:ilvl w:val="0"/>
          <w:numId w:val="3"/>
        </w:numPr>
        <w:rPr>
          <w:b/>
          <w:sz w:val="24"/>
          <w:szCs w:val="24"/>
        </w:rPr>
      </w:pPr>
      <w:r>
        <w:rPr>
          <w:b/>
          <w:sz w:val="24"/>
          <w:szCs w:val="24"/>
        </w:rPr>
        <w:t>Place importance on the New England Region:</w:t>
      </w:r>
      <w:r>
        <w:rPr>
          <w:sz w:val="24"/>
          <w:szCs w:val="24"/>
        </w:rPr>
        <w:t xml:space="preserve"> Since this region consists of several states that show strong loyalty growth, developing regional campaigns, inclusive of region-specific guest reward benefits and seasonal travel promotions (e.g. winter tour and vacation package) can help further enhance the growth experienced.</w:t>
      </w:r>
    </w:p>
    <w:p w14:paraId="3DFA83EE" w14:textId="77777777" w:rsidR="008F6A45" w:rsidRDefault="00000000">
      <w:pPr>
        <w:numPr>
          <w:ilvl w:val="0"/>
          <w:numId w:val="3"/>
        </w:numPr>
        <w:rPr>
          <w:b/>
          <w:sz w:val="24"/>
          <w:szCs w:val="24"/>
        </w:rPr>
      </w:pPr>
      <w:r>
        <w:rPr>
          <w:b/>
          <w:sz w:val="24"/>
          <w:szCs w:val="24"/>
        </w:rPr>
        <w:t>Capitalize on the high absolute increase in guest reward enrollments in  Virginia:</w:t>
      </w:r>
      <w:r>
        <w:rPr>
          <w:sz w:val="24"/>
          <w:szCs w:val="24"/>
        </w:rPr>
        <w:t xml:space="preserve"> Direct efforts towards retention strategies, such as enhanced member benefits in the form of travel discounts and free upgrades to encourage new enrollees to become long-term loyal customers.</w:t>
      </w:r>
    </w:p>
    <w:p w14:paraId="4EA40F63" w14:textId="77777777" w:rsidR="008F6A45" w:rsidRDefault="00000000">
      <w:pPr>
        <w:numPr>
          <w:ilvl w:val="0"/>
          <w:numId w:val="3"/>
        </w:numPr>
        <w:rPr>
          <w:b/>
          <w:sz w:val="24"/>
          <w:szCs w:val="24"/>
        </w:rPr>
      </w:pPr>
      <w:r>
        <w:rPr>
          <w:b/>
          <w:sz w:val="24"/>
          <w:szCs w:val="24"/>
        </w:rPr>
        <w:t xml:space="preserve">Implement rewards campaigns: </w:t>
      </w:r>
      <w:r>
        <w:rPr>
          <w:sz w:val="24"/>
          <w:szCs w:val="24"/>
        </w:rPr>
        <w:t xml:space="preserve">Promote campaigns that provide special rewards like dining discounts, loyalty program upgrades, or unique member perks that encourage people to take part in the guest reward enrollment program so that states with lower increases in guest reward enrollments can experience further improvement. </w:t>
      </w:r>
    </w:p>
    <w:p w14:paraId="06EF1F36" w14:textId="77777777" w:rsidR="008F6A45" w:rsidRDefault="00000000">
      <w:pPr>
        <w:numPr>
          <w:ilvl w:val="0"/>
          <w:numId w:val="3"/>
        </w:numPr>
        <w:rPr>
          <w:b/>
          <w:sz w:val="24"/>
          <w:szCs w:val="24"/>
        </w:rPr>
      </w:pPr>
      <w:r>
        <w:rPr>
          <w:b/>
          <w:sz w:val="24"/>
          <w:szCs w:val="24"/>
        </w:rPr>
        <w:t xml:space="preserve">Improve multi-channel communication: </w:t>
      </w:r>
      <w:r>
        <w:rPr>
          <w:sz w:val="24"/>
          <w:szCs w:val="24"/>
        </w:rPr>
        <w:t>Use social media platforms like Instagram, Facebook, and TikTok to share engaging promotional videos that increase awareness of the Amtrak Guest Rewards Program. Support these digital efforts with physical touchpoints, including onboard promotions and station kiosks to engage with passengers easily. This further complements efforts to increase guest reward enrollments across all states.</w:t>
      </w:r>
    </w:p>
    <w:p w14:paraId="1E8D10B8" w14:textId="77777777" w:rsidR="008F6A45" w:rsidRDefault="008F6A45">
      <w:pPr>
        <w:jc w:val="both"/>
        <w:rPr>
          <w:sz w:val="24"/>
          <w:szCs w:val="24"/>
        </w:rPr>
      </w:pPr>
    </w:p>
    <w:p w14:paraId="24C71BDE" w14:textId="77777777" w:rsidR="008F6A45" w:rsidRDefault="008F6A45">
      <w:pPr>
        <w:jc w:val="both"/>
        <w:rPr>
          <w:sz w:val="24"/>
          <w:szCs w:val="24"/>
        </w:rPr>
      </w:pPr>
    </w:p>
    <w:p w14:paraId="0584CFE5" w14:textId="77777777" w:rsidR="008F6A45" w:rsidRDefault="008F6A45">
      <w:pPr>
        <w:jc w:val="both"/>
        <w:rPr>
          <w:sz w:val="24"/>
          <w:szCs w:val="24"/>
        </w:rPr>
      </w:pPr>
    </w:p>
    <w:p w14:paraId="5328392A" w14:textId="77777777" w:rsidR="008F6A45" w:rsidRDefault="008F6A45">
      <w:pPr>
        <w:jc w:val="both"/>
        <w:rPr>
          <w:sz w:val="24"/>
          <w:szCs w:val="24"/>
        </w:rPr>
      </w:pPr>
    </w:p>
    <w:p w14:paraId="4925EA35" w14:textId="77777777" w:rsidR="008F6A45" w:rsidRDefault="008F6A45">
      <w:pPr>
        <w:jc w:val="both"/>
        <w:rPr>
          <w:sz w:val="24"/>
          <w:szCs w:val="24"/>
        </w:rPr>
      </w:pPr>
    </w:p>
    <w:p w14:paraId="4E96C6F3" w14:textId="77777777" w:rsidR="008F6A45" w:rsidRDefault="008F6A45">
      <w:pPr>
        <w:jc w:val="both"/>
        <w:rPr>
          <w:sz w:val="24"/>
          <w:szCs w:val="24"/>
        </w:rPr>
      </w:pPr>
    </w:p>
    <w:p w14:paraId="095B2E00" w14:textId="77777777" w:rsidR="008F6A45" w:rsidRDefault="008F6A45">
      <w:pPr>
        <w:jc w:val="both"/>
        <w:rPr>
          <w:sz w:val="24"/>
          <w:szCs w:val="24"/>
        </w:rPr>
      </w:pPr>
    </w:p>
    <w:p w14:paraId="0A0061B0" w14:textId="77777777" w:rsidR="008F6A45" w:rsidRDefault="008F6A45">
      <w:pPr>
        <w:jc w:val="both"/>
        <w:rPr>
          <w:sz w:val="24"/>
          <w:szCs w:val="24"/>
        </w:rPr>
      </w:pPr>
    </w:p>
    <w:p w14:paraId="4BB04C71" w14:textId="77777777" w:rsidR="008F6A45" w:rsidRDefault="008F6A45">
      <w:pPr>
        <w:jc w:val="both"/>
        <w:rPr>
          <w:sz w:val="24"/>
          <w:szCs w:val="24"/>
        </w:rPr>
      </w:pPr>
    </w:p>
    <w:p w14:paraId="45716B09" w14:textId="77777777" w:rsidR="008F6A45" w:rsidRDefault="008F6A45">
      <w:pPr>
        <w:jc w:val="both"/>
        <w:rPr>
          <w:sz w:val="24"/>
          <w:szCs w:val="24"/>
        </w:rPr>
      </w:pPr>
    </w:p>
    <w:p w14:paraId="2B2405E6" w14:textId="77777777" w:rsidR="008F6A45" w:rsidRDefault="008F6A45">
      <w:pPr>
        <w:jc w:val="both"/>
        <w:rPr>
          <w:sz w:val="24"/>
          <w:szCs w:val="24"/>
        </w:rPr>
      </w:pPr>
    </w:p>
    <w:p w14:paraId="200302ED" w14:textId="77777777" w:rsidR="008F6A45" w:rsidRDefault="008F6A45">
      <w:pPr>
        <w:jc w:val="both"/>
        <w:rPr>
          <w:sz w:val="24"/>
          <w:szCs w:val="24"/>
        </w:rPr>
      </w:pPr>
    </w:p>
    <w:p w14:paraId="2E9404AE" w14:textId="77777777" w:rsidR="008F6A45" w:rsidRDefault="008F6A45">
      <w:pPr>
        <w:jc w:val="both"/>
        <w:rPr>
          <w:sz w:val="24"/>
          <w:szCs w:val="24"/>
        </w:rPr>
      </w:pPr>
    </w:p>
    <w:p w14:paraId="7F846518" w14:textId="77777777" w:rsidR="008F6A45" w:rsidRDefault="008F6A45">
      <w:pPr>
        <w:jc w:val="both"/>
        <w:rPr>
          <w:sz w:val="24"/>
          <w:szCs w:val="24"/>
        </w:rPr>
      </w:pPr>
    </w:p>
    <w:p w14:paraId="15273A6A" w14:textId="77777777" w:rsidR="008F6A45" w:rsidRDefault="00000000">
      <w:pPr>
        <w:jc w:val="both"/>
        <w:rPr>
          <w:b/>
          <w:sz w:val="24"/>
          <w:szCs w:val="24"/>
        </w:rPr>
      </w:pPr>
      <w:r>
        <w:rPr>
          <w:b/>
          <w:sz w:val="24"/>
          <w:szCs w:val="24"/>
        </w:rPr>
        <w:lastRenderedPageBreak/>
        <w:t>What are the top ten states with the highest operational efficiency score, based on normalized staffing ratio and on-time performance?</w:t>
      </w:r>
    </w:p>
    <w:p w14:paraId="1CF8AF2E" w14:textId="77777777" w:rsidR="008F6A45" w:rsidRDefault="008F6A45">
      <w:pPr>
        <w:widowControl w:val="0"/>
        <w:spacing w:line="240" w:lineRule="auto"/>
        <w:jc w:val="both"/>
        <w:rPr>
          <w:sz w:val="24"/>
          <w:szCs w:val="24"/>
        </w:rPr>
      </w:pPr>
    </w:p>
    <w:p w14:paraId="0B6533CF" w14:textId="77777777" w:rsidR="008F6A45" w:rsidRDefault="00000000">
      <w:pPr>
        <w:widowControl w:val="0"/>
        <w:spacing w:after="200" w:line="240" w:lineRule="auto"/>
        <w:jc w:val="both"/>
        <w:rPr>
          <w:b/>
          <w:sz w:val="24"/>
          <w:szCs w:val="24"/>
        </w:rPr>
      </w:pPr>
      <w:r>
        <w:rPr>
          <w:noProof/>
          <w:sz w:val="24"/>
          <w:szCs w:val="24"/>
        </w:rPr>
        <w:drawing>
          <wp:inline distT="19050" distB="19050" distL="19050" distR="19050" wp14:anchorId="3C907266" wp14:editId="0C8177B1">
            <wp:extent cx="5156521" cy="327565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56521" cy="3275659"/>
                    </a:xfrm>
                    <a:prstGeom prst="rect">
                      <a:avLst/>
                    </a:prstGeom>
                    <a:ln/>
                  </pic:spPr>
                </pic:pic>
              </a:graphicData>
            </a:graphic>
          </wp:inline>
        </w:drawing>
      </w:r>
    </w:p>
    <w:p w14:paraId="4481333D" w14:textId="77777777" w:rsidR="008F6A45" w:rsidRDefault="00000000">
      <w:pPr>
        <w:pStyle w:val="Heading3"/>
        <w:keepNext w:val="0"/>
        <w:keepLines w:val="0"/>
        <w:widowControl w:val="0"/>
        <w:spacing w:before="280" w:line="240" w:lineRule="auto"/>
        <w:jc w:val="both"/>
        <w:rPr>
          <w:b/>
          <w:color w:val="000000"/>
          <w:sz w:val="24"/>
          <w:szCs w:val="24"/>
        </w:rPr>
      </w:pPr>
      <w:bookmarkStart w:id="8" w:name="_40ajkkhgjdly" w:colFirst="0" w:colLast="0"/>
      <w:bookmarkEnd w:id="8"/>
      <w:r>
        <w:rPr>
          <w:b/>
          <w:color w:val="000000"/>
          <w:sz w:val="24"/>
          <w:szCs w:val="24"/>
        </w:rPr>
        <w:t>Insights from the SQL Query</w:t>
      </w:r>
    </w:p>
    <w:p w14:paraId="2B9776FD" w14:textId="77777777" w:rsidR="008F6A45" w:rsidRDefault="00000000">
      <w:pPr>
        <w:widowControl w:val="0"/>
        <w:numPr>
          <w:ilvl w:val="0"/>
          <w:numId w:val="19"/>
        </w:numPr>
        <w:spacing w:before="240" w:line="240" w:lineRule="auto"/>
        <w:jc w:val="both"/>
        <w:rPr>
          <w:sz w:val="24"/>
          <w:szCs w:val="24"/>
        </w:rPr>
      </w:pPr>
      <w:r>
        <w:rPr>
          <w:b/>
          <w:sz w:val="24"/>
          <w:szCs w:val="24"/>
        </w:rPr>
        <w:t xml:space="preserve">Top Performing States: </w:t>
      </w:r>
      <w:r>
        <w:rPr>
          <w:sz w:val="24"/>
          <w:szCs w:val="24"/>
        </w:rPr>
        <w:t>Our analysis identifies the top ten states with the highest operational efficiency scores.</w:t>
      </w:r>
    </w:p>
    <w:p w14:paraId="6CBC9ADA" w14:textId="77777777" w:rsidR="008F6A45" w:rsidRDefault="00000000">
      <w:pPr>
        <w:widowControl w:val="0"/>
        <w:numPr>
          <w:ilvl w:val="0"/>
          <w:numId w:val="19"/>
        </w:numPr>
        <w:spacing w:line="240" w:lineRule="auto"/>
        <w:jc w:val="both"/>
        <w:rPr>
          <w:sz w:val="24"/>
          <w:szCs w:val="24"/>
        </w:rPr>
      </w:pPr>
      <w:r>
        <w:rPr>
          <w:b/>
          <w:sz w:val="24"/>
          <w:szCs w:val="24"/>
        </w:rPr>
        <w:t xml:space="preserve">Normalized Metrics: </w:t>
      </w:r>
      <w:r>
        <w:rPr>
          <w:sz w:val="24"/>
          <w:szCs w:val="24"/>
        </w:rPr>
        <w:t>We provide normalized staffing ratios and OTP values for these states, showing how each state compares relative to the best and worst performers in each category.</w:t>
      </w:r>
    </w:p>
    <w:p w14:paraId="1A8DA053" w14:textId="77777777" w:rsidR="008F6A45" w:rsidRDefault="00000000">
      <w:pPr>
        <w:widowControl w:val="0"/>
        <w:numPr>
          <w:ilvl w:val="0"/>
          <w:numId w:val="19"/>
        </w:numPr>
        <w:spacing w:after="240" w:line="240" w:lineRule="auto"/>
        <w:jc w:val="both"/>
        <w:rPr>
          <w:sz w:val="24"/>
          <w:szCs w:val="24"/>
        </w:rPr>
      </w:pPr>
      <w:r>
        <w:rPr>
          <w:b/>
          <w:sz w:val="24"/>
          <w:szCs w:val="24"/>
        </w:rPr>
        <w:t xml:space="preserve">Operational Efficiency Score: </w:t>
      </w:r>
      <w:r>
        <w:rPr>
          <w:sz w:val="24"/>
          <w:szCs w:val="24"/>
        </w:rPr>
        <w:t>By summing the normalized staffing ratio and normalized OTP, we create an overall operational efficiency score for each state.</w:t>
      </w:r>
    </w:p>
    <w:p w14:paraId="464C3EAF" w14:textId="77777777" w:rsidR="008F6A45" w:rsidRDefault="00000000">
      <w:pPr>
        <w:pStyle w:val="Heading3"/>
        <w:keepNext w:val="0"/>
        <w:keepLines w:val="0"/>
        <w:widowControl w:val="0"/>
        <w:spacing w:before="280" w:line="240" w:lineRule="auto"/>
        <w:jc w:val="both"/>
        <w:rPr>
          <w:b/>
          <w:color w:val="000000"/>
          <w:sz w:val="24"/>
          <w:szCs w:val="24"/>
        </w:rPr>
      </w:pPr>
      <w:bookmarkStart w:id="9" w:name="_5ul4ivblydsi" w:colFirst="0" w:colLast="0"/>
      <w:bookmarkEnd w:id="9"/>
      <w:r>
        <w:rPr>
          <w:b/>
          <w:color w:val="000000"/>
          <w:sz w:val="24"/>
          <w:szCs w:val="24"/>
        </w:rPr>
        <w:t>Key Findings</w:t>
      </w:r>
    </w:p>
    <w:p w14:paraId="760D91B1" w14:textId="77777777" w:rsidR="008F6A45" w:rsidRDefault="00000000">
      <w:pPr>
        <w:widowControl w:val="0"/>
        <w:numPr>
          <w:ilvl w:val="0"/>
          <w:numId w:val="14"/>
        </w:numPr>
        <w:spacing w:before="240" w:line="240" w:lineRule="auto"/>
        <w:jc w:val="both"/>
        <w:rPr>
          <w:sz w:val="24"/>
          <w:szCs w:val="24"/>
        </w:rPr>
      </w:pPr>
      <w:r>
        <w:rPr>
          <w:b/>
          <w:sz w:val="24"/>
          <w:szCs w:val="24"/>
        </w:rPr>
        <w:t xml:space="preserve">Vermont: </w:t>
      </w:r>
      <w:r>
        <w:rPr>
          <w:sz w:val="24"/>
          <w:szCs w:val="24"/>
        </w:rPr>
        <w:t>Vermont has the highest operational efficiency score, indicating it has the best balance of staffing ratio and OTP among the states analyzed.</w:t>
      </w:r>
    </w:p>
    <w:p w14:paraId="019B3681" w14:textId="77777777" w:rsidR="008F6A45" w:rsidRDefault="00000000">
      <w:pPr>
        <w:widowControl w:val="0"/>
        <w:numPr>
          <w:ilvl w:val="0"/>
          <w:numId w:val="14"/>
        </w:numPr>
        <w:spacing w:line="240" w:lineRule="auto"/>
        <w:jc w:val="both"/>
        <w:rPr>
          <w:sz w:val="24"/>
          <w:szCs w:val="24"/>
        </w:rPr>
      </w:pPr>
      <w:r>
        <w:rPr>
          <w:b/>
          <w:sz w:val="24"/>
          <w:szCs w:val="24"/>
        </w:rPr>
        <w:t xml:space="preserve">Oklahoma and Maine: </w:t>
      </w:r>
      <w:r>
        <w:rPr>
          <w:sz w:val="24"/>
          <w:szCs w:val="24"/>
        </w:rPr>
        <w:t>These states follow Vermont, showing good operational efficiency but with lower normalized staffing ratios compared to Vermont.</w:t>
      </w:r>
    </w:p>
    <w:p w14:paraId="3A86A870" w14:textId="77777777" w:rsidR="008F6A45" w:rsidRDefault="00000000">
      <w:pPr>
        <w:widowControl w:val="0"/>
        <w:numPr>
          <w:ilvl w:val="0"/>
          <w:numId w:val="14"/>
        </w:numPr>
        <w:spacing w:line="240" w:lineRule="auto"/>
        <w:jc w:val="both"/>
        <w:rPr>
          <w:sz w:val="24"/>
          <w:szCs w:val="24"/>
        </w:rPr>
      </w:pPr>
      <w:r>
        <w:rPr>
          <w:b/>
          <w:sz w:val="24"/>
          <w:szCs w:val="24"/>
        </w:rPr>
        <w:t xml:space="preserve">Connecticut, Rhode Island, and Massachusetts: </w:t>
      </w:r>
      <w:r>
        <w:rPr>
          <w:sz w:val="24"/>
          <w:szCs w:val="24"/>
        </w:rPr>
        <w:t>These states have high OTP but lower staffing ratios, contributing to their overall efficiency scores.</w:t>
      </w:r>
    </w:p>
    <w:p w14:paraId="5AF8A5A8" w14:textId="77777777" w:rsidR="008F6A45" w:rsidRDefault="00000000">
      <w:pPr>
        <w:widowControl w:val="0"/>
        <w:numPr>
          <w:ilvl w:val="0"/>
          <w:numId w:val="14"/>
        </w:numPr>
        <w:spacing w:after="240" w:line="240" w:lineRule="auto"/>
        <w:jc w:val="both"/>
        <w:rPr>
          <w:sz w:val="24"/>
          <w:szCs w:val="24"/>
        </w:rPr>
      </w:pPr>
      <w:r>
        <w:rPr>
          <w:b/>
          <w:sz w:val="24"/>
          <w:szCs w:val="24"/>
        </w:rPr>
        <w:t xml:space="preserve">District of Columbia and New York: </w:t>
      </w:r>
      <w:r>
        <w:rPr>
          <w:sz w:val="24"/>
          <w:szCs w:val="24"/>
        </w:rPr>
        <w:t>These states have the lowest scores in the top ten, indicating room for improvement in both staffing ratios and OTP.</w:t>
      </w:r>
    </w:p>
    <w:p w14:paraId="4926024F" w14:textId="77777777" w:rsidR="00A35F61" w:rsidRDefault="00A35F61">
      <w:pPr>
        <w:pStyle w:val="Heading3"/>
        <w:keepNext w:val="0"/>
        <w:keepLines w:val="0"/>
        <w:widowControl w:val="0"/>
        <w:spacing w:before="280" w:line="240" w:lineRule="auto"/>
        <w:jc w:val="both"/>
        <w:rPr>
          <w:b/>
          <w:color w:val="000000"/>
          <w:sz w:val="24"/>
          <w:szCs w:val="24"/>
        </w:rPr>
      </w:pPr>
      <w:bookmarkStart w:id="10" w:name="_elbrpmi81sy6" w:colFirst="0" w:colLast="0"/>
      <w:bookmarkEnd w:id="10"/>
    </w:p>
    <w:p w14:paraId="1A90960A" w14:textId="77777777" w:rsidR="00A35F61" w:rsidRDefault="00A35F61">
      <w:pPr>
        <w:pStyle w:val="Heading3"/>
        <w:keepNext w:val="0"/>
        <w:keepLines w:val="0"/>
        <w:widowControl w:val="0"/>
        <w:spacing w:before="280" w:line="240" w:lineRule="auto"/>
        <w:jc w:val="both"/>
        <w:rPr>
          <w:b/>
          <w:color w:val="000000"/>
          <w:sz w:val="24"/>
          <w:szCs w:val="24"/>
        </w:rPr>
      </w:pPr>
    </w:p>
    <w:p w14:paraId="0FF80297" w14:textId="5233715B" w:rsidR="008F6A45" w:rsidRDefault="00000000">
      <w:pPr>
        <w:pStyle w:val="Heading3"/>
        <w:keepNext w:val="0"/>
        <w:keepLines w:val="0"/>
        <w:widowControl w:val="0"/>
        <w:spacing w:before="280" w:line="240" w:lineRule="auto"/>
        <w:jc w:val="both"/>
        <w:rPr>
          <w:b/>
          <w:color w:val="000000"/>
          <w:sz w:val="24"/>
          <w:szCs w:val="24"/>
        </w:rPr>
      </w:pPr>
      <w:r>
        <w:rPr>
          <w:b/>
          <w:color w:val="000000"/>
          <w:sz w:val="24"/>
          <w:szCs w:val="24"/>
        </w:rPr>
        <w:lastRenderedPageBreak/>
        <w:t>Recommendations for the Company</w:t>
      </w:r>
    </w:p>
    <w:p w14:paraId="38880531" w14:textId="77777777" w:rsidR="008F6A45" w:rsidRDefault="00000000">
      <w:pPr>
        <w:widowControl w:val="0"/>
        <w:numPr>
          <w:ilvl w:val="0"/>
          <w:numId w:val="6"/>
        </w:numPr>
        <w:spacing w:before="240" w:line="240" w:lineRule="auto"/>
        <w:jc w:val="both"/>
        <w:rPr>
          <w:sz w:val="24"/>
          <w:szCs w:val="24"/>
        </w:rPr>
      </w:pPr>
      <w:r>
        <w:rPr>
          <w:b/>
          <w:sz w:val="24"/>
          <w:szCs w:val="24"/>
        </w:rPr>
        <w:t xml:space="preserve">Best Practices from Vermont: </w:t>
      </w:r>
      <w:r>
        <w:rPr>
          <w:sz w:val="24"/>
          <w:szCs w:val="24"/>
        </w:rPr>
        <w:t>We recommend investigating the operational strategies employed by Vermont, as they lead to operational efficiency. Implementing similar practices in other states could help improve their performance.</w:t>
      </w:r>
    </w:p>
    <w:p w14:paraId="553BF454" w14:textId="77777777" w:rsidR="008F6A45" w:rsidRDefault="00000000">
      <w:pPr>
        <w:widowControl w:val="0"/>
        <w:numPr>
          <w:ilvl w:val="0"/>
          <w:numId w:val="6"/>
        </w:numPr>
        <w:spacing w:line="240" w:lineRule="auto"/>
        <w:jc w:val="both"/>
        <w:rPr>
          <w:sz w:val="24"/>
          <w:szCs w:val="24"/>
        </w:rPr>
      </w:pPr>
      <w:r>
        <w:rPr>
          <w:b/>
          <w:sz w:val="24"/>
          <w:szCs w:val="24"/>
        </w:rPr>
        <w:t xml:space="preserve">Focus on Staffing Efficiency: </w:t>
      </w:r>
      <w:r>
        <w:rPr>
          <w:sz w:val="24"/>
          <w:szCs w:val="24"/>
        </w:rPr>
        <w:t>States like Connecticut and Rhode Island, which have high OTP but low staffing ratios, should focus on optimizing their staffing levels to enhance overall efficiency.</w:t>
      </w:r>
    </w:p>
    <w:p w14:paraId="781917F3" w14:textId="77777777" w:rsidR="008F6A45" w:rsidRDefault="00000000">
      <w:pPr>
        <w:widowControl w:val="0"/>
        <w:numPr>
          <w:ilvl w:val="0"/>
          <w:numId w:val="6"/>
        </w:numPr>
        <w:spacing w:line="240" w:lineRule="auto"/>
        <w:jc w:val="both"/>
        <w:rPr>
          <w:sz w:val="24"/>
          <w:szCs w:val="24"/>
        </w:rPr>
      </w:pPr>
      <w:r>
        <w:rPr>
          <w:b/>
          <w:sz w:val="24"/>
          <w:szCs w:val="24"/>
        </w:rPr>
        <w:t xml:space="preserve">Improving OTP in Lower Scoring States: </w:t>
      </w:r>
      <w:r>
        <w:rPr>
          <w:sz w:val="24"/>
          <w:szCs w:val="24"/>
        </w:rPr>
        <w:t>States like the District of Columbia and New York need to improve their OTP to boost their operational efficiency. Investigating the causes of delays and implementing targeted interventions could help achieve this.</w:t>
      </w:r>
    </w:p>
    <w:p w14:paraId="75B8B285" w14:textId="77777777" w:rsidR="008F6A45" w:rsidRDefault="00000000">
      <w:pPr>
        <w:widowControl w:val="0"/>
        <w:numPr>
          <w:ilvl w:val="0"/>
          <w:numId w:val="6"/>
        </w:numPr>
        <w:spacing w:line="240" w:lineRule="auto"/>
        <w:jc w:val="both"/>
        <w:rPr>
          <w:sz w:val="24"/>
          <w:szCs w:val="24"/>
        </w:rPr>
      </w:pPr>
      <w:r>
        <w:rPr>
          <w:b/>
          <w:sz w:val="24"/>
          <w:szCs w:val="24"/>
        </w:rPr>
        <w:t xml:space="preserve">Balanced Approach: </w:t>
      </w:r>
      <w:r>
        <w:rPr>
          <w:sz w:val="24"/>
          <w:szCs w:val="24"/>
        </w:rPr>
        <w:t>Encourage a balanced approach to both staffing and OTP, as states with balanced metrics tend to have higher operational efficiency scores.</w:t>
      </w:r>
    </w:p>
    <w:p w14:paraId="49A59213" w14:textId="77777777" w:rsidR="008F6A45" w:rsidRDefault="00000000">
      <w:pPr>
        <w:widowControl w:val="0"/>
        <w:numPr>
          <w:ilvl w:val="0"/>
          <w:numId w:val="6"/>
        </w:numPr>
        <w:spacing w:after="240" w:line="240" w:lineRule="auto"/>
        <w:jc w:val="both"/>
        <w:rPr>
          <w:sz w:val="24"/>
          <w:szCs w:val="24"/>
        </w:rPr>
      </w:pPr>
      <w:r>
        <w:rPr>
          <w:b/>
          <w:sz w:val="24"/>
          <w:szCs w:val="24"/>
        </w:rPr>
        <w:t xml:space="preserve">Continuous Monitoring: </w:t>
      </w:r>
      <w:r>
        <w:rPr>
          <w:sz w:val="24"/>
          <w:szCs w:val="24"/>
        </w:rPr>
        <w:t>Regularly monitor and adjust staffing and operational practices to ensure sustained improvements in efficiency.</w:t>
      </w:r>
    </w:p>
    <w:p w14:paraId="6FE1C32F" w14:textId="77777777" w:rsidR="008F6A45" w:rsidRDefault="00000000">
      <w:pPr>
        <w:rPr>
          <w:b/>
          <w:sz w:val="24"/>
          <w:szCs w:val="24"/>
        </w:rPr>
      </w:pPr>
      <w:r>
        <w:rPr>
          <w:b/>
          <w:sz w:val="24"/>
          <w:szCs w:val="24"/>
        </w:rPr>
        <w:t>What are each route's categories (e.g. Low, Medium, High) based on their on-time performance?</w:t>
      </w:r>
    </w:p>
    <w:p w14:paraId="4309CB93" w14:textId="77777777" w:rsidR="008F6A45" w:rsidRDefault="008F6A45">
      <w:pPr>
        <w:rPr>
          <w:b/>
          <w:sz w:val="24"/>
          <w:szCs w:val="24"/>
        </w:rPr>
      </w:pPr>
    </w:p>
    <w:p w14:paraId="69D396A6" w14:textId="77777777" w:rsidR="008F6A45" w:rsidRDefault="00000000">
      <w:pPr>
        <w:ind w:left="720"/>
        <w:rPr>
          <w:b/>
          <w:color w:val="000000"/>
          <w:sz w:val="24"/>
          <w:szCs w:val="24"/>
        </w:rPr>
      </w:pPr>
      <w:r>
        <w:rPr>
          <w:b/>
          <w:noProof/>
          <w:sz w:val="24"/>
          <w:szCs w:val="24"/>
        </w:rPr>
        <w:drawing>
          <wp:inline distT="19050" distB="19050" distL="19050" distR="19050" wp14:anchorId="5DD98376" wp14:editId="7C952E9D">
            <wp:extent cx="5683751" cy="364967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683751" cy="3649674"/>
                    </a:xfrm>
                    <a:prstGeom prst="rect">
                      <a:avLst/>
                    </a:prstGeom>
                    <a:ln/>
                  </pic:spPr>
                </pic:pic>
              </a:graphicData>
            </a:graphic>
          </wp:inline>
        </w:drawing>
      </w:r>
    </w:p>
    <w:p w14:paraId="1048A2C0" w14:textId="77777777" w:rsidR="00A35F61" w:rsidRDefault="00A35F61">
      <w:pPr>
        <w:pStyle w:val="Heading3"/>
        <w:keepNext w:val="0"/>
        <w:keepLines w:val="0"/>
        <w:widowControl w:val="0"/>
        <w:spacing w:before="280" w:line="240" w:lineRule="auto"/>
        <w:jc w:val="both"/>
        <w:rPr>
          <w:b/>
          <w:color w:val="000000"/>
          <w:sz w:val="24"/>
          <w:szCs w:val="24"/>
        </w:rPr>
      </w:pPr>
      <w:bookmarkStart w:id="11" w:name="_11b2l6ahv6mb" w:colFirst="0" w:colLast="0"/>
      <w:bookmarkEnd w:id="11"/>
    </w:p>
    <w:p w14:paraId="6958B73F" w14:textId="77777777" w:rsidR="00A35F61" w:rsidRDefault="00A35F61">
      <w:pPr>
        <w:pStyle w:val="Heading3"/>
        <w:keepNext w:val="0"/>
        <w:keepLines w:val="0"/>
        <w:widowControl w:val="0"/>
        <w:spacing w:before="280" w:line="240" w:lineRule="auto"/>
        <w:jc w:val="both"/>
        <w:rPr>
          <w:b/>
          <w:color w:val="000000"/>
          <w:sz w:val="24"/>
          <w:szCs w:val="24"/>
        </w:rPr>
      </w:pPr>
    </w:p>
    <w:p w14:paraId="75474CBF" w14:textId="4D985DF1" w:rsidR="008F6A45" w:rsidRDefault="00000000">
      <w:pPr>
        <w:pStyle w:val="Heading3"/>
        <w:keepNext w:val="0"/>
        <w:keepLines w:val="0"/>
        <w:widowControl w:val="0"/>
        <w:spacing w:before="280" w:line="240" w:lineRule="auto"/>
        <w:jc w:val="both"/>
        <w:rPr>
          <w:color w:val="000000"/>
          <w:sz w:val="24"/>
          <w:szCs w:val="24"/>
        </w:rPr>
      </w:pPr>
      <w:r>
        <w:rPr>
          <w:b/>
          <w:color w:val="000000"/>
          <w:sz w:val="24"/>
          <w:szCs w:val="24"/>
        </w:rPr>
        <w:lastRenderedPageBreak/>
        <w:t>Insights from the SQL Query</w:t>
      </w:r>
    </w:p>
    <w:p w14:paraId="4B58318C" w14:textId="77777777" w:rsidR="008F6A45" w:rsidRDefault="00000000">
      <w:pPr>
        <w:spacing w:before="240" w:after="240"/>
        <w:rPr>
          <w:b/>
          <w:sz w:val="24"/>
          <w:szCs w:val="24"/>
        </w:rPr>
      </w:pPr>
      <w:r>
        <w:rPr>
          <w:b/>
          <w:sz w:val="24"/>
          <w:szCs w:val="24"/>
        </w:rPr>
        <w:t>Route Performance Categories</w:t>
      </w:r>
    </w:p>
    <w:p w14:paraId="1171B2EF" w14:textId="77777777" w:rsidR="008F6A45" w:rsidRDefault="00000000">
      <w:pPr>
        <w:numPr>
          <w:ilvl w:val="0"/>
          <w:numId w:val="12"/>
        </w:numPr>
        <w:spacing w:before="240"/>
        <w:rPr>
          <w:sz w:val="24"/>
          <w:szCs w:val="24"/>
        </w:rPr>
      </w:pPr>
      <w:r>
        <w:rPr>
          <w:sz w:val="24"/>
          <w:szCs w:val="24"/>
        </w:rPr>
        <w:t>Routes are categorized based on their average OTP percentages:</w:t>
      </w:r>
    </w:p>
    <w:p w14:paraId="51EA43F4" w14:textId="77777777" w:rsidR="008F6A45" w:rsidRDefault="00000000">
      <w:pPr>
        <w:numPr>
          <w:ilvl w:val="1"/>
          <w:numId w:val="12"/>
        </w:numPr>
        <w:rPr>
          <w:sz w:val="24"/>
          <w:szCs w:val="24"/>
        </w:rPr>
      </w:pPr>
      <w:r>
        <w:rPr>
          <w:sz w:val="24"/>
          <w:szCs w:val="24"/>
        </w:rPr>
        <w:t>High: Routes with an average OTP of 85% or higher.</w:t>
      </w:r>
    </w:p>
    <w:p w14:paraId="233DCC45" w14:textId="77777777" w:rsidR="008F6A45" w:rsidRDefault="00000000">
      <w:pPr>
        <w:numPr>
          <w:ilvl w:val="1"/>
          <w:numId w:val="12"/>
        </w:numPr>
        <w:rPr>
          <w:sz w:val="24"/>
          <w:szCs w:val="24"/>
        </w:rPr>
      </w:pPr>
      <w:r>
        <w:rPr>
          <w:sz w:val="24"/>
          <w:szCs w:val="24"/>
        </w:rPr>
        <w:t>Medium: Routes with an average OTP between 60% and 85%.</w:t>
      </w:r>
    </w:p>
    <w:p w14:paraId="14D24ABC" w14:textId="77777777" w:rsidR="008F6A45" w:rsidRDefault="00000000">
      <w:pPr>
        <w:numPr>
          <w:ilvl w:val="1"/>
          <w:numId w:val="12"/>
        </w:numPr>
        <w:rPr>
          <w:sz w:val="24"/>
          <w:szCs w:val="24"/>
        </w:rPr>
      </w:pPr>
      <w:r>
        <w:rPr>
          <w:sz w:val="24"/>
          <w:szCs w:val="24"/>
        </w:rPr>
        <w:t>Low: Routes with an average OTP below 60%.</w:t>
      </w:r>
    </w:p>
    <w:p w14:paraId="6289D5B4" w14:textId="77777777" w:rsidR="008F6A45" w:rsidRDefault="00000000">
      <w:pPr>
        <w:numPr>
          <w:ilvl w:val="0"/>
          <w:numId w:val="12"/>
        </w:numPr>
        <w:spacing w:after="240"/>
        <w:rPr>
          <w:sz w:val="24"/>
          <w:szCs w:val="24"/>
        </w:rPr>
      </w:pPr>
      <w:r>
        <w:rPr>
          <w:sz w:val="24"/>
          <w:szCs w:val="24"/>
        </w:rPr>
        <w:t>This classification helps identify which routes are performing well and which need improvement.</w:t>
      </w:r>
    </w:p>
    <w:p w14:paraId="5CD83833" w14:textId="77777777" w:rsidR="008F6A45" w:rsidRDefault="00000000">
      <w:pPr>
        <w:spacing w:before="240" w:after="240"/>
        <w:rPr>
          <w:b/>
          <w:sz w:val="24"/>
          <w:szCs w:val="24"/>
        </w:rPr>
      </w:pPr>
      <w:r>
        <w:rPr>
          <w:b/>
          <w:sz w:val="24"/>
          <w:szCs w:val="24"/>
        </w:rPr>
        <w:t>Distribution of Performance Categories</w:t>
      </w:r>
    </w:p>
    <w:p w14:paraId="6DF0E640" w14:textId="77777777" w:rsidR="008F6A45" w:rsidRDefault="00000000">
      <w:pPr>
        <w:numPr>
          <w:ilvl w:val="0"/>
          <w:numId w:val="13"/>
        </w:numPr>
        <w:spacing w:before="240"/>
        <w:rPr>
          <w:sz w:val="24"/>
          <w:szCs w:val="24"/>
        </w:rPr>
      </w:pPr>
      <w:r>
        <w:rPr>
          <w:sz w:val="24"/>
          <w:szCs w:val="24"/>
        </w:rPr>
        <w:t>Medium Category: The majority of routes fall into the Medium category, indicating a significant number of routes have moderate on-time performance.</w:t>
      </w:r>
    </w:p>
    <w:p w14:paraId="4DBE0A67" w14:textId="77777777" w:rsidR="008F6A45" w:rsidRDefault="00000000">
      <w:pPr>
        <w:numPr>
          <w:ilvl w:val="0"/>
          <w:numId w:val="13"/>
        </w:numPr>
        <w:rPr>
          <w:sz w:val="24"/>
          <w:szCs w:val="24"/>
        </w:rPr>
      </w:pPr>
      <w:r>
        <w:rPr>
          <w:sz w:val="24"/>
          <w:szCs w:val="24"/>
        </w:rPr>
        <w:t>High Category: Fewer routes are categorized as High, showing that only a limited number of routes consistently achieve high reliability.</w:t>
      </w:r>
    </w:p>
    <w:p w14:paraId="0EA1F381" w14:textId="77777777" w:rsidR="008F6A45" w:rsidRDefault="00000000">
      <w:pPr>
        <w:numPr>
          <w:ilvl w:val="0"/>
          <w:numId w:val="13"/>
        </w:numPr>
        <w:spacing w:after="240"/>
        <w:rPr>
          <w:sz w:val="24"/>
          <w:szCs w:val="24"/>
        </w:rPr>
      </w:pPr>
      <w:r>
        <w:rPr>
          <w:sz w:val="24"/>
          <w:szCs w:val="24"/>
        </w:rPr>
        <w:t>Low Category: Some routes fall into the Low category, highlighting areas with substantial delays and operational challenges.</w:t>
      </w:r>
    </w:p>
    <w:p w14:paraId="7607466B" w14:textId="77777777" w:rsidR="008F6A45" w:rsidRDefault="00000000">
      <w:pPr>
        <w:spacing w:before="240" w:after="240"/>
        <w:rPr>
          <w:b/>
          <w:sz w:val="24"/>
          <w:szCs w:val="24"/>
        </w:rPr>
      </w:pPr>
      <w:r>
        <w:rPr>
          <w:b/>
          <w:sz w:val="24"/>
          <w:szCs w:val="24"/>
        </w:rPr>
        <w:t>Recommendations</w:t>
      </w:r>
    </w:p>
    <w:p w14:paraId="10257DAC" w14:textId="77777777" w:rsidR="008F6A45" w:rsidRDefault="00000000">
      <w:pPr>
        <w:widowControl w:val="0"/>
        <w:numPr>
          <w:ilvl w:val="0"/>
          <w:numId w:val="7"/>
        </w:numPr>
        <w:spacing w:before="240"/>
        <w:rPr>
          <w:b/>
          <w:sz w:val="24"/>
          <w:szCs w:val="24"/>
        </w:rPr>
      </w:pPr>
      <w:r>
        <w:rPr>
          <w:b/>
          <w:sz w:val="24"/>
          <w:szCs w:val="24"/>
        </w:rPr>
        <w:t>Focus on Low-Performance Routes</w:t>
      </w:r>
    </w:p>
    <w:p w14:paraId="0952DA46" w14:textId="77777777" w:rsidR="008F6A45" w:rsidRDefault="00000000">
      <w:pPr>
        <w:widowControl w:val="0"/>
        <w:numPr>
          <w:ilvl w:val="0"/>
          <w:numId w:val="2"/>
        </w:numPr>
        <w:rPr>
          <w:sz w:val="24"/>
          <w:szCs w:val="24"/>
        </w:rPr>
      </w:pPr>
      <w:r>
        <w:rPr>
          <w:sz w:val="24"/>
          <w:szCs w:val="24"/>
        </w:rPr>
        <w:t>We recommend conducting a detailed analysis of routes in the Low category to identify common causes of delays, such as infrastructure issues, scheduling conflicts, or maintenance problems.</w:t>
      </w:r>
    </w:p>
    <w:p w14:paraId="4A8C580A" w14:textId="77777777" w:rsidR="008F6A45" w:rsidRDefault="00000000">
      <w:pPr>
        <w:widowControl w:val="0"/>
        <w:numPr>
          <w:ilvl w:val="0"/>
          <w:numId w:val="2"/>
        </w:numPr>
        <w:rPr>
          <w:sz w:val="24"/>
          <w:szCs w:val="24"/>
        </w:rPr>
      </w:pPr>
      <w:r>
        <w:rPr>
          <w:sz w:val="24"/>
          <w:szCs w:val="24"/>
        </w:rPr>
        <w:t>Implement targeted interventions like improving track conditions, optimizing schedules, and increasing maintenance efforts to enhance OTP.</w:t>
      </w:r>
    </w:p>
    <w:p w14:paraId="051A62B6" w14:textId="77777777" w:rsidR="008F6A45" w:rsidRDefault="00000000">
      <w:pPr>
        <w:widowControl w:val="0"/>
        <w:numPr>
          <w:ilvl w:val="0"/>
          <w:numId w:val="7"/>
        </w:numPr>
        <w:rPr>
          <w:b/>
          <w:sz w:val="24"/>
          <w:szCs w:val="24"/>
        </w:rPr>
      </w:pPr>
      <w:r>
        <w:rPr>
          <w:b/>
          <w:sz w:val="24"/>
          <w:szCs w:val="24"/>
        </w:rPr>
        <w:t>Best Practices from High-Performance Routes</w:t>
      </w:r>
    </w:p>
    <w:p w14:paraId="604982E2" w14:textId="77777777" w:rsidR="008F6A45" w:rsidRDefault="00000000">
      <w:pPr>
        <w:widowControl w:val="0"/>
        <w:numPr>
          <w:ilvl w:val="0"/>
          <w:numId w:val="1"/>
        </w:numPr>
        <w:rPr>
          <w:sz w:val="24"/>
          <w:szCs w:val="24"/>
        </w:rPr>
      </w:pPr>
      <w:r>
        <w:rPr>
          <w:sz w:val="24"/>
          <w:szCs w:val="24"/>
        </w:rPr>
        <w:t>Study the routes in the High category to understand what contributes to their success. Factors might include better resource allocation, effective crew management, or superior infrastructure.</w:t>
      </w:r>
    </w:p>
    <w:p w14:paraId="7F2EFCBA" w14:textId="77777777" w:rsidR="008F6A45" w:rsidRDefault="00000000">
      <w:pPr>
        <w:widowControl w:val="0"/>
        <w:numPr>
          <w:ilvl w:val="0"/>
          <w:numId w:val="1"/>
        </w:numPr>
        <w:rPr>
          <w:sz w:val="24"/>
          <w:szCs w:val="24"/>
        </w:rPr>
      </w:pPr>
      <w:r>
        <w:rPr>
          <w:sz w:val="24"/>
          <w:szCs w:val="24"/>
        </w:rPr>
        <w:t>Apply these best practices to other routes, particularly those in the Medium category, to elevate their performance.</w:t>
      </w:r>
    </w:p>
    <w:p w14:paraId="48A26999" w14:textId="77777777" w:rsidR="008F6A45" w:rsidRDefault="00000000">
      <w:pPr>
        <w:widowControl w:val="0"/>
        <w:numPr>
          <w:ilvl w:val="0"/>
          <w:numId w:val="7"/>
        </w:numPr>
        <w:rPr>
          <w:b/>
          <w:sz w:val="24"/>
          <w:szCs w:val="24"/>
        </w:rPr>
      </w:pPr>
      <w:r>
        <w:rPr>
          <w:b/>
          <w:sz w:val="24"/>
          <w:szCs w:val="24"/>
        </w:rPr>
        <w:t>Operational Improvements for Medium Routes</w:t>
      </w:r>
    </w:p>
    <w:p w14:paraId="19BA005B" w14:textId="77777777" w:rsidR="008F6A45" w:rsidRDefault="00000000">
      <w:pPr>
        <w:widowControl w:val="0"/>
        <w:numPr>
          <w:ilvl w:val="0"/>
          <w:numId w:val="8"/>
        </w:numPr>
        <w:rPr>
          <w:sz w:val="24"/>
          <w:szCs w:val="24"/>
        </w:rPr>
      </w:pPr>
      <w:r>
        <w:rPr>
          <w:sz w:val="24"/>
          <w:szCs w:val="24"/>
        </w:rPr>
        <w:t>For routes in the Medium category, focus on incremental improvements. This could include minor schedule adjustments, improved coordination between connecting services, and enhanced passenger communication during delays.</w:t>
      </w:r>
    </w:p>
    <w:p w14:paraId="0FAC5A82" w14:textId="77777777" w:rsidR="008F6A45" w:rsidRDefault="00000000">
      <w:pPr>
        <w:widowControl w:val="0"/>
        <w:numPr>
          <w:ilvl w:val="0"/>
          <w:numId w:val="8"/>
        </w:numPr>
        <w:rPr>
          <w:sz w:val="24"/>
          <w:szCs w:val="24"/>
        </w:rPr>
      </w:pPr>
      <w:r>
        <w:rPr>
          <w:sz w:val="24"/>
          <w:szCs w:val="24"/>
        </w:rPr>
        <w:t>Monitor the impact of these changes regularly and adjust strategies as needed to push more routes into the High category.</w:t>
      </w:r>
    </w:p>
    <w:p w14:paraId="6218F096" w14:textId="77777777" w:rsidR="008F6A45" w:rsidRDefault="00000000">
      <w:pPr>
        <w:widowControl w:val="0"/>
        <w:numPr>
          <w:ilvl w:val="0"/>
          <w:numId w:val="7"/>
        </w:numPr>
        <w:rPr>
          <w:b/>
          <w:sz w:val="24"/>
          <w:szCs w:val="24"/>
        </w:rPr>
      </w:pPr>
      <w:r>
        <w:rPr>
          <w:b/>
          <w:sz w:val="24"/>
          <w:szCs w:val="24"/>
        </w:rPr>
        <w:lastRenderedPageBreak/>
        <w:t>Customer Communication and Expectation Management</w:t>
      </w:r>
    </w:p>
    <w:p w14:paraId="71D28FA5" w14:textId="77777777" w:rsidR="008F6A45" w:rsidRDefault="00000000">
      <w:pPr>
        <w:widowControl w:val="0"/>
        <w:numPr>
          <w:ilvl w:val="0"/>
          <w:numId w:val="17"/>
        </w:numPr>
        <w:rPr>
          <w:sz w:val="24"/>
          <w:szCs w:val="24"/>
        </w:rPr>
      </w:pPr>
      <w:r>
        <w:rPr>
          <w:sz w:val="24"/>
          <w:szCs w:val="24"/>
        </w:rPr>
        <w:t>Enhance communication with passengers, especially on routes with Medium and Low performance. Provide real-time updates and clear information about delays and expected arrival times.</w:t>
      </w:r>
    </w:p>
    <w:p w14:paraId="35DD8F06" w14:textId="77777777" w:rsidR="008F6A45" w:rsidRDefault="00000000">
      <w:pPr>
        <w:widowControl w:val="0"/>
        <w:numPr>
          <w:ilvl w:val="0"/>
          <w:numId w:val="17"/>
        </w:numPr>
        <w:rPr>
          <w:sz w:val="24"/>
          <w:szCs w:val="24"/>
        </w:rPr>
      </w:pPr>
      <w:r>
        <w:rPr>
          <w:sz w:val="24"/>
          <w:szCs w:val="24"/>
        </w:rPr>
        <w:t>Manage customer expectations by being transparent about efforts to improve OTP and the anticipated timeline for these improvements.</w:t>
      </w:r>
    </w:p>
    <w:p w14:paraId="0FC4AA2E" w14:textId="77777777" w:rsidR="008F6A45" w:rsidRDefault="00000000">
      <w:pPr>
        <w:widowControl w:val="0"/>
        <w:numPr>
          <w:ilvl w:val="0"/>
          <w:numId w:val="7"/>
        </w:numPr>
        <w:rPr>
          <w:b/>
          <w:sz w:val="24"/>
          <w:szCs w:val="24"/>
        </w:rPr>
      </w:pPr>
      <w:r>
        <w:rPr>
          <w:b/>
          <w:sz w:val="24"/>
          <w:szCs w:val="24"/>
        </w:rPr>
        <w:t>Resource Allocation and Investment</w:t>
      </w:r>
    </w:p>
    <w:p w14:paraId="06C167C1" w14:textId="77777777" w:rsidR="008F6A45" w:rsidRDefault="00000000">
      <w:pPr>
        <w:widowControl w:val="0"/>
        <w:numPr>
          <w:ilvl w:val="0"/>
          <w:numId w:val="10"/>
        </w:numPr>
        <w:jc w:val="both"/>
        <w:rPr>
          <w:sz w:val="24"/>
          <w:szCs w:val="24"/>
        </w:rPr>
      </w:pPr>
      <w:r>
        <w:rPr>
          <w:sz w:val="24"/>
          <w:szCs w:val="24"/>
        </w:rPr>
        <w:t xml:space="preserve">The high-performing routes are primarily located in the Northeastern and Midwestern regions of the U.S., while the low-performing routes are concentrated in the Southwest and Southern parts. </w:t>
      </w:r>
    </w:p>
    <w:p w14:paraId="44B5FDB4" w14:textId="77777777" w:rsidR="008F6A45" w:rsidRDefault="00000000">
      <w:pPr>
        <w:widowControl w:val="0"/>
        <w:numPr>
          <w:ilvl w:val="0"/>
          <w:numId w:val="10"/>
        </w:numPr>
        <w:jc w:val="both"/>
        <w:rPr>
          <w:sz w:val="24"/>
          <w:szCs w:val="24"/>
        </w:rPr>
      </w:pPr>
      <w:r>
        <w:rPr>
          <w:sz w:val="24"/>
          <w:szCs w:val="24"/>
        </w:rPr>
        <w:t>To improve performance, it is crucial to allocate more resources and investment to these Southwest and Southern routes, which show the greatest potential for improvement. Focus on prioritizing infrastructure upgrades and implementing technology enhancements to drive better performance on these routes.</w:t>
      </w:r>
    </w:p>
    <w:p w14:paraId="14D2AAC6" w14:textId="77777777" w:rsidR="008F6A45" w:rsidRDefault="00000000">
      <w:pPr>
        <w:widowControl w:val="0"/>
        <w:numPr>
          <w:ilvl w:val="0"/>
          <w:numId w:val="10"/>
        </w:numPr>
        <w:spacing w:after="240"/>
        <w:rPr>
          <w:sz w:val="24"/>
          <w:szCs w:val="24"/>
        </w:rPr>
      </w:pPr>
      <w:r>
        <w:rPr>
          <w:sz w:val="24"/>
          <w:szCs w:val="24"/>
        </w:rPr>
        <w:t>Consider investing in advanced scheduling software and predictive maintenance technologies to proactively address potential issues.</w:t>
      </w:r>
    </w:p>
    <w:p w14:paraId="7D96B73A" w14:textId="77777777" w:rsidR="00A35F61" w:rsidRDefault="00A35F61">
      <w:pPr>
        <w:rPr>
          <w:b/>
          <w:sz w:val="24"/>
          <w:szCs w:val="24"/>
          <w:highlight w:val="white"/>
          <w:u w:val="single"/>
        </w:rPr>
      </w:pPr>
    </w:p>
    <w:p w14:paraId="70EE333C" w14:textId="1D9F268D" w:rsidR="008F6A45" w:rsidRDefault="00000000">
      <w:pPr>
        <w:rPr>
          <w:b/>
          <w:sz w:val="24"/>
          <w:szCs w:val="24"/>
        </w:rPr>
      </w:pPr>
      <w:r>
        <w:rPr>
          <w:b/>
          <w:sz w:val="24"/>
          <w:szCs w:val="24"/>
          <w:highlight w:val="white"/>
          <w:u w:val="single"/>
        </w:rPr>
        <w:t>FINDINGS AND INSIGHTS (STATE DASHBOARD)</w:t>
      </w:r>
    </w:p>
    <w:p w14:paraId="7D3085AC" w14:textId="51FACA79" w:rsidR="008F6A45" w:rsidRDefault="00156E8B">
      <w:pPr>
        <w:widowControl w:val="0"/>
        <w:spacing w:before="240" w:after="240"/>
        <w:rPr>
          <w:b/>
          <w:sz w:val="24"/>
          <w:szCs w:val="24"/>
        </w:rPr>
      </w:pPr>
      <w:r w:rsidRPr="00156E8B">
        <w:rPr>
          <w:b/>
          <w:noProof/>
          <w:sz w:val="24"/>
          <w:szCs w:val="24"/>
        </w:rPr>
        <w:drawing>
          <wp:inline distT="0" distB="0" distL="0" distR="0" wp14:anchorId="1D366FA2" wp14:editId="4C654E00">
            <wp:extent cx="4898432" cy="3918746"/>
            <wp:effectExtent l="0" t="0" r="3810" b="5715"/>
            <wp:docPr id="1520686149" name="Picture 2" descr="A screenshot of a graph&#10;&#10;Description automatically generated">
              <a:extLst xmlns:a="http://schemas.openxmlformats.org/drawingml/2006/main">
                <a:ext uri="{FF2B5EF4-FFF2-40B4-BE49-F238E27FC236}">
                  <a16:creationId xmlns:a16="http://schemas.microsoft.com/office/drawing/2014/main" id="{213E9B9F-23E8-F41A-3DCA-3F0A349F8A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graph&#10;&#10;Description automatically generated">
                      <a:extLst>
                        <a:ext uri="{FF2B5EF4-FFF2-40B4-BE49-F238E27FC236}">
                          <a16:creationId xmlns:a16="http://schemas.microsoft.com/office/drawing/2014/main" id="{213E9B9F-23E8-F41A-3DCA-3F0A349F8AF0}"/>
                        </a:ext>
                      </a:extLst>
                    </pic:cNvPr>
                    <pic:cNvPicPr>
                      <a:picLocks noChangeAspect="1"/>
                    </pic:cNvPicPr>
                  </pic:nvPicPr>
                  <pic:blipFill>
                    <a:blip r:embed="rId12"/>
                    <a:stretch>
                      <a:fillRect/>
                    </a:stretch>
                  </pic:blipFill>
                  <pic:spPr>
                    <a:xfrm>
                      <a:off x="0" y="0"/>
                      <a:ext cx="4898432" cy="3918746"/>
                    </a:xfrm>
                    <a:prstGeom prst="rect">
                      <a:avLst/>
                    </a:prstGeom>
                  </pic:spPr>
                </pic:pic>
              </a:graphicData>
            </a:graphic>
          </wp:inline>
        </w:drawing>
      </w:r>
    </w:p>
    <w:p w14:paraId="49850182" w14:textId="77777777" w:rsidR="008F6A45" w:rsidRDefault="00000000">
      <w:pPr>
        <w:widowControl w:val="0"/>
        <w:numPr>
          <w:ilvl w:val="0"/>
          <w:numId w:val="20"/>
        </w:numPr>
        <w:spacing w:before="240"/>
        <w:rPr>
          <w:sz w:val="24"/>
          <w:szCs w:val="24"/>
        </w:rPr>
      </w:pPr>
      <w:r>
        <w:rPr>
          <w:b/>
          <w:sz w:val="24"/>
          <w:szCs w:val="24"/>
        </w:rPr>
        <w:lastRenderedPageBreak/>
        <w:t xml:space="preserve">Maine, Vermont, Rhode Island, Massachusetts, and New Hampshire </w:t>
      </w:r>
      <w:r>
        <w:rPr>
          <w:sz w:val="24"/>
          <w:szCs w:val="24"/>
        </w:rPr>
        <w:t xml:space="preserve">stand out for excelling in both customer engagement and operational efficiency. </w:t>
      </w:r>
    </w:p>
    <w:p w14:paraId="0E97B2F8" w14:textId="77777777" w:rsidR="008F6A45" w:rsidRDefault="00000000">
      <w:pPr>
        <w:widowControl w:val="0"/>
        <w:numPr>
          <w:ilvl w:val="0"/>
          <w:numId w:val="20"/>
        </w:numPr>
        <w:rPr>
          <w:sz w:val="24"/>
          <w:szCs w:val="24"/>
        </w:rPr>
      </w:pPr>
      <w:r>
        <w:rPr>
          <w:sz w:val="24"/>
          <w:szCs w:val="24"/>
        </w:rPr>
        <w:t xml:space="preserve">The strong performance in </w:t>
      </w:r>
      <w:r>
        <w:rPr>
          <w:b/>
          <w:sz w:val="24"/>
          <w:szCs w:val="24"/>
        </w:rPr>
        <w:t>customer engagement (reward enrollments)</w:t>
      </w:r>
      <w:r>
        <w:rPr>
          <w:sz w:val="24"/>
          <w:szCs w:val="24"/>
        </w:rPr>
        <w:t xml:space="preserve"> aligns with their </w:t>
      </w:r>
      <w:r>
        <w:rPr>
          <w:b/>
          <w:sz w:val="24"/>
          <w:szCs w:val="24"/>
        </w:rPr>
        <w:t>operational efficiency</w:t>
      </w:r>
      <w:r>
        <w:rPr>
          <w:sz w:val="24"/>
          <w:szCs w:val="24"/>
        </w:rPr>
        <w:t xml:space="preserve">, suggesting a correlation between well-managed operations and higher customer loyalty. </w:t>
      </w:r>
    </w:p>
    <w:p w14:paraId="6CB9864B" w14:textId="77777777" w:rsidR="008F6A45" w:rsidRDefault="00000000">
      <w:pPr>
        <w:widowControl w:val="0"/>
        <w:numPr>
          <w:ilvl w:val="0"/>
          <w:numId w:val="20"/>
        </w:numPr>
        <w:spacing w:after="240"/>
        <w:rPr>
          <w:sz w:val="24"/>
          <w:szCs w:val="24"/>
        </w:rPr>
      </w:pPr>
      <w:r>
        <w:rPr>
          <w:sz w:val="24"/>
          <w:szCs w:val="24"/>
        </w:rPr>
        <w:t xml:space="preserve">For instance, Vermont's top operational efficiency score (1.93) likely supports its ability to deliver consistent, high-quality service, contributing to an 18.10% growth in reward enrollments. </w:t>
      </w:r>
    </w:p>
    <w:p w14:paraId="2461DFE9" w14:textId="77777777" w:rsidR="008F6A45" w:rsidRDefault="00000000">
      <w:pPr>
        <w:jc w:val="both"/>
        <w:rPr>
          <w:sz w:val="24"/>
          <w:szCs w:val="24"/>
        </w:rPr>
      </w:pPr>
      <w:r>
        <w:rPr>
          <w:b/>
          <w:sz w:val="24"/>
          <w:szCs w:val="24"/>
          <w:highlight w:val="white"/>
          <w:u w:val="single"/>
        </w:rPr>
        <w:t>REFERENCES</w:t>
      </w:r>
    </w:p>
    <w:p w14:paraId="59D7C070" w14:textId="77777777" w:rsidR="008F6A45" w:rsidRDefault="00000000">
      <w:pPr>
        <w:numPr>
          <w:ilvl w:val="0"/>
          <w:numId w:val="15"/>
        </w:numPr>
        <w:rPr>
          <w:sz w:val="24"/>
          <w:szCs w:val="24"/>
          <w:highlight w:val="white"/>
        </w:rPr>
      </w:pPr>
      <w:r>
        <w:rPr>
          <w:sz w:val="24"/>
          <w:szCs w:val="24"/>
          <w:highlight w:val="white"/>
        </w:rPr>
        <w:t xml:space="preserve">State factsheets for 2021, 2022, 2023 for State, Station, Guest rewards, Ridership, OTP, Route, and Employment data - </w:t>
      </w:r>
      <w:hyperlink r:id="rId13">
        <w:r w:rsidR="008F6A45">
          <w:rPr>
            <w:sz w:val="24"/>
            <w:szCs w:val="24"/>
            <w:highlight w:val="white"/>
            <w:u w:val="single"/>
          </w:rPr>
          <w:t>https://www.amtrak.com/about-amtrak/amtrak-facts/state-fact-sheets.html</w:t>
        </w:r>
      </w:hyperlink>
    </w:p>
    <w:p w14:paraId="44FE7DE0" w14:textId="77777777" w:rsidR="008F6A45" w:rsidRDefault="00000000">
      <w:pPr>
        <w:numPr>
          <w:ilvl w:val="0"/>
          <w:numId w:val="15"/>
        </w:numPr>
        <w:rPr>
          <w:sz w:val="24"/>
          <w:szCs w:val="24"/>
          <w:highlight w:val="white"/>
        </w:rPr>
      </w:pPr>
      <w:r>
        <w:rPr>
          <w:sz w:val="24"/>
          <w:szCs w:val="24"/>
          <w:highlight w:val="white"/>
        </w:rPr>
        <w:t xml:space="preserve">Respective route pages for stations that the route connects - </w:t>
      </w:r>
      <w:hyperlink r:id="rId14">
        <w:r w:rsidR="008F6A45">
          <w:rPr>
            <w:sz w:val="24"/>
            <w:szCs w:val="24"/>
            <w:highlight w:val="white"/>
            <w:u w:val="single"/>
          </w:rPr>
          <w:t>https://www.amtrak.com/acela-train</w:t>
        </w:r>
      </w:hyperlink>
    </w:p>
    <w:p w14:paraId="722FD782" w14:textId="77777777" w:rsidR="008F6A45" w:rsidRDefault="008F6A45">
      <w:pPr>
        <w:ind w:left="720"/>
        <w:rPr>
          <w:sz w:val="24"/>
          <w:szCs w:val="24"/>
        </w:rPr>
      </w:pPr>
      <w:hyperlink r:id="rId15">
        <w:r>
          <w:rPr>
            <w:sz w:val="24"/>
            <w:szCs w:val="24"/>
            <w:highlight w:val="white"/>
            <w:u w:val="single"/>
          </w:rPr>
          <w:t>https://amtrakguide.com/routes/</w:t>
        </w:r>
      </w:hyperlink>
    </w:p>
    <w:p w14:paraId="306B8DF7" w14:textId="77777777" w:rsidR="008F6A45" w:rsidRDefault="008F6A45">
      <w:pPr>
        <w:ind w:left="720"/>
        <w:rPr>
          <w:sz w:val="24"/>
          <w:szCs w:val="24"/>
        </w:rPr>
      </w:pPr>
    </w:p>
    <w:p w14:paraId="2931FA40" w14:textId="77777777" w:rsidR="008F6A45" w:rsidRDefault="008F6A45">
      <w:pPr>
        <w:rPr>
          <w:sz w:val="24"/>
          <w:szCs w:val="24"/>
        </w:rPr>
      </w:pPr>
    </w:p>
    <w:p w14:paraId="7D5A2198" w14:textId="77777777" w:rsidR="008F6A45" w:rsidRDefault="008F6A45">
      <w:pPr>
        <w:rPr>
          <w:sz w:val="24"/>
          <w:szCs w:val="24"/>
        </w:rPr>
      </w:pPr>
    </w:p>
    <w:sectPr w:rsidR="008F6A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65BAA"/>
    <w:multiLevelType w:val="multilevel"/>
    <w:tmpl w:val="88A25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1063A"/>
    <w:multiLevelType w:val="multilevel"/>
    <w:tmpl w:val="2B54B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8C3A7D"/>
    <w:multiLevelType w:val="multilevel"/>
    <w:tmpl w:val="354C0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7C4A92"/>
    <w:multiLevelType w:val="multilevel"/>
    <w:tmpl w:val="F5601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256580"/>
    <w:multiLevelType w:val="multilevel"/>
    <w:tmpl w:val="43E2A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1B24FE"/>
    <w:multiLevelType w:val="multilevel"/>
    <w:tmpl w:val="D6E4662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782F64"/>
    <w:multiLevelType w:val="multilevel"/>
    <w:tmpl w:val="8ECA4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D92E63"/>
    <w:multiLevelType w:val="multilevel"/>
    <w:tmpl w:val="9D9A8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633211"/>
    <w:multiLevelType w:val="multilevel"/>
    <w:tmpl w:val="0AC219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D1A7B24"/>
    <w:multiLevelType w:val="multilevel"/>
    <w:tmpl w:val="E4005E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0223635"/>
    <w:multiLevelType w:val="multilevel"/>
    <w:tmpl w:val="9E0010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9E35D8"/>
    <w:multiLevelType w:val="multilevel"/>
    <w:tmpl w:val="9B30E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FB56BC"/>
    <w:multiLevelType w:val="multilevel"/>
    <w:tmpl w:val="861C6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DC2052"/>
    <w:multiLevelType w:val="multilevel"/>
    <w:tmpl w:val="42B69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5A6319"/>
    <w:multiLevelType w:val="multilevel"/>
    <w:tmpl w:val="E0FA9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CA4E33"/>
    <w:multiLevelType w:val="multilevel"/>
    <w:tmpl w:val="993E8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7802D6"/>
    <w:multiLevelType w:val="multilevel"/>
    <w:tmpl w:val="F22E8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D66C9B"/>
    <w:multiLevelType w:val="multilevel"/>
    <w:tmpl w:val="ABEAB5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91C7619"/>
    <w:multiLevelType w:val="multilevel"/>
    <w:tmpl w:val="DDC8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7E7798"/>
    <w:multiLevelType w:val="multilevel"/>
    <w:tmpl w:val="8E06F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B4D137F"/>
    <w:multiLevelType w:val="multilevel"/>
    <w:tmpl w:val="2186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2858890">
    <w:abstractNumId w:val="3"/>
  </w:num>
  <w:num w:numId="2" w16cid:durableId="516696240">
    <w:abstractNumId w:val="9"/>
  </w:num>
  <w:num w:numId="3" w16cid:durableId="620527604">
    <w:abstractNumId w:val="7"/>
  </w:num>
  <w:num w:numId="4" w16cid:durableId="1434474391">
    <w:abstractNumId w:val="14"/>
  </w:num>
  <w:num w:numId="5" w16cid:durableId="154536898">
    <w:abstractNumId w:val="11"/>
  </w:num>
  <w:num w:numId="6" w16cid:durableId="1545092444">
    <w:abstractNumId w:val="20"/>
  </w:num>
  <w:num w:numId="7" w16cid:durableId="899436597">
    <w:abstractNumId w:val="19"/>
  </w:num>
  <w:num w:numId="8" w16cid:durableId="1102186112">
    <w:abstractNumId w:val="10"/>
  </w:num>
  <w:num w:numId="9" w16cid:durableId="507258112">
    <w:abstractNumId w:val="0"/>
  </w:num>
  <w:num w:numId="10" w16cid:durableId="1912618894">
    <w:abstractNumId w:val="17"/>
  </w:num>
  <w:num w:numId="11" w16cid:durableId="4721141">
    <w:abstractNumId w:val="5"/>
  </w:num>
  <w:num w:numId="12" w16cid:durableId="2083209702">
    <w:abstractNumId w:val="2"/>
  </w:num>
  <w:num w:numId="13" w16cid:durableId="895287719">
    <w:abstractNumId w:val="6"/>
  </w:num>
  <w:num w:numId="14" w16cid:durableId="1205093202">
    <w:abstractNumId w:val="16"/>
  </w:num>
  <w:num w:numId="15" w16cid:durableId="2067878411">
    <w:abstractNumId w:val="12"/>
  </w:num>
  <w:num w:numId="16" w16cid:durableId="1741440362">
    <w:abstractNumId w:val="13"/>
  </w:num>
  <w:num w:numId="17" w16cid:durableId="127170844">
    <w:abstractNumId w:val="8"/>
  </w:num>
  <w:num w:numId="18" w16cid:durableId="1102260465">
    <w:abstractNumId w:val="1"/>
  </w:num>
  <w:num w:numId="19" w16cid:durableId="1635065968">
    <w:abstractNumId w:val="18"/>
  </w:num>
  <w:num w:numId="20" w16cid:durableId="371269771">
    <w:abstractNumId w:val="4"/>
  </w:num>
  <w:num w:numId="21" w16cid:durableId="20864101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A45"/>
    <w:rsid w:val="00156E8B"/>
    <w:rsid w:val="003B58BE"/>
    <w:rsid w:val="004E339C"/>
    <w:rsid w:val="008F6A45"/>
    <w:rsid w:val="00A3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26376"/>
  <w15:docId w15:val="{43B500C9-DD93-7C41-88F2-B5E9D790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trak.com/about-amtrak/amtrak-facts/state-fact-sheets.html" TargetMode="External"/><Relationship Id="rId3" Type="http://schemas.openxmlformats.org/officeDocument/2006/relationships/settings" Target="settings.xml"/><Relationship Id="rId7" Type="http://schemas.openxmlformats.org/officeDocument/2006/relationships/hyperlink" Target="https://amtrakguide.com/route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trak.com/acela-train" TargetMode="External"/><Relationship Id="rId11" Type="http://schemas.openxmlformats.org/officeDocument/2006/relationships/image" Target="media/image4.png"/><Relationship Id="rId5" Type="http://schemas.openxmlformats.org/officeDocument/2006/relationships/hyperlink" Target="https://www.amtrak.com/about-amtrak/amtrak-facts/state-fact-sheets.html" TargetMode="External"/><Relationship Id="rId15" Type="http://schemas.openxmlformats.org/officeDocument/2006/relationships/hyperlink" Target="https://amtrakguide.com/rout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mtrak.com/acela-tr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2094</Words>
  <Characters>11942</Characters>
  <Application>Microsoft Office Word</Application>
  <DocSecurity>0</DocSecurity>
  <Lines>99</Lines>
  <Paragraphs>28</Paragraphs>
  <ScaleCrop>false</ScaleCrop>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Manasvi Surasani</cp:lastModifiedBy>
  <cp:revision>4</cp:revision>
  <dcterms:created xsi:type="dcterms:W3CDTF">2024-12-06T22:21:00Z</dcterms:created>
  <dcterms:modified xsi:type="dcterms:W3CDTF">2024-12-09T17:47:00Z</dcterms:modified>
</cp:coreProperties>
</file>