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项目概述</w:t>
      </w:r>
    </w:p>
    <w:p/>
    <w:p/>
    <w:p/>
    <w:p/>
    <w:p>
      <w:pPr>
        <w:pStyle w:val="2"/>
        <w:bidi w:val="0"/>
      </w:pPr>
      <w:r>
        <w:t>架构升级过程</w:t>
      </w:r>
    </w:p>
    <w:p/>
    <w:p>
      <w:bookmarkStart w:id="0" w:name="_GoBack"/>
      <w:bookmarkEnd w:id="0"/>
    </w:p>
    <w:p/>
    <w:p>
      <w:pPr>
        <w:pStyle w:val="2"/>
        <w:bidi w:val="0"/>
      </w:pPr>
      <w:r>
        <w:t>技术应用</w:t>
      </w:r>
    </w:p>
    <w:p>
      <w:r>
        <w:rPr>
          <w:rFonts w:hint="eastAsia"/>
        </w:rPr>
        <w:t>扩展性、一致性、健壮性、可用性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__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BBA19A"/>
    <w:rsid w:val="3FDDFAC3"/>
    <w:rsid w:val="8FBBA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2020-07-26T22:32:00Z</dcterms:created>
  <dc:creator>jiangshaoyue</dc:creator>
  <cp:lastModifiedBy>jiangshaoyue</cp:lastModifiedBy>
  <dcterms:modified xsi:type="dcterms:W3CDTF">2020-07-26T20:00:34Z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