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365D"/>
          <w:sz w:val="48"/>
        </w:rPr>
        <w:t>Feasibility Study Report</w:t>
      </w:r>
    </w:p>
    <w:p>
      <w:pPr>
        <w:jc w:val="left"/>
      </w:pPr>
      <w:r>
        <w:rPr>
          <w:b w:val="0"/>
          <w:color w:val="4A5568"/>
          <w:sz w:val="28"/>
        </w:rPr>
        <w:t>Saudi Business — AI Business Operating System</w:t>
      </w:r>
    </w:p>
    <w:p>
      <w:pPr>
        <w:jc w:val="left"/>
      </w:pPr>
      <w:r>
        <w:rPr>
          <w:b w:val="0"/>
          <w:sz w:val="22"/>
        </w:rPr>
      </w:r>
    </w:p>
    <w:p>
      <w:pPr>
        <w:jc w:val="left"/>
      </w:pPr>
      <w:r>
        <w:rPr>
          <w:b w:val="0"/>
          <w:sz w:val="22"/>
        </w:rPr>
        <w:t>Business Type: saas_digital</w:t>
      </w:r>
    </w:p>
    <w:p>
      <w:pPr>
        <w:jc w:val="left"/>
      </w:pPr>
      <w:r>
        <w:rPr>
          <w:b w:val="0"/>
          <w:sz w:val="22"/>
        </w:rPr>
        <w:t>Sector: B2B SaaS / AI CRM &amp; Sales Automation</w:t>
      </w:r>
    </w:p>
    <w:p>
      <w:pPr>
        <w:jc w:val="left"/>
      </w:pPr>
      <w:r>
        <w:rPr>
          <w:b w:val="0"/>
          <w:sz w:val="22"/>
        </w:rPr>
        <w:t>Generated on: 2026-09-15</w:t>
      </w:r>
    </w:p>
    <w:p>
      <w:pPr>
        <w:jc w:val="left"/>
      </w:pPr>
      <w:r>
        <w:rPr>
          <w:b w:val="0"/>
          <w:sz w:val="22"/>
        </w:rPr>
        <w:t>Study ID: study_8de187025cb8</w:t>
      </w:r>
    </w:p>
    <w:p>
      <w:pPr>
        <w:jc w:val="left"/>
      </w:pPr>
      <w:r>
        <w:rPr>
          <w:b/>
          <w:color w:val="B7791F"/>
          <w:sz w:val="24"/>
        </w:rPr>
        <w:t>Report Trust Status: PARTIAL</w:t>
      </w:r>
    </w:p>
    <w:p>
      <w:pPr>
        <w:jc w:val="left"/>
      </w:pPr>
      <w:r>
        <w:rPr>
          <w:b w:val="0"/>
          <w:sz w:val="22"/>
        </w:rPr>
      </w:r>
    </w:p>
    <w:p>
      <w:pPr>
        <w:jc w:val="left"/>
      </w:pPr>
      <w:r>
        <w:rPr>
          <w:b/>
          <w:color w:val="1A365D"/>
          <w:sz w:val="28"/>
        </w:rPr>
        <w:t>1. Executive Decision Summary</w:t>
      </w:r>
    </w:p>
    <w:p>
      <w:pPr>
        <w:jc w:val="left"/>
      </w:pPr>
      <w:r>
        <w:rPr>
          <w:b/>
          <w:sz w:val="22"/>
        </w:rPr>
        <w:t>Verdict: DEFER</w:t>
      </w:r>
    </w:p>
    <w:p>
      <w:pPr>
        <w:jc w:val="left"/>
      </w:pPr>
      <w:r>
        <w:rPr>
          <w:b w:val="0"/>
          <w:sz w:val="22"/>
        </w:rPr>
        <w:t>Deterministic decision based on financial analysis and evidence gates. Base NPV: -289,403.30 SAR | IRR: -15.4% | Optimistic NPV: 200,861.84 SAR | Conservative NPV: -779,668.45 SAR | Low-confidence assumptions: 2/10 | AI-estimated assumptions: 9/10. Base-case NPV is negative, but optimistic scenario shows positive potential. Defer commitment until key assumptions (pricing, customer acquisition, costs) are validated through market evidence.</w:t>
      </w:r>
    </w:p>
    <w:p>
      <w:pPr>
        <w:jc w:val="left"/>
      </w:pPr>
      <w:r>
        <w:rPr>
          <w:b w:val="0"/>
          <w:sz w:val="22"/>
        </w:rPr>
      </w:r>
    </w:p>
    <w:p>
      <w:pPr>
        <w:jc w:val="left"/>
      </w:pPr>
      <w:r>
        <w:rPr>
          <w:b/>
          <w:color w:val="1A365D"/>
          <w:sz w:val="28"/>
        </w:rPr>
        <w:t>2. Investment Snapshot</w:t>
      </w:r>
    </w:p>
    <w:p>
      <w:pPr>
        <w:jc w:val="left"/>
      </w:pPr>
      <w:r>
        <w:rPr>
          <w:b w:val="0"/>
          <w:sz w:val="22"/>
        </w:rPr>
        <w:t>Initial Investment (CAPEX): 350,000.00 SAR</w:t>
      </w:r>
    </w:p>
    <w:p>
      <w:pPr>
        <w:jc w:val="left"/>
      </w:pPr>
      <w:r>
        <w:rPr>
          <w:b w:val="0"/>
          <w:color w:val="4A5568"/>
          <w:sz w:val="18"/>
        </w:rPr>
        <w:t>Source: Owner-specified seed investment</w:t>
      </w:r>
    </w:p>
    <w:p>
      <w:pPr>
        <w:jc w:val="left"/>
      </w:pPr>
      <w:r>
        <w:rPr>
          <w:b w:val="0"/>
          <w:color w:val="B7791F"/>
          <w:sz w:val="18"/>
        </w:rPr>
        <w:t>Allocation: UNKNOWN — retained as lump-sum</w:t>
      </w:r>
    </w:p>
    <w:p>
      <w:pPr>
        <w:jc w:val="left"/>
      </w:pPr>
      <w:r>
        <w:rPr>
          <w:b w:val="0"/>
          <w:sz w:val="22"/>
        </w:rPr>
      </w:r>
    </w:p>
    <w:p>
      <w:pPr>
        <w:jc w:val="left"/>
      </w:pPr>
      <w:r>
        <w:rPr>
          <w:b/>
          <w:color w:val="1A365D"/>
          <w:sz w:val="28"/>
        </w:rPr>
        <w:t>3. Business Profile</w:t>
      </w:r>
    </w:p>
    <w:p>
      <w:pPr>
        <w:jc w:val="left"/>
      </w:pPr>
      <w:r>
        <w:rPr>
          <w:b w:val="0"/>
          <w:sz w:val="22"/>
        </w:rPr>
        <w:t>Business Type: saas_digital</w:t>
      </w:r>
    </w:p>
    <w:p>
      <w:pPr>
        <w:jc w:val="left"/>
      </w:pPr>
      <w:r>
        <w:rPr>
          <w:b w:val="0"/>
          <w:sz w:val="22"/>
        </w:rPr>
        <w:t>Sector: B2B SaaS / AI CRM &amp; Sales Automation</w:t>
      </w:r>
    </w:p>
    <w:p>
      <w:pPr>
        <w:jc w:val="left"/>
      </w:pPr>
      <w:r>
        <w:rPr>
          <w:b w:val="0"/>
          <w:sz w:val="22"/>
        </w:rPr>
        <w:t>Stage: idea</w:t>
      </w:r>
    </w:p>
    <w:p>
      <w:pPr>
        <w:jc w:val="left"/>
      </w:pPr>
      <w:r>
        <w:rPr>
          <w:b w:val="0"/>
          <w:sz w:val="22"/>
        </w:rPr>
        <w:t>Decision Goal: Go/No-Go feasibility assessment for 350,000 SAR seed investment</w:t>
      </w:r>
    </w:p>
    <w:p>
      <w:pPr>
        <w:jc w:val="left"/>
      </w:pPr>
      <w:r>
        <w:rPr>
          <w:b w:val="0"/>
          <w:sz w:val="22"/>
        </w:rPr>
      </w:r>
    </w:p>
    <w:p>
      <w:pPr>
        <w:jc w:val="left"/>
      </w:pPr>
      <w:r>
        <w:rPr>
          <w:b/>
          <w:color w:val="1A365D"/>
          <w:sz w:val="28"/>
        </w:rPr>
        <w:t>4. Market Analysis</w:t>
      </w:r>
    </w:p>
    <w:p>
      <w:pPr>
        <w:jc w:val="left"/>
      </w:pPr>
      <w:r>
        <w:rPr>
          <w:b w:val="0"/>
          <w:sz w:val="18"/>
        </w:rPr>
        <w:t>• Saudi Arabia SaaS market estimated at USD 1.2B (SAR 4.5B) in 2025, growing 20-25% CAGR driven by Vision 2030 digital transformation mandates (MCIT, IDC Middle East 2024 report).</w:t>
      </w:r>
    </w:p>
    <w:p>
      <w:pPr>
        <w:jc w:val="left"/>
      </w:pPr>
      <w:r>
        <w:rPr>
          <w:b w:val="0"/>
          <w:sz w:val="18"/>
        </w:rPr>
        <w:t>• Saudi CRM software market segment estimated at USD 180-220M (SAR 675M-825M) in 2025, with B2B sub-segment at ~40% (Mordor Intelligence, Statista MENA SaaS reports).</w:t>
      </w:r>
    </w:p>
    <w:p>
      <w:pPr>
        <w:jc w:val="left"/>
      </w:pPr>
      <w:r>
        <w:rPr>
          <w:b w:val="0"/>
          <w:sz w:val="18"/>
        </w:rPr>
        <w:t>• Major CRM competitors in Saudi market: Salesforce (enterprise, USD 25-300/user/mo), HubSpot (mid-market, USD 20-120/user/mo), Zoho CRM (SME, USD 14-52/user/mo), Microsoft Dynamics 365 (enterprise). Local: Qoyod (accounting+CRM), Foodics (F&amp;B POS+CRM). No dominant Arabic-first AI CRM exists.</w:t>
      </w:r>
    </w:p>
    <w:p>
      <w:pPr>
        <w:jc w:val="left"/>
      </w:pPr>
      <w:r>
        <w:rPr>
          <w:b w:val="0"/>
          <w:sz w:val="18"/>
        </w:rPr>
        <w:t>• B2B SaaS pricing in Saudi/GCC for SME CRM tools: SAR 150-500/user/month (USD 40-133). Enterprise tiers: SAR 500-1500/user/month. Freemium conversion rate for MENA SaaS: 2-5% (OpenView SaaS Benchmarks 2024).</w:t>
      </w:r>
    </w:p>
    <w:p>
      <w:pPr>
        <w:jc w:val="left"/>
      </w:pPr>
      <w:r>
        <w:rPr>
          <w:b w:val="0"/>
          <w:sz w:val="18"/>
        </w:rPr>
        <w:t>• B2B SaaS Customer Acquisition Cost (CAC) in MENA: USD 200-800 per customer for SME segment, USD 1,500-5,000 for mid-market. Dominant channels: Google Ads (35%), LinkedIn (25%), referrals (20%), events (10%), cold outreach (10%). (SaaStr MENA, Wamda Research 2024).</w:t>
      </w:r>
    </w:p>
    <w:p>
      <w:pPr>
        <w:jc w:val="left"/>
      </w:pPr>
      <w:r>
        <w:rPr>
          <w:b w:val="0"/>
          <w:sz w:val="18"/>
        </w:rPr>
        <w:t>• B2B SaaS monthly churn rate benchmarks: 2-5% for SME segment, 1-2% for mid-market/enterprise. Annual net revenue retention for best-in-class B2B SaaS: 110-130%. MENA market shows higher churn (3-7% monthly) due to market maturity (Bessemer Cloud Index, ChartMogul 2024).</w:t>
      </w:r>
    </w:p>
    <w:p>
      <w:pPr>
        <w:jc w:val="left"/>
      </w:pPr>
      <w:r>
        <w:rPr>
          <w:b w:val="0"/>
          <w:sz w:val="22"/>
        </w:rPr>
      </w:r>
    </w:p>
    <w:p>
      <w:pPr>
        <w:jc w:val="left"/>
      </w:pPr>
      <w:r>
        <w:rPr>
          <w:b/>
          <w:color w:val="1A365D"/>
          <w:sz w:val="28"/>
        </w:rPr>
        <w:t>5. Customer &amp; Demand Analysis</w:t>
      </w:r>
    </w:p>
    <w:p>
      <w:pPr>
        <w:jc w:val="left"/>
      </w:pPr>
      <w:r>
        <w:rPr>
          <w:b w:val="0"/>
          <w:sz w:val="18"/>
        </w:rPr>
        <w:t>• Major CRM competitors in Saudi market: Salesforce (enterprise, USD 25-300/user/mo), HubSpot (mid-market, USD 20-120/user/mo), Zoho CRM (SME, USD 14-52/user/mo), Microsoft Dynamics 365 (enterprise). Local: Qoyod (accounting+CRM), Foodics (F&amp;B POS+CRM). No dominant Arabic-first AI CRM exists.</w:t>
      </w:r>
    </w:p>
    <w:p>
      <w:pPr>
        <w:jc w:val="left"/>
      </w:pPr>
      <w:r>
        <w:rPr>
          <w:b w:val="0"/>
          <w:sz w:val="18"/>
        </w:rPr>
        <w:t>• B2B SaaS pricing in Saudi/GCC for SME CRM tools: SAR 150-500/user/month (USD 40-133). Enterprise tiers: SAR 500-1500/user/month. Freemium conversion rate for MENA SaaS: 2-5% (OpenView SaaS Benchmarks 2024).</w:t>
      </w:r>
    </w:p>
    <w:p>
      <w:pPr>
        <w:jc w:val="left"/>
      </w:pPr>
      <w:r>
        <w:rPr>
          <w:b w:val="0"/>
          <w:sz w:val="18"/>
        </w:rPr>
        <w:t>• B2B SaaS Customer Acquisition Cost (CAC) in MENA: USD 200-800 per customer for SME segment, USD 1,500-5,000 for mid-market. Dominant channels: Google Ads (35%), LinkedIn (25%), referrals (20%), events (10%), cold outreach (10%). (SaaStr MENA, Wamda Research 2024).</w:t>
      </w:r>
    </w:p>
    <w:p>
      <w:pPr>
        <w:jc w:val="left"/>
      </w:pPr>
      <w:r>
        <w:rPr>
          <w:b w:val="0"/>
          <w:sz w:val="18"/>
        </w:rPr>
        <w:t>• Cloud infrastructure costs for SaaS startup (AWS/GCP Middle East region): SAR 3,000-8,000/month for MVP, scaling to SAR 15,000-40,000/month at 200+ customers. AI/ML API costs (OpenAI/Anthropic): SAR 0.5-2.0 per active user per month depending on usage. (AWS MEA pricing, GCP Dammam region).</w:t>
      </w:r>
    </w:p>
    <w:p>
      <w:pPr>
        <w:jc w:val="left"/>
      </w:pPr>
      <w:r>
        <w:rPr>
          <w:b w:val="0"/>
          <w:color w:val="4A5568"/>
          <w:sz w:val="16"/>
        </w:rPr>
        <w:t xml:space="preserve">  Pricing: 300 SAR/user/month [L:150/B:300/H:500]</w:t>
      </w:r>
    </w:p>
    <w:p>
      <w:pPr>
        <w:jc w:val="left"/>
      </w:pPr>
      <w:r>
        <w:rPr>
          <w:b w:val="0"/>
          <w:color w:val="4A5568"/>
          <w:sz w:val="16"/>
        </w:rPr>
        <w:t xml:space="preserve">  Target Customers: 80 paying customers by end of Year 1 [L:40/B:80/H:150]</w:t>
      </w:r>
    </w:p>
    <w:p>
      <w:pPr>
        <w:jc w:val="left"/>
      </w:pPr>
      <w:r>
        <w:rPr>
          <w:b w:val="0"/>
          <w:color w:val="4A5568"/>
          <w:sz w:val="16"/>
        </w:rPr>
        <w:t xml:space="preserve">  Cac: 750 SAR per customer [L:500/B:750/H:1200]</w:t>
      </w:r>
    </w:p>
    <w:p>
      <w:pPr>
        <w:jc w:val="left"/>
      </w:pPr>
      <w:r>
        <w:rPr>
          <w:b w:val="0"/>
          <w:color w:val="4A5568"/>
          <w:sz w:val="16"/>
        </w:rPr>
        <w:t xml:space="preserve">  Churn: 4% monthly [L:2/B:4/H:7]</w:t>
      </w:r>
    </w:p>
    <w:p>
      <w:pPr>
        <w:jc w:val="left"/>
      </w:pPr>
      <w:r>
        <w:rPr>
          <w:b w:val="0"/>
          <w:sz w:val="22"/>
        </w:rPr>
      </w:r>
    </w:p>
    <w:p>
      <w:pPr>
        <w:jc w:val="left"/>
      </w:pPr>
      <w:r>
        <w:rPr>
          <w:b/>
          <w:color w:val="1A365D"/>
          <w:sz w:val="28"/>
        </w:rPr>
        <w:t>6. Competitor Analysis</w:t>
      </w:r>
    </w:p>
    <w:p>
      <w:pPr>
        <w:jc w:val="left"/>
      </w:pPr>
      <w:r>
        <w:rPr>
          <w:b w:val="0"/>
          <w:sz w:val="18"/>
        </w:rPr>
        <w:t>• Saudi CRM software market segment estimated at USD 180-220M (SAR 675M-825M) in 2025, with B2B sub-segment at ~40% (Mordor Intelligence, Statista MENA SaaS reports).</w:t>
      </w:r>
    </w:p>
    <w:p>
      <w:pPr>
        <w:jc w:val="left"/>
      </w:pPr>
      <w:r>
        <w:rPr>
          <w:b w:val="0"/>
          <w:sz w:val="18"/>
        </w:rPr>
        <w:t>• Major CRM competitors in Saudi market: Salesforce (enterprise, USD 25-300/user/mo), HubSpot (mid-market, USD 20-120/user/mo), Zoho CRM (SME, USD 14-52/user/mo), Microsoft Dynamics 365 (enterprise). Local: Qoyod (accounting+CRM), Foodics (F&amp;B POS+CRM). No dominant Arabic-first AI CRM exists.</w:t>
      </w:r>
    </w:p>
    <w:p>
      <w:pPr>
        <w:jc w:val="left"/>
      </w:pPr>
      <w:r>
        <w:rPr>
          <w:b w:val="0"/>
          <w:sz w:val="18"/>
        </w:rPr>
        <w:t>• B2B SaaS pricing in Saudi/GCC for SME CRM tools: SAR 150-500/user/month (USD 40-133). Enterprise tiers: SAR 500-1500/user/month. Freemium conversion rate for MENA SaaS: 2-5% (OpenView SaaS Benchmarks 2024).</w:t>
      </w:r>
    </w:p>
    <w:p>
      <w:pPr>
        <w:jc w:val="left"/>
      </w:pPr>
      <w:r>
        <w:rPr>
          <w:b w:val="0"/>
          <w:sz w:val="22"/>
        </w:rPr>
      </w:r>
    </w:p>
    <w:p>
      <w:pPr>
        <w:jc w:val="left"/>
      </w:pPr>
      <w:r>
        <w:rPr>
          <w:b/>
          <w:color w:val="1A365D"/>
          <w:sz w:val="28"/>
        </w:rPr>
        <w:t>7. Business &amp; Operating Model</w:t>
      </w:r>
    </w:p>
    <w:p>
      <w:pPr>
        <w:jc w:val="left"/>
      </w:pPr>
      <w:r>
        <w:rPr>
          <w:b/>
          <w:sz w:val="20"/>
        </w:rPr>
        <w:t>Revenue Model: B2B SaaS Subscription</w:t>
      </w:r>
    </w:p>
    <w:p>
      <w:pPr>
        <w:jc w:val="left"/>
      </w:pPr>
      <w:r>
        <w:rPr>
          <w:b w:val="0"/>
          <w:sz w:val="18"/>
        </w:rPr>
        <w:t xml:space="preserve">  Opex Year1: 480000 [Derived from team costs (3 developers: SAR 20K avg, 1 sales: SAR 15K, 1 marketing: SAR 12K = SAR 67K/mo salary) + cloud (SAR 5K/mo) + AI APIs (SAR 2K/mo) + office/misc (SAR 8K/mo) = ~SAR 82K/mo * 12 * 0.5 ramp = SAR 480K effective Y1]</w:t>
      </w:r>
    </w:p>
    <w:p>
      <w:pPr>
        <w:jc w:val="left"/>
      </w:pPr>
      <w:r>
        <w:rPr>
          <w:b w:val="0"/>
          <w:sz w:val="18"/>
        </w:rPr>
        <w:t xml:space="preserve">  Team Size Y1: 5 FTEs [Minimum viable SaaS team: 2 developers (full-stack + AI/ML), 1 product/design, 1 sales/BD, 1 marketing/growth. Scaled from comparable MENA SaaS launches.]</w:t>
      </w:r>
    </w:p>
    <w:p>
      <w:pPr>
        <w:jc w:val="left"/>
      </w:pPr>
      <w:r>
        <w:rPr>
          <w:b w:val="0"/>
          <w:sz w:val="22"/>
        </w:rPr>
      </w:r>
    </w:p>
    <w:p>
      <w:pPr>
        <w:jc w:val="left"/>
      </w:pPr>
      <w:r>
        <w:rPr>
          <w:b/>
          <w:color w:val="1A365D"/>
          <w:sz w:val="28"/>
        </w:rPr>
        <w:t>8. Financial Model</w:t>
      </w:r>
    </w:p>
    <w:p>
      <w:pPr>
        <w:jc w:val="left"/>
      </w:pPr>
      <w:r>
        <w:rPr>
          <w:b w:val="0"/>
          <w:sz w:val="22"/>
        </w:rPr>
        <w:t>Initial Investment (CAPEX): 350,000.00 SAR</w:t>
      </w:r>
    </w:p>
    <w:p>
      <w:pPr>
        <w:jc w:val="left"/>
      </w:pPr>
      <w:r>
        <w:rPr>
          <w:b w:val="0"/>
          <w:sz w:val="22"/>
        </w:rPr>
        <w:t>Net Present Value (NPV): -289,403.30 SAR</w:t>
      </w:r>
    </w:p>
    <w:p>
      <w:pPr>
        <w:jc w:val="left"/>
      </w:pPr>
      <w:r>
        <w:rPr>
          <w:b w:val="0"/>
          <w:sz w:val="22"/>
        </w:rPr>
        <w:t>Internal Rate of Return (IRR): -15.4%</w:t>
      </w:r>
    </w:p>
    <w:p>
      <w:pPr>
        <w:jc w:val="left"/>
      </w:pPr>
      <w:r>
        <w:rPr>
          <w:b w:val="0"/>
          <w:sz w:val="22"/>
        </w:rPr>
        <w:t>Payback Period: Payback period cannot be calculated for these cash flows.</w:t>
      </w:r>
    </w:p>
    <w:p>
      <w:pPr>
        <w:jc w:val="left"/>
      </w:pPr>
      <w:r>
        <w:rPr>
          <w:b w:val="0"/>
          <w:color w:val="4A5568"/>
          <w:sz w:val="18"/>
        </w:rPr>
        <w:t>Projection horizon: 3 years</w:t>
      </w:r>
    </w:p>
    <w:p>
      <w:pPr>
        <w:jc w:val="left"/>
      </w:pPr>
      <w:r>
        <w:rPr>
          <w:b w:val="0"/>
          <w:sz w:val="22"/>
        </w:rPr>
      </w:r>
    </w:p>
    <w:p>
      <w:pPr>
        <w:jc w:val="left"/>
      </w:pPr>
      <w:r>
        <w:rPr>
          <w:b/>
          <w:color w:val="1A365D"/>
          <w:sz w:val="28"/>
        </w:rPr>
        <w:t>9. Low / Base / High Scenarios</w:t>
      </w:r>
    </w:p>
    <w:p>
      <w:pPr>
        <w:jc w:val="left"/>
      </w:pPr>
      <w:r>
        <w:rPr>
          <w:b w:val="0"/>
          <w:sz w:val="22"/>
        </w:rPr>
        <w:t>Optimistic (+20%): NPV=200,861.84 SAR, IRR=34.9%</w:t>
      </w:r>
    </w:p>
    <w:p>
      <w:pPr>
        <w:jc w:val="left"/>
      </w:pPr>
      <w:r>
        <w:rPr>
          <w:b w:val="0"/>
          <w:sz w:val="22"/>
        </w:rPr>
        <w:t>Base Case: NPV=-289,403.30 SAR, IRR=-15.4%</w:t>
      </w:r>
    </w:p>
    <w:p>
      <w:pPr>
        <w:jc w:val="left"/>
      </w:pPr>
      <w:r>
        <w:rPr>
          <w:b w:val="0"/>
          <w:sz w:val="22"/>
        </w:rPr>
        <w:t>Conservative (-20%): NPV=-779,668.45 SAR, IRR=-81.3%</w:t>
      </w:r>
    </w:p>
    <w:p>
      <w:pPr>
        <w:jc w:val="left"/>
      </w:pPr>
      <w:r>
        <w:rPr>
          <w:b w:val="0"/>
          <w:sz w:val="22"/>
        </w:rPr>
      </w:r>
    </w:p>
    <w:p>
      <w:pPr>
        <w:jc w:val="left"/>
      </w:pPr>
      <w:r>
        <w:rPr>
          <w:b/>
          <w:color w:val="1A365D"/>
          <w:sz w:val="28"/>
        </w:rPr>
        <w:t>10. Sensitivity Analysis</w:t>
      </w:r>
    </w:p>
    <w:p>
      <w:pPr>
        <w:jc w:val="left"/>
      </w:pPr>
      <w:r>
        <w:rPr>
          <w:b w:val="0"/>
          <w:sz w:val="20"/>
        </w:rPr>
        <w:t>NPV range: -779,668.45 to 200,861.84 SAR</w:t>
      </w:r>
    </w:p>
    <w:p>
      <w:pPr>
        <w:jc w:val="left"/>
      </w:pPr>
      <w:r>
        <w:rPr>
          <w:b w:val="0"/>
          <w:sz w:val="22"/>
        </w:rPr>
      </w:r>
    </w:p>
    <w:p>
      <w:pPr>
        <w:jc w:val="left"/>
      </w:pPr>
      <w:r>
        <w:rPr>
          <w:b/>
          <w:color w:val="1A365D"/>
          <w:sz w:val="28"/>
        </w:rPr>
        <w:t>11. Risk Analysis</w:t>
      </w:r>
    </w:p>
    <w:p>
      <w:pPr>
        <w:jc w:val="left"/>
      </w:pPr>
      <w:r>
        <w:rPr>
          <w:b w:val="0"/>
          <w:sz w:val="18"/>
        </w:rPr>
        <w:t>1. Market risk: Competitive CRM market with established players (Salesforce, HubSpot, Zoho)</w:t>
      </w:r>
    </w:p>
    <w:p>
      <w:pPr>
        <w:jc w:val="left"/>
      </w:pPr>
      <w:r>
        <w:rPr>
          <w:b w:val="0"/>
          <w:sz w:val="18"/>
        </w:rPr>
        <w:t>2. Regulatory risk: PDPL compliance and data residency requirements</w:t>
      </w:r>
    </w:p>
    <w:p>
      <w:pPr>
        <w:jc w:val="left"/>
      </w:pPr>
      <w:r>
        <w:rPr>
          <w:b w:val="0"/>
          <w:sz w:val="18"/>
        </w:rPr>
        <w:t>3. Operational risk: Saudization requirements and talent scarcity in AI/ML</w:t>
      </w:r>
    </w:p>
    <w:p>
      <w:pPr>
        <w:jc w:val="left"/>
      </w:pPr>
      <w:r>
        <w:rPr>
          <w:b w:val="0"/>
          <w:sz w:val="18"/>
        </w:rPr>
        <w:t>4. Financial risk: High CAC with 4% monthly churn may extend payback beyond runway</w:t>
      </w:r>
    </w:p>
    <w:p>
      <w:pPr>
        <w:jc w:val="left"/>
      </w:pPr>
      <w:r>
        <w:rPr>
          <w:b w:val="0"/>
          <w:sz w:val="18"/>
        </w:rPr>
        <w:t>5. External risk: SAR-pegged economy sensitive to oil price fluctuations</w:t>
      </w:r>
    </w:p>
    <w:p>
      <w:pPr>
        <w:jc w:val="left"/>
      </w:pPr>
      <w:r>
        <w:rPr>
          <w:b w:val="0"/>
          <w:sz w:val="22"/>
        </w:rPr>
      </w:r>
    </w:p>
    <w:p>
      <w:pPr>
        <w:jc w:val="left"/>
      </w:pPr>
      <w:r>
        <w:rPr>
          <w:b/>
          <w:color w:val="1A365D"/>
          <w:sz w:val="28"/>
        </w:rPr>
        <w:t>12. Decision Conditions</w:t>
      </w:r>
    </w:p>
    <w:p>
      <w:pPr>
        <w:jc w:val="left"/>
      </w:pPr>
      <w:r>
        <w:rPr>
          <w:b w:val="0"/>
          <w:sz w:val="18"/>
        </w:rPr>
        <w:t>• Validate pricing through customer discovery interviews (min 20 Saudi SMEs)</w:t>
      </w:r>
    </w:p>
    <w:p>
      <w:pPr>
        <w:jc w:val="left"/>
      </w:pPr>
      <w:r>
        <w:rPr>
          <w:b w:val="0"/>
          <w:sz w:val="18"/>
        </w:rPr>
        <w:t>• Confirm team costs and hiring timeline with detailed vendor quotes</w:t>
      </w:r>
    </w:p>
    <w:p>
      <w:pPr>
        <w:jc w:val="left"/>
      </w:pPr>
      <w:r>
        <w:rPr>
          <w:b w:val="0"/>
          <w:sz w:val="18"/>
        </w:rPr>
        <w:t>• Secure at least 3-5 pilot customers before full product development</w:t>
      </w:r>
    </w:p>
    <w:p>
      <w:pPr>
        <w:jc w:val="left"/>
      </w:pPr>
      <w:r>
        <w:rPr>
          <w:b w:val="0"/>
          <w:sz w:val="18"/>
        </w:rPr>
        <w:t>• Implement PDPL compliance framework before public launch</w:t>
      </w:r>
    </w:p>
    <w:p>
      <w:pPr>
        <w:jc w:val="left"/>
      </w:pPr>
      <w:r>
        <w:rPr>
          <w:b w:val="0"/>
          <w:sz w:val="18"/>
        </w:rPr>
        <w:t>• Validate cloud/AI infrastructure costs with actual AWS/GCP quotes</w:t>
      </w:r>
    </w:p>
    <w:p>
      <w:pPr>
        <w:jc w:val="left"/>
      </w:pPr>
      <w:r>
        <w:rPr>
          <w:b w:val="0"/>
          <w:sz w:val="22"/>
        </w:rPr>
      </w:r>
    </w:p>
    <w:p>
      <w:pPr>
        <w:jc w:val="left"/>
      </w:pPr>
      <w:r>
        <w:rPr>
          <w:b/>
          <w:color w:val="1A365D"/>
          <w:sz w:val="28"/>
        </w:rPr>
        <w:t>13. Evidence Quality Assessment</w:t>
      </w:r>
    </w:p>
    <w:p>
      <w:pPr>
        <w:jc w:val="left"/>
      </w:pPr>
      <w:r>
        <w:rPr>
          <w:b w:val="0"/>
          <w:sz w:val="20"/>
        </w:rPr>
        <w:t>Total: 10 | Official: 10</w:t>
      </w:r>
    </w:p>
    <w:p>
      <w:pPr>
        <w:jc w:val="left"/>
      </w:pPr>
      <w:r>
        <w:rPr>
          <w:b w:val="0"/>
          <w:sz w:val="18"/>
        </w:rPr>
        <w:t>Relevant: 9 | Context: 1</w:t>
      </w:r>
    </w:p>
    <w:p>
      <w:pPr>
        <w:jc w:val="left"/>
      </w:pPr>
      <w:r>
        <w:rPr>
          <w:b w:val="0"/>
          <w:sz w:val="22"/>
        </w:rPr>
      </w:r>
    </w:p>
    <w:p>
      <w:pPr>
        <w:jc w:val="left"/>
      </w:pPr>
      <w:r>
        <w:rPr>
          <w:b/>
          <w:color w:val="1A365D"/>
          <w:sz w:val="28"/>
        </w:rPr>
        <w:t>14. Unknowns &amp; Gaps</w:t>
      </w:r>
    </w:p>
    <w:p>
      <w:pPr>
        <w:jc w:val="left"/>
      </w:pPr>
      <w:r>
        <w:rPr>
          <w:b w:val="0"/>
          <w:color w:val="B7791F"/>
          <w:sz w:val="18"/>
        </w:rPr>
        <w:t>• Low confidence: target customers</w:t>
      </w:r>
    </w:p>
    <w:p>
      <w:pPr>
        <w:jc w:val="left"/>
      </w:pPr>
      <w:r>
        <w:rPr>
          <w:b w:val="0"/>
          <w:color w:val="B7791F"/>
          <w:sz w:val="18"/>
        </w:rPr>
        <w:t>• Low confidence: arr</w:t>
      </w:r>
    </w:p>
    <w:p>
      <w:pPr>
        <w:jc w:val="left"/>
      </w:pPr>
      <w:r>
        <w:rPr>
          <w:b w:val="0"/>
          <w:sz w:val="22"/>
        </w:rPr>
      </w:r>
    </w:p>
    <w:p>
      <w:pPr>
        <w:jc w:val="left"/>
      </w:pPr>
      <w:r>
        <w:rPr>
          <w:b/>
          <w:color w:val="1A365D"/>
          <w:sz w:val="28"/>
        </w:rPr>
        <w:t>15. Final Recommendation</w:t>
      </w:r>
    </w:p>
    <w:p>
      <w:pPr>
        <w:jc w:val="left"/>
      </w:pPr>
      <w:r>
        <w:rPr>
          <w:b/>
          <w:sz w:val="24"/>
        </w:rPr>
        <w:t>Verdict: DEFER</w:t>
      </w:r>
    </w:p>
    <w:p>
      <w:pPr>
        <w:jc w:val="left"/>
      </w:pPr>
      <w:r>
        <w:rPr>
          <w:b/>
          <w:color w:val="B7791F"/>
          <w:sz w:val="22"/>
        </w:rPr>
        <w:t>Trust Status: PARTIAL</w:t>
      </w:r>
    </w:p>
    <w:p>
      <w:pPr>
        <w:jc w:val="left"/>
      </w:pPr>
      <w:r>
        <w:rPr>
          <w:b w:val="0"/>
          <w:sz w:val="22"/>
        </w:rPr>
      </w:r>
    </w:p>
    <w:p>
      <w:pPr>
        <w:jc w:val="left"/>
      </w:pPr>
      <w:r>
        <w:rPr>
          <w:b/>
          <w:color w:val="1A365D"/>
          <w:sz w:val="28"/>
        </w:rPr>
        <w:t>16. 30 / 60 / 90 Day Action Plan</w:t>
      </w:r>
    </w:p>
    <w:p>
      <w:pPr>
        <w:jc w:val="left"/>
      </w:pPr>
      <w:r>
        <w:rPr>
          <w:b w:val="0"/>
          <w:sz w:val="20"/>
        </w:rPr>
        <w:t>30 Days: Customer discovery + pricing validation</w:t>
      </w:r>
    </w:p>
    <w:p>
      <w:pPr>
        <w:jc w:val="left"/>
      </w:pPr>
      <w:r>
        <w:rPr>
          <w:b w:val="0"/>
          <w:sz w:val="20"/>
        </w:rPr>
        <w:t>60 Days: Pilot agreements + MVP scope + PDPL compliance</w:t>
      </w:r>
    </w:p>
    <w:p>
      <w:pPr>
        <w:jc w:val="left"/>
      </w:pPr>
      <w:r>
        <w:rPr>
          <w:b w:val="0"/>
          <w:sz w:val="20"/>
        </w:rPr>
        <w:t>90 Days: Closed-beta launch + unit economics validation</w:t>
      </w:r>
    </w:p>
    <w:p>
      <w:pPr>
        <w:jc w:val="left"/>
      </w:pPr>
      <w:r>
        <w:rPr>
          <w:b w:val="0"/>
          <w:sz w:val="22"/>
        </w:rPr>
      </w:r>
    </w:p>
    <w:p>
      <w:pPr>
        <w:jc w:val="left"/>
      </w:pPr>
      <w:r>
        <w:rPr>
          <w:b/>
          <w:color w:val="1A365D"/>
          <w:sz w:val="28"/>
        </w:rPr>
        <w:t>17. Evidence &amp; Source Register</w:t>
      </w:r>
    </w:p>
    <w:p>
      <w:pPr>
        <w:jc w:val="left"/>
      </w:pPr>
      <w:r>
        <w:rPr>
          <w:b w:val="0"/>
          <w:sz w:val="16"/>
        </w:rPr>
        <w:t>1. Saudi Arabia SaaS market estimated at USD 1.2B (SAR 4.5B) in 2025, growing 20-25% CAGR driven by Vision 2030 digital transformation mandates (MCIT, IDC Middle East 2024 report).</w:t>
      </w:r>
    </w:p>
    <w:p>
      <w:pPr>
        <w:jc w:val="left"/>
      </w:pPr>
      <w:r>
        <w:rPr>
          <w:b w:val="0"/>
          <w:color w:val="4A5568"/>
          <w:sz w:val="14"/>
        </w:rPr>
        <w:t xml:space="preserve">   [official | 0.85 | research]</w:t>
      </w:r>
    </w:p>
    <w:p>
      <w:pPr>
        <w:jc w:val="left"/>
      </w:pPr>
      <w:r>
        <w:rPr>
          <w:b w:val="0"/>
          <w:sz w:val="16"/>
        </w:rPr>
        <w:t>2. Saudi CRM software market segment estimated at USD 180-220M (SAR 675M-825M) in 2025, with B2B sub-segment at ~40% (Mordor Intelligence, Statista MENA SaaS reports).</w:t>
      </w:r>
    </w:p>
    <w:p>
      <w:pPr>
        <w:jc w:val="left"/>
      </w:pPr>
      <w:r>
        <w:rPr>
          <w:b w:val="0"/>
          <w:color w:val="4A5568"/>
          <w:sz w:val="14"/>
        </w:rPr>
        <w:t xml:space="preserve">   [official | 0.75 | research]</w:t>
      </w:r>
    </w:p>
    <w:p>
      <w:pPr>
        <w:jc w:val="left"/>
      </w:pPr>
      <w:r>
        <w:rPr>
          <w:b w:val="0"/>
          <w:sz w:val="16"/>
        </w:rPr>
        <w:t>3. Major CRM competitors in Saudi market: Salesforce (enterprise, USD 25-300/user/mo), HubSpot (mid-market, USD 20-120/user/mo), Zoho CRM (SME, USD 14-52/user/mo), Microsoft Dynamics 365 (enterprise). Local: Qoyod (accounting+CRM), Foodics (F&amp;B POS+CRM). No dominant Arabic-first AI CRM exists.</w:t>
      </w:r>
    </w:p>
    <w:p>
      <w:pPr>
        <w:jc w:val="left"/>
      </w:pPr>
      <w:r>
        <w:rPr>
          <w:b w:val="0"/>
          <w:color w:val="4A5568"/>
          <w:sz w:val="14"/>
        </w:rPr>
        <w:t xml:space="preserve">   [official | 0.8 | research]</w:t>
      </w:r>
    </w:p>
    <w:p>
      <w:pPr>
        <w:jc w:val="left"/>
      </w:pPr>
      <w:r>
        <w:rPr>
          <w:b w:val="0"/>
          <w:sz w:val="16"/>
        </w:rPr>
        <w:t>4. B2B SaaS pricing in Saudi/GCC for SME CRM tools: SAR 150-500/user/month (USD 40-133). Enterprise tiers: SAR 500-1500/user/month. Freemium conversion rate for MENA SaaS: 2-5% (OpenView SaaS Benchmarks 2024).</w:t>
      </w:r>
    </w:p>
    <w:p>
      <w:pPr>
        <w:jc w:val="left"/>
      </w:pPr>
      <w:r>
        <w:rPr>
          <w:b w:val="0"/>
          <w:color w:val="4A5568"/>
          <w:sz w:val="14"/>
        </w:rPr>
        <w:t xml:space="preserve">   [official | 0.7 | research]</w:t>
      </w:r>
    </w:p>
    <w:p>
      <w:pPr>
        <w:jc w:val="left"/>
      </w:pPr>
      <w:r>
        <w:rPr>
          <w:b w:val="0"/>
          <w:sz w:val="16"/>
        </w:rPr>
        <w:t>5. B2B SaaS Customer Acquisition Cost (CAC) in MENA: USD 200-800 per customer for SME segment, USD 1,500-5,000 for mid-market. Dominant channels: Google Ads (35%), LinkedIn (25%), referrals (20%), events (10%), cold outreach (10%). (SaaStr MENA, Wamda Research 2024).</w:t>
      </w:r>
    </w:p>
    <w:p>
      <w:pPr>
        <w:jc w:val="left"/>
      </w:pPr>
      <w:r>
        <w:rPr>
          <w:b w:val="0"/>
          <w:color w:val="4A5568"/>
          <w:sz w:val="14"/>
        </w:rPr>
        <w:t xml:space="preserve">   [official | 0.65 | research]</w:t>
      </w:r>
    </w:p>
    <w:p>
      <w:pPr>
        <w:jc w:val="left"/>
      </w:pPr>
      <w:r>
        <w:rPr>
          <w:b w:val="0"/>
          <w:sz w:val="16"/>
        </w:rPr>
        <w:t>6. B2B SaaS monthly churn rate benchmarks: 2-5% for SME segment, 1-2% for mid-market/enterprise. Annual net revenue retention for best-in-class B2B SaaS: 110-130%. MENA market shows higher churn (3-7% monthly) due to market maturity (Bessemer Cloud Index, ChartMogul 2024).</w:t>
      </w:r>
    </w:p>
    <w:p>
      <w:pPr>
        <w:jc w:val="left"/>
      </w:pPr>
      <w:r>
        <w:rPr>
          <w:b w:val="0"/>
          <w:color w:val="4A5568"/>
          <w:sz w:val="14"/>
        </w:rPr>
        <w:t xml:space="preserve">   [official | 0.65 | research]</w:t>
      </w:r>
    </w:p>
    <w:p>
      <w:pPr>
        <w:jc w:val="left"/>
      </w:pPr>
      <w:r>
        <w:rPr>
          <w:b w:val="0"/>
          <w:sz w:val="16"/>
        </w:rPr>
        <w:t>7. Cloud infrastructure costs for SaaS startup (AWS/GCP Middle East region): SAR 3,000-8,000/month for MVP, scaling to SAR 15,000-40,000/month at 200+ customers. AI/ML API costs (OpenAI/Anthropic): SAR 0.5-2.0 per active user per month depending on usage. (AWS MEA pricing, GCP Dammam region).</w:t>
      </w:r>
    </w:p>
    <w:p>
      <w:pPr>
        <w:jc w:val="left"/>
      </w:pPr>
      <w:r>
        <w:rPr>
          <w:b w:val="0"/>
          <w:color w:val="4A5568"/>
          <w:sz w:val="14"/>
        </w:rPr>
        <w:t xml:space="preserve">   [official | 0.7 | research]</w:t>
      </w:r>
    </w:p>
    <w:p>
      <w:pPr>
        <w:jc w:val="left"/>
      </w:pPr>
      <w:r>
        <w:rPr>
          <w:b w:val="0"/>
          <w:sz w:val="16"/>
        </w:rPr>
        <w:t>8. Saudi SaaS startup team costs (Riyadh): Senior developer SAR 18,000-30,000/month, Junior developer SAR 8,000-15,000/month, Sales/BD SAR 10,000-20,000/month + commission, Marketing SAR 8,000-15,000/month. Saudization quota for tech: 20-30% (HRDF/Nitaqat). (Bayt.com, GulfTalent 2024 salary surveys).</w:t>
      </w:r>
    </w:p>
    <w:p>
      <w:pPr>
        <w:jc w:val="left"/>
      </w:pPr>
      <w:r>
        <w:rPr>
          <w:b w:val="0"/>
          <w:color w:val="4A5568"/>
          <w:sz w:val="14"/>
        </w:rPr>
        <w:t xml:space="preserve">   [official | 0.75 | research]</w:t>
      </w:r>
    </w:p>
    <w:p>
      <w:pPr>
        <w:jc w:val="left"/>
      </w:pPr>
      <w:r>
        <w:rPr>
          <w:b w:val="0"/>
          <w:sz w:val="16"/>
        </w:rPr>
        <w:t>9. Saudi SaaS regulatory requirements: PDPL (Personal Data Protection Law) compliance mandatory since Sep 2023, data residency preferred (local cloud hosting). CITC licensing for cloud services. ZATCA e-invoicing integration required for B2B platforms. SAGIA license for foreign ownership up to 100% in tech sector. (SDAIA, CITC, ZATCA regulations).</w:t>
      </w:r>
    </w:p>
    <w:p>
      <w:pPr>
        <w:jc w:val="left"/>
      </w:pPr>
      <w:r>
        <w:rPr>
          <w:b w:val="0"/>
          <w:color w:val="4A5568"/>
          <w:sz w:val="14"/>
        </w:rPr>
        <w:t xml:space="preserve">   [official | 0.85 | research]</w:t>
      </w:r>
    </w:p>
    <w:p>
      <w:pPr>
        <w:jc w:val="left"/>
      </w:pPr>
      <w:r>
        <w:rPr>
          <w:b w:val="0"/>
          <w:sz w:val="16"/>
        </w:rPr>
        <w:t>10. Vision 2030 National Transformation Program allocates SAR 50B+ for digital transformation across government and enterprise. SME contribution target: 35% of GDP by 2030 (currently ~30%). Monsha'at (SME Authority) provides up to SAR 500K in tech adoption subsidies. (Vision 2030 delivery dashboard, Monsha'at).</w:t>
      </w:r>
    </w:p>
    <w:p>
      <w:pPr>
        <w:jc w:val="left"/>
      </w:pPr>
      <w:r>
        <w:rPr>
          <w:b w:val="0"/>
          <w:color w:val="4A5568"/>
          <w:sz w:val="14"/>
        </w:rPr>
        <w:t xml:space="preserve">   [official | 0.8 | research]</w:t>
      </w:r>
    </w:p>
    <w:p>
      <w:pPr>
        <w:jc w:val="left"/>
      </w:pPr>
      <w:r>
        <w:rPr>
          <w:b w:val="0"/>
          <w:sz w:val="22"/>
        </w:rPr>
      </w:r>
    </w:p>
    <w:p>
      <w:pPr>
        <w:jc w:val="left"/>
      </w:pPr>
      <w:r>
        <w:rPr>
          <w:b/>
          <w:color w:val="1A365D"/>
          <w:sz w:val="28"/>
        </w:rPr>
        <w:t>18. Key Assumptions Register</w:t>
      </w:r>
    </w:p>
    <w:p>
      <w:pPr>
        <w:jc w:val="left"/>
      </w:pPr>
      <w:r>
        <w:rPr>
          <w:b/>
          <w:sz w:val="20"/>
        </w:rPr>
        <w:t>Pricing: 300 SAR/user/month</w:t>
      </w:r>
    </w:p>
    <w:p>
      <w:pPr>
        <w:jc w:val="left"/>
      </w:pPr>
      <w:r>
        <w:rPr>
          <w:b w:val="0"/>
          <w:color w:val="4A5568"/>
          <w:sz w:val="16"/>
        </w:rPr>
        <w:t xml:space="preserve">  Source: Derived from Saudi B2B SaaS pricing benchmarks (SAR 150-500 range) | Class: SYSTEM_ESTIMATE | Confidence: medium | L:150 / B:300 / H:500</w:t>
      </w:r>
    </w:p>
    <w:p>
      <w:pPr>
        <w:jc w:val="left"/>
      </w:pPr>
      <w:r>
        <w:rPr>
          <w:b/>
          <w:sz w:val="20"/>
        </w:rPr>
        <w:t>Target Customers: 80 paying customers by end of Year 1</w:t>
      </w:r>
    </w:p>
    <w:p>
      <w:pPr>
        <w:jc w:val="left"/>
      </w:pPr>
      <w:r>
        <w:rPr>
          <w:b w:val="0"/>
          <w:color w:val="4A5568"/>
          <w:sz w:val="16"/>
        </w:rPr>
        <w:t xml:space="preserve">  Source: Derived from Saudi SME market size (~1M SMEs) with 0.008% penetration in Y1, benchmarked against similar MENA SaaS launches | Class: SYSTEM_ESTIMATE | Confidence: low | L:40 / B:80 / H:150</w:t>
      </w:r>
    </w:p>
    <w:p>
      <w:pPr>
        <w:jc w:val="left"/>
      </w:pPr>
      <w:r>
        <w:rPr>
          <w:b/>
          <w:sz w:val="20"/>
        </w:rPr>
        <w:t>Initial Investment: 350000</w:t>
      </w:r>
    </w:p>
    <w:p>
      <w:pPr>
        <w:jc w:val="left"/>
      </w:pPr>
      <w:r>
        <w:rPr>
          <w:b w:val="0"/>
          <w:color w:val="4A5568"/>
          <w:sz w:val="16"/>
        </w:rPr>
        <w:t xml:space="preserve">  Source: Owner-specified seed investment | Class: USER_CONFIRMED | Confidence: confirmed | L:350000 / B:350000 / H:350000</w:t>
      </w:r>
    </w:p>
    <w:p>
      <w:pPr>
        <w:jc w:val="left"/>
      </w:pPr>
      <w:r>
        <w:rPr>
          <w:b/>
          <w:sz w:val="20"/>
        </w:rPr>
        <w:t>Cac: 750 SAR per customer</w:t>
      </w:r>
    </w:p>
    <w:p>
      <w:pPr>
        <w:jc w:val="left"/>
      </w:pPr>
      <w:r>
        <w:rPr>
          <w:b w:val="0"/>
          <w:color w:val="4A5568"/>
          <w:sz w:val="16"/>
        </w:rPr>
        <w:t xml:space="preserve">  Source: Derived from MENA B2B SaaS CAC benchmarks (USD 200-800, mid-range for Saudi market with higher acquisition costs) | Class: SYSTEM_ESTIMATE | Confidence: medium | L:500 / B:750 / H:1200</w:t>
      </w:r>
    </w:p>
    <w:p>
      <w:pPr>
        <w:jc w:val="left"/>
      </w:pPr>
      <w:r>
        <w:rPr>
          <w:b/>
          <w:sz w:val="20"/>
        </w:rPr>
        <w:t>Churn: 4% monthly</w:t>
      </w:r>
    </w:p>
    <w:p>
      <w:pPr>
        <w:jc w:val="left"/>
      </w:pPr>
      <w:r>
        <w:rPr>
          <w:b w:val="0"/>
          <w:color w:val="4A5568"/>
          <w:sz w:val="16"/>
        </w:rPr>
        <w:t xml:space="preserve">  Source: Derived from MENA B2B SaaS churn benchmarks (2-7% range, using 4% mid-point for newer market) | Class: SYSTEM_ESTIMATE | Confidence: medium | L:2 / B:4 / H:7</w:t>
      </w:r>
    </w:p>
    <w:p>
      <w:pPr>
        <w:jc w:val="left"/>
      </w:pPr>
      <w:r>
        <w:rPr>
          <w:b/>
          <w:sz w:val="20"/>
        </w:rPr>
        <w:t>Opex Year1: 480000</w:t>
      </w:r>
    </w:p>
    <w:p>
      <w:pPr>
        <w:jc w:val="left"/>
      </w:pPr>
      <w:r>
        <w:rPr>
          <w:b w:val="0"/>
          <w:color w:val="4A5568"/>
          <w:sz w:val="16"/>
        </w:rPr>
        <w:t xml:space="preserve">  Source: Derived from team costs (3 developers: SAR 20K avg, 1 sales: SAR 15K, 1 marketing: SAR 12K = SAR 67K/mo salary) + cloud (SAR 5K/mo) + AI APIs (SAR 2K/mo) + office/misc (SAR 8K/mo) = ~SAR 82K/mo * 12 * 0.5 ramp = SAR 480K effective Y1 | Class: SYSTEM_ESTIMATE | Confidence: medium | L:360000 / B:480000 / H:650000</w:t>
      </w:r>
    </w:p>
    <w:p>
      <w:pPr>
        <w:jc w:val="left"/>
      </w:pPr>
      <w:r>
        <w:rPr>
          <w:b/>
          <w:sz w:val="20"/>
        </w:rPr>
        <w:t>Arr: 288000</w:t>
      </w:r>
    </w:p>
    <w:p>
      <w:pPr>
        <w:jc w:val="left"/>
      </w:pPr>
      <w:r>
        <w:rPr>
          <w:b w:val="0"/>
          <w:color w:val="4A5568"/>
          <w:sz w:val="16"/>
        </w:rPr>
        <w:t xml:space="preserve">  Source: Derived from pricing (SAR 300/user/mo) × base customers (80) = SAR 24K MRR → SAR 288K ARR at full Y1 capacity. Actual Y1 lower due to ramp-up. | Class: SYSTEM_ESTIMATE | Confidence: low | L:108000 / B:288000 / H:540000</w:t>
      </w:r>
    </w:p>
    <w:p>
      <w:pPr>
        <w:jc w:val="left"/>
      </w:pPr>
      <w:r>
        <w:rPr>
          <w:b/>
          <w:sz w:val="20"/>
        </w:rPr>
        <w:t>Growth Rate: 80% year-over-year</w:t>
      </w:r>
    </w:p>
    <w:p>
      <w:pPr>
        <w:jc w:val="left"/>
      </w:pPr>
      <w:r>
        <w:rPr>
          <w:b w:val="0"/>
          <w:color w:val="4A5568"/>
          <w:sz w:val="16"/>
        </w:rPr>
        <w:t xml:space="preserve">  Source: B2B SaaS growth benchmarks for early-stage (Y1→Y2): 60-120% typical for high-growth MENA SaaS. Conservative mid-point used. | Class: SYSTEM_ESTIMATE | Confidence: medium | L:50 / B:80 / H:120</w:t>
      </w:r>
    </w:p>
    <w:p>
      <w:pPr>
        <w:jc w:val="left"/>
      </w:pPr>
      <w:r>
        <w:rPr>
          <w:b/>
          <w:sz w:val="20"/>
        </w:rPr>
        <w:t>Discount Rate: 15%</w:t>
      </w:r>
    </w:p>
    <w:p>
      <w:pPr>
        <w:jc w:val="left"/>
      </w:pPr>
      <w:r>
        <w:rPr>
          <w:b w:val="0"/>
          <w:color w:val="4A5568"/>
          <w:sz w:val="16"/>
        </w:rPr>
        <w:t xml:space="preserve">  Source: Saudi startup risk-adjusted discount rate: risk-free (SAMA repo rate ~6%) + equity risk premium (5-7%) + small-cap/startup premium (3-5%) = 14-18% | Class: SYSTEM_ESTIMATE | Confidence: medium | L:12 / B:15 / H:18</w:t>
      </w:r>
    </w:p>
    <w:p>
      <w:pPr>
        <w:jc w:val="left"/>
      </w:pPr>
      <w:r>
        <w:rPr>
          <w:b/>
          <w:sz w:val="20"/>
        </w:rPr>
        <w:t>Team Size Y1: 5 FTEs</w:t>
      </w:r>
    </w:p>
    <w:p>
      <w:pPr>
        <w:jc w:val="left"/>
      </w:pPr>
      <w:r>
        <w:rPr>
          <w:b w:val="0"/>
          <w:color w:val="4A5568"/>
          <w:sz w:val="16"/>
        </w:rPr>
        <w:t xml:space="preserve">  Source: Minimum viable SaaS team: 2 developers (full-stack + AI/ML), 1 product/design, 1 sales/BD, 1 marketing/growth. Scaled from comparable MENA SaaS launches. | Class: SYSTEM_ESTIMATE | Confidence: medium | L:3 / B:5 / H:7</w:t>
      </w:r>
    </w:p>
    <w:p>
      <w:pPr>
        <w:jc w:val="left"/>
      </w:pPr>
      <w:r>
        <w:rPr>
          <w:b w:val="0"/>
          <w:sz w:val="22"/>
        </w:rPr>
      </w:r>
    </w:p>
    <w:p>
      <w:pPr>
        <w:jc w:val="left"/>
      </w:pPr>
      <w:r>
        <w:rPr>
          <w:b/>
          <w:color w:val="1A365D"/>
          <w:sz w:val="28"/>
        </w:rPr>
        <w:t>19. Methodology &amp; Disclaimer</w:t>
      </w:r>
    </w:p>
    <w:p>
      <w:pPr>
        <w:jc w:val="left"/>
      </w:pPr>
      <w:r>
        <w:rPr>
          <w:b w:val="0"/>
          <w:color w:val="718096"/>
          <w:sz w:val="16"/>
        </w:rPr>
        <w:t>This report is generated by the Saudi Business AI platform as an assistive tool. It does not constitute legal, financial, or tax advice. All projections are system estimates and require independent professional review before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