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0D5D" w14:textId="77777777" w:rsidR="0035722F" w:rsidRPr="0035722F" w:rsidRDefault="0035722F" w:rsidP="0035722F">
      <w:pPr>
        <w:rPr>
          <w:b/>
          <w:bCs/>
          <w:color w:val="000000" w:themeColor="text1"/>
          <w:lang w:val="en-GB"/>
        </w:rPr>
      </w:pPr>
      <w:r w:rsidRPr="0035722F">
        <w:rPr>
          <w:b/>
          <w:bCs/>
          <w:color w:val="000000" w:themeColor="text1"/>
          <w:lang w:val="en-GB"/>
        </w:rPr>
        <w:t>Description</w:t>
      </w:r>
    </w:p>
    <w:p w14:paraId="46417E81" w14:textId="77777777" w:rsidR="0035722F" w:rsidRPr="0035722F" w:rsidRDefault="0035722F" w:rsidP="0035722F">
      <w:pPr>
        <w:rPr>
          <w:color w:val="000000" w:themeColor="text1"/>
          <w:lang w:val="en-GB"/>
        </w:rPr>
      </w:pPr>
      <w:r w:rsidRPr="0035722F">
        <w:rPr>
          <w:color w:val="000000" w:themeColor="text1"/>
          <w:lang w:val="en-GB"/>
        </w:rPr>
        <w:t xml:space="preserve">This reflective piece for the module Network Security is based on Gibbs reflective cycle (Mindtools, 2018) that aims to develop learning by reflection. The situation I will reflect over is the latest assignment, that required me to conduct a penetration test on a chosen website. Halfway through the assignment the website host was down, I could not access the URL and any requests on its IP address failed. After several days of reconfiguration, reinstalment etc I found myself in a predicament. </w:t>
      </w:r>
    </w:p>
    <w:p w14:paraId="599EECE9" w14:textId="77777777" w:rsidR="0035722F" w:rsidRPr="0035722F" w:rsidRDefault="0035722F" w:rsidP="0035722F">
      <w:pPr>
        <w:rPr>
          <w:b/>
          <w:bCs/>
          <w:color w:val="000000" w:themeColor="text1"/>
          <w:lang w:val="en-GB"/>
        </w:rPr>
      </w:pPr>
    </w:p>
    <w:p w14:paraId="40F37C83" w14:textId="77777777" w:rsidR="0035722F" w:rsidRPr="0035722F" w:rsidRDefault="0035722F" w:rsidP="0035722F">
      <w:pPr>
        <w:rPr>
          <w:b/>
          <w:bCs/>
          <w:color w:val="000000" w:themeColor="text1"/>
          <w:lang w:val="en-GB"/>
        </w:rPr>
      </w:pPr>
      <w:r w:rsidRPr="0035722F">
        <w:rPr>
          <w:b/>
          <w:bCs/>
          <w:color w:val="000000" w:themeColor="text1"/>
          <w:lang w:val="en-GB"/>
        </w:rPr>
        <w:t>Feelings</w:t>
      </w:r>
    </w:p>
    <w:p w14:paraId="57FC8D92" w14:textId="77777777" w:rsidR="0035722F" w:rsidRPr="0035722F" w:rsidRDefault="0035722F" w:rsidP="0035722F">
      <w:pPr>
        <w:rPr>
          <w:color w:val="000000" w:themeColor="text1"/>
          <w:lang w:val="en-GB"/>
        </w:rPr>
      </w:pPr>
      <w:r w:rsidRPr="0035722F">
        <w:rPr>
          <w:color w:val="000000" w:themeColor="text1"/>
          <w:lang w:val="en-GB"/>
        </w:rPr>
        <w:t xml:space="preserve">Initially this problem caused me performance anxiety as I would not be able to complete the assignment to a satisfactory standard, nor would I achieve the personal goals I set out prior to the assignment. I felt defeated, unknowledgeable, and isolated as no attempts to rectify the issue worked. </w:t>
      </w:r>
    </w:p>
    <w:p w14:paraId="0ED00E08" w14:textId="77777777" w:rsidR="0035722F" w:rsidRPr="0035722F" w:rsidRDefault="0035722F" w:rsidP="0035722F">
      <w:pPr>
        <w:rPr>
          <w:b/>
          <w:bCs/>
          <w:color w:val="000000" w:themeColor="text1"/>
          <w:lang w:val="en-GB"/>
        </w:rPr>
      </w:pPr>
    </w:p>
    <w:p w14:paraId="5EB70346" w14:textId="77777777" w:rsidR="0035722F" w:rsidRPr="0035722F" w:rsidRDefault="0035722F" w:rsidP="0035722F">
      <w:pPr>
        <w:rPr>
          <w:b/>
          <w:bCs/>
          <w:color w:val="000000" w:themeColor="text1"/>
          <w:lang w:val="en-GB"/>
        </w:rPr>
      </w:pPr>
      <w:r w:rsidRPr="0035722F">
        <w:rPr>
          <w:b/>
          <w:bCs/>
          <w:color w:val="000000" w:themeColor="text1"/>
          <w:lang w:val="en-GB"/>
        </w:rPr>
        <w:t>Evaluation</w:t>
      </w:r>
    </w:p>
    <w:p w14:paraId="2E058160" w14:textId="77777777" w:rsidR="0035722F" w:rsidRPr="0035722F" w:rsidRDefault="0035722F" w:rsidP="0035722F">
      <w:pPr>
        <w:rPr>
          <w:color w:val="000000" w:themeColor="text1"/>
          <w:lang w:val="en-GB"/>
        </w:rPr>
      </w:pPr>
      <w:r w:rsidRPr="0035722F">
        <w:rPr>
          <w:color w:val="000000" w:themeColor="text1"/>
          <w:lang w:val="en-GB"/>
        </w:rPr>
        <w:t xml:space="preserve">The silver lining of this situation that I had a decision to make – either retake the module because of late hand in or find another way to resolve my technical difficulties. The negative aspect of this situation was that I would not produce quality output I expect from myself. </w:t>
      </w:r>
    </w:p>
    <w:p w14:paraId="24411DC3" w14:textId="77777777" w:rsidR="0035722F" w:rsidRPr="0035722F" w:rsidRDefault="0035722F" w:rsidP="0035722F">
      <w:pPr>
        <w:rPr>
          <w:color w:val="000000" w:themeColor="text1"/>
          <w:lang w:val="en-GB"/>
        </w:rPr>
      </w:pPr>
    </w:p>
    <w:p w14:paraId="711F8C2B" w14:textId="77777777" w:rsidR="0035722F" w:rsidRPr="0035722F" w:rsidRDefault="0035722F" w:rsidP="0035722F">
      <w:pPr>
        <w:rPr>
          <w:color w:val="000000" w:themeColor="text1"/>
          <w:lang w:val="en-GB"/>
        </w:rPr>
      </w:pPr>
    </w:p>
    <w:p w14:paraId="62512EA7" w14:textId="77777777" w:rsidR="0035722F" w:rsidRPr="0035722F" w:rsidRDefault="0035722F" w:rsidP="0035722F">
      <w:pPr>
        <w:rPr>
          <w:color w:val="000000" w:themeColor="text1"/>
          <w:lang w:val="en-GB"/>
        </w:rPr>
      </w:pPr>
      <w:r w:rsidRPr="0035722F">
        <w:rPr>
          <w:color w:val="000000" w:themeColor="text1"/>
          <w:lang w:val="en-GB"/>
        </w:rPr>
        <w:t xml:space="preserve">I researched other methods of penetration testing and found I could use automatic website scanners available online that did not require configurations set ups on my personal computer. Instead of an active penetration test, I resorted to perform a surface vulnerability assessment within the limitations of the website scanners. </w:t>
      </w:r>
    </w:p>
    <w:p w14:paraId="5F779F32" w14:textId="77777777" w:rsidR="0035722F" w:rsidRPr="0035722F" w:rsidRDefault="0035722F" w:rsidP="0035722F">
      <w:pPr>
        <w:rPr>
          <w:color w:val="000000" w:themeColor="text1"/>
          <w:lang w:val="en-GB"/>
        </w:rPr>
      </w:pPr>
    </w:p>
    <w:p w14:paraId="0B233BE6" w14:textId="77777777" w:rsidR="0035722F" w:rsidRPr="0035722F" w:rsidRDefault="0035722F" w:rsidP="0035722F">
      <w:pPr>
        <w:rPr>
          <w:color w:val="000000" w:themeColor="text1"/>
          <w:lang w:val="en-GB"/>
        </w:rPr>
      </w:pPr>
    </w:p>
    <w:p w14:paraId="61BDAE42" w14:textId="77777777" w:rsidR="0035722F" w:rsidRPr="0035722F" w:rsidRDefault="0035722F" w:rsidP="0035722F">
      <w:pPr>
        <w:rPr>
          <w:b/>
          <w:bCs/>
          <w:color w:val="000000" w:themeColor="text1"/>
          <w:lang w:val="en-GB"/>
        </w:rPr>
      </w:pPr>
      <w:r w:rsidRPr="0035722F">
        <w:rPr>
          <w:b/>
          <w:bCs/>
          <w:color w:val="000000" w:themeColor="text1"/>
          <w:lang w:val="en-GB"/>
        </w:rPr>
        <w:t>Newfound understanding of General Data Protection Regulation</w:t>
      </w:r>
    </w:p>
    <w:p w14:paraId="44D313A9" w14:textId="77777777" w:rsidR="0035722F" w:rsidRPr="0035722F" w:rsidRDefault="0035722F" w:rsidP="0035722F">
      <w:pPr>
        <w:rPr>
          <w:color w:val="000000" w:themeColor="text1"/>
          <w:lang w:val="en-GB"/>
        </w:rPr>
      </w:pPr>
      <w:r w:rsidRPr="0035722F">
        <w:rPr>
          <w:color w:val="000000" w:themeColor="text1"/>
          <w:lang w:val="en-GB"/>
        </w:rPr>
        <w:t xml:space="preserve">Despite surface level scanning, I did learn about web application vulnerabilities, how non-compliance relates to the General Data Protection Regulation but most importantly I learned what the Regulation requires of the protection of data, and that card transactions require protection (Wright 2011). </w:t>
      </w:r>
    </w:p>
    <w:p w14:paraId="70A613A2" w14:textId="77777777" w:rsidR="0035722F" w:rsidRPr="0035722F" w:rsidRDefault="0035722F" w:rsidP="0035722F">
      <w:pPr>
        <w:rPr>
          <w:color w:val="000000" w:themeColor="text1"/>
          <w:lang w:val="en-GB"/>
        </w:rPr>
      </w:pPr>
    </w:p>
    <w:p w14:paraId="2E4C1481" w14:textId="77777777" w:rsidR="0035722F" w:rsidRPr="0035722F" w:rsidRDefault="0035722F" w:rsidP="0035722F">
      <w:pPr>
        <w:rPr>
          <w:color w:val="000000" w:themeColor="text1"/>
          <w:lang w:val="en-GB"/>
        </w:rPr>
      </w:pPr>
    </w:p>
    <w:p w14:paraId="37BB6D02" w14:textId="6345C610" w:rsidR="0035722F" w:rsidRPr="0035722F" w:rsidRDefault="0035722F" w:rsidP="0035722F">
      <w:pPr>
        <w:rPr>
          <w:b/>
          <w:bCs/>
          <w:color w:val="000000" w:themeColor="text1"/>
          <w:lang w:val="en-GB"/>
        </w:rPr>
      </w:pPr>
      <w:r w:rsidRPr="0035722F">
        <w:rPr>
          <w:b/>
          <w:bCs/>
          <w:color w:val="000000" w:themeColor="text1"/>
          <w:lang w:val="en-GB"/>
        </w:rPr>
        <w:t xml:space="preserve">Prevent feelings of </w:t>
      </w:r>
      <w:r w:rsidR="009823BA">
        <w:rPr>
          <w:b/>
          <w:bCs/>
          <w:color w:val="000000" w:themeColor="text1"/>
          <w:lang w:val="en-GB"/>
        </w:rPr>
        <w:t>i</w:t>
      </w:r>
      <w:r w:rsidRPr="0035722F">
        <w:rPr>
          <w:b/>
          <w:bCs/>
          <w:color w:val="000000" w:themeColor="text1"/>
          <w:lang w:val="en-GB"/>
        </w:rPr>
        <w:t>solation</w:t>
      </w:r>
    </w:p>
    <w:p w14:paraId="2C51BEE5" w14:textId="77777777" w:rsidR="0035722F" w:rsidRPr="0035722F" w:rsidRDefault="0035722F" w:rsidP="0035722F">
      <w:pPr>
        <w:rPr>
          <w:color w:val="000000" w:themeColor="text1"/>
          <w:lang w:val="en-GB"/>
        </w:rPr>
      </w:pPr>
      <w:r w:rsidRPr="0035722F">
        <w:rPr>
          <w:color w:val="000000" w:themeColor="text1"/>
          <w:lang w:val="en-GB"/>
        </w:rPr>
        <w:t xml:space="preserve">To prevent feelings of isolation, I should have reached out for support at an earlier stage. Feelings of isolation in the learning process may have negative consequences, and hinder motivation to progress and learn in general but </w:t>
      </w:r>
      <w:proofErr w:type="gramStart"/>
      <w:r w:rsidRPr="0035722F">
        <w:rPr>
          <w:color w:val="000000" w:themeColor="text1"/>
          <w:lang w:val="en-GB"/>
        </w:rPr>
        <w:t>in particular on</w:t>
      </w:r>
      <w:proofErr w:type="gramEnd"/>
      <w:r w:rsidRPr="0035722F">
        <w:rPr>
          <w:color w:val="000000" w:themeColor="text1"/>
          <w:lang w:val="en-GB"/>
        </w:rPr>
        <w:t xml:space="preserve"> a university course (Croft et al, 2010). Alsop (2013) argues that lifelong learners need support from seniors or peers to allow students to develop and prevent feelings of isolation. </w:t>
      </w:r>
    </w:p>
    <w:p w14:paraId="57151083" w14:textId="77777777" w:rsidR="0035722F" w:rsidRPr="0035722F" w:rsidRDefault="0035722F" w:rsidP="0035722F">
      <w:pPr>
        <w:rPr>
          <w:color w:val="000000" w:themeColor="text1"/>
          <w:lang w:val="en-GB"/>
        </w:rPr>
      </w:pPr>
    </w:p>
    <w:p w14:paraId="5E2749B4" w14:textId="77777777" w:rsidR="0035722F" w:rsidRPr="0035722F" w:rsidRDefault="0035722F" w:rsidP="0035722F">
      <w:pPr>
        <w:rPr>
          <w:color w:val="000000" w:themeColor="text1"/>
          <w:lang w:val="en-GB"/>
        </w:rPr>
      </w:pPr>
    </w:p>
    <w:p w14:paraId="24436F9C" w14:textId="77777777" w:rsidR="0035722F" w:rsidRPr="0035722F" w:rsidRDefault="0035722F" w:rsidP="0035722F">
      <w:pPr>
        <w:rPr>
          <w:b/>
          <w:bCs/>
          <w:color w:val="000000" w:themeColor="text1"/>
          <w:lang w:val="en-GB"/>
        </w:rPr>
      </w:pPr>
      <w:r w:rsidRPr="0035722F">
        <w:rPr>
          <w:b/>
          <w:bCs/>
          <w:color w:val="000000" w:themeColor="text1"/>
          <w:lang w:val="en-GB"/>
        </w:rPr>
        <w:t>Problem solving skills</w:t>
      </w:r>
    </w:p>
    <w:p w14:paraId="4A1D78C1" w14:textId="77777777" w:rsidR="0035722F" w:rsidRPr="0035722F" w:rsidRDefault="0035722F" w:rsidP="0035722F">
      <w:pPr>
        <w:rPr>
          <w:color w:val="000000" w:themeColor="text1"/>
          <w:lang w:val="en-GB"/>
        </w:rPr>
      </w:pPr>
      <w:r w:rsidRPr="0035722F">
        <w:rPr>
          <w:color w:val="000000" w:themeColor="text1"/>
          <w:lang w:val="en-GB"/>
        </w:rPr>
        <w:t xml:space="preserve">Problem solving skills is identified in the dictionary as “the process or act of finding a solution to the problem” (Merriam-Webster, 2022). Problem solving skills can only be developed by solving problems (Engel, 1998). </w:t>
      </w:r>
    </w:p>
    <w:p w14:paraId="67AE7015" w14:textId="77777777" w:rsidR="0035722F" w:rsidRPr="0035722F" w:rsidRDefault="0035722F" w:rsidP="0035722F">
      <w:pPr>
        <w:rPr>
          <w:color w:val="000000" w:themeColor="text1"/>
          <w:lang w:val="en-GB"/>
        </w:rPr>
      </w:pPr>
    </w:p>
    <w:p w14:paraId="2A0ECC04" w14:textId="77777777" w:rsidR="0035722F" w:rsidRPr="0035722F" w:rsidRDefault="0035722F" w:rsidP="0035722F">
      <w:pPr>
        <w:rPr>
          <w:color w:val="000000" w:themeColor="text1"/>
          <w:lang w:val="en-GB"/>
        </w:rPr>
      </w:pPr>
    </w:p>
    <w:p w14:paraId="14B58EFF" w14:textId="77777777" w:rsidR="0035722F" w:rsidRPr="0035722F" w:rsidRDefault="0035722F" w:rsidP="0035722F">
      <w:pPr>
        <w:rPr>
          <w:color w:val="000000" w:themeColor="text1"/>
          <w:lang w:val="en-GB"/>
        </w:rPr>
      </w:pPr>
    </w:p>
    <w:p w14:paraId="143B8270" w14:textId="77777777" w:rsidR="0035722F" w:rsidRPr="0035722F" w:rsidRDefault="0035722F" w:rsidP="0035722F">
      <w:pPr>
        <w:rPr>
          <w:color w:val="000000" w:themeColor="text1"/>
          <w:lang w:val="en-GB"/>
        </w:rPr>
      </w:pPr>
    </w:p>
    <w:p w14:paraId="4A07C633" w14:textId="77777777" w:rsidR="0035722F" w:rsidRPr="0035722F" w:rsidRDefault="0035722F" w:rsidP="0035722F">
      <w:pPr>
        <w:rPr>
          <w:color w:val="000000" w:themeColor="text1"/>
          <w:lang w:val="en-GB"/>
        </w:rPr>
      </w:pPr>
    </w:p>
    <w:p w14:paraId="274B5F41" w14:textId="77777777" w:rsidR="0035722F" w:rsidRPr="0035722F" w:rsidRDefault="0035722F" w:rsidP="0035722F">
      <w:pPr>
        <w:rPr>
          <w:color w:val="000000" w:themeColor="text1"/>
          <w:lang w:val="en-GB"/>
        </w:rPr>
      </w:pPr>
      <w:r w:rsidRPr="0035722F">
        <w:rPr>
          <w:color w:val="000000" w:themeColor="text1"/>
          <w:lang w:val="en-GB"/>
        </w:rPr>
        <w:lastRenderedPageBreak/>
        <w:t xml:space="preserve">To solve complex problems, </w:t>
      </w:r>
      <w:proofErr w:type="spellStart"/>
      <w:r w:rsidRPr="0035722F">
        <w:rPr>
          <w:color w:val="000000" w:themeColor="text1"/>
          <w:lang w:val="en-GB"/>
        </w:rPr>
        <w:t>Chevallier</w:t>
      </w:r>
      <w:proofErr w:type="spellEnd"/>
      <w:r w:rsidRPr="0035722F">
        <w:rPr>
          <w:color w:val="000000" w:themeColor="text1"/>
          <w:lang w:val="en-GB"/>
        </w:rPr>
        <w:t xml:space="preserve"> (2016) suggests six core steps, four of which are relevant for this assignment: </w:t>
      </w:r>
    </w:p>
    <w:p w14:paraId="11921A75" w14:textId="77777777" w:rsidR="0035722F" w:rsidRPr="007D771D" w:rsidRDefault="0035722F" w:rsidP="0035722F">
      <w:pPr>
        <w:jc w:val="center"/>
        <w:rPr>
          <w:color w:val="000000" w:themeColor="text1"/>
          <w:lang w:val="en-GB"/>
        </w:rPr>
      </w:pPr>
      <w:r w:rsidRPr="007D771D">
        <w:rPr>
          <w:color w:val="000000" w:themeColor="text1"/>
          <w:lang w:val="en-GB"/>
        </w:rPr>
        <w:fldChar w:fldCharType="begin"/>
      </w:r>
      <w:r w:rsidRPr="007D771D">
        <w:rPr>
          <w:color w:val="000000" w:themeColor="text1"/>
          <w:lang w:val="en-GB"/>
        </w:rPr>
        <w:instrText xml:space="preserve"> INCLUDEPICTURE "https://asq.org/-/media/Images/Learn-About-Quality/problem-solving.png?h=243&amp;w=278&amp;la=en" \* MERGEFORMATINET </w:instrText>
      </w:r>
      <w:r w:rsidRPr="007D771D">
        <w:rPr>
          <w:color w:val="000000" w:themeColor="text1"/>
          <w:lang w:val="en-GB"/>
        </w:rPr>
        <w:fldChar w:fldCharType="separate"/>
      </w:r>
      <w:r w:rsidRPr="0035722F">
        <w:rPr>
          <w:noProof/>
          <w:color w:val="000000" w:themeColor="text1"/>
          <w:lang w:val="en-GB"/>
        </w:rPr>
        <w:drawing>
          <wp:inline distT="0" distB="0" distL="0" distR="0" wp14:anchorId="5E55594C" wp14:editId="0B4F9D77">
            <wp:extent cx="2743200" cy="2286000"/>
            <wp:effectExtent l="0" t="0" r="0" b="0"/>
            <wp:docPr id="4" name="Picture 4" descr="Problem Solving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lem Solving visu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r w:rsidRPr="007D771D">
        <w:rPr>
          <w:color w:val="000000" w:themeColor="text1"/>
          <w:lang w:val="en-GB"/>
        </w:rPr>
        <w:fldChar w:fldCharType="end"/>
      </w:r>
    </w:p>
    <w:p w14:paraId="2D0DA5D0" w14:textId="77777777" w:rsidR="0035722F" w:rsidRPr="0035722F" w:rsidRDefault="0035722F" w:rsidP="0035722F">
      <w:pPr>
        <w:jc w:val="center"/>
        <w:rPr>
          <w:i/>
          <w:iCs/>
          <w:color w:val="000000" w:themeColor="text1"/>
          <w:lang w:val="en-GB"/>
        </w:rPr>
      </w:pPr>
      <w:r w:rsidRPr="0035722F">
        <w:rPr>
          <w:i/>
          <w:iCs/>
          <w:color w:val="000000" w:themeColor="text1"/>
          <w:lang w:val="en-GB"/>
        </w:rPr>
        <w:t>Source: asq.org</w:t>
      </w:r>
    </w:p>
    <w:p w14:paraId="7F9EF5F3" w14:textId="77777777" w:rsidR="0035722F" w:rsidRPr="0035722F" w:rsidRDefault="0035722F" w:rsidP="0035722F">
      <w:pPr>
        <w:rPr>
          <w:color w:val="000000" w:themeColor="text1"/>
          <w:lang w:val="en-GB"/>
        </w:rPr>
      </w:pPr>
    </w:p>
    <w:p w14:paraId="104E5FDE" w14:textId="77777777" w:rsidR="0035722F" w:rsidRPr="0035722F" w:rsidRDefault="0035722F" w:rsidP="0035722F">
      <w:pPr>
        <w:rPr>
          <w:color w:val="000000" w:themeColor="text1"/>
          <w:lang w:val="en-GB"/>
        </w:rPr>
      </w:pPr>
      <w:r w:rsidRPr="0035722F">
        <w:rPr>
          <w:color w:val="000000" w:themeColor="text1"/>
          <w:lang w:val="en-GB"/>
        </w:rPr>
        <w:t xml:space="preserve">To this point, I have identified a problem, thought of ideas, and taken the decision to complete a surface website vulnerability scan on the web application to the best of available ability. It is my opinion that it was an innovative and creative solution to the problem at hand in an uncertain situation. </w:t>
      </w:r>
      <w:proofErr w:type="spellStart"/>
      <w:r w:rsidRPr="0035722F">
        <w:rPr>
          <w:color w:val="000000" w:themeColor="text1"/>
          <w:lang w:val="en-GB"/>
        </w:rPr>
        <w:t>Titchen</w:t>
      </w:r>
      <w:proofErr w:type="spellEnd"/>
      <w:r w:rsidRPr="0035722F">
        <w:rPr>
          <w:color w:val="000000" w:themeColor="text1"/>
          <w:lang w:val="en-GB"/>
        </w:rPr>
        <w:t xml:space="preserve"> and Higgs (2001) argues that creativity is necessary in the contemporary workplace practice as it operates in degrees of uncertainty.  Creative solutions are required in such context as it fosters new knowledge, finds effective solutions, and develops change (</w:t>
      </w:r>
      <w:proofErr w:type="spellStart"/>
      <w:r w:rsidRPr="0035722F">
        <w:rPr>
          <w:color w:val="000000" w:themeColor="text1"/>
          <w:lang w:val="en-GB"/>
        </w:rPr>
        <w:t>Aslop</w:t>
      </w:r>
      <w:proofErr w:type="spellEnd"/>
      <w:r w:rsidRPr="0035722F">
        <w:rPr>
          <w:color w:val="000000" w:themeColor="text1"/>
          <w:lang w:val="en-GB"/>
        </w:rPr>
        <w:t xml:space="preserve">, 2013). </w:t>
      </w:r>
    </w:p>
    <w:p w14:paraId="29C09367" w14:textId="77777777" w:rsidR="0035722F" w:rsidRPr="0035722F" w:rsidRDefault="0035722F" w:rsidP="0035722F">
      <w:pPr>
        <w:rPr>
          <w:color w:val="000000" w:themeColor="text1"/>
          <w:lang w:val="en-GB"/>
        </w:rPr>
      </w:pPr>
    </w:p>
    <w:p w14:paraId="5BE3A265" w14:textId="77777777" w:rsidR="0035722F" w:rsidRPr="0035722F" w:rsidRDefault="0035722F" w:rsidP="0035722F">
      <w:pPr>
        <w:rPr>
          <w:color w:val="000000" w:themeColor="text1"/>
          <w:lang w:val="en-GB"/>
        </w:rPr>
      </w:pPr>
    </w:p>
    <w:p w14:paraId="46D9DD93" w14:textId="77777777" w:rsidR="0035722F" w:rsidRPr="0035722F" w:rsidRDefault="0035722F" w:rsidP="0035722F">
      <w:pPr>
        <w:rPr>
          <w:b/>
          <w:bCs/>
          <w:color w:val="000000" w:themeColor="text1"/>
          <w:lang w:val="en-GB"/>
        </w:rPr>
      </w:pPr>
      <w:r w:rsidRPr="0035722F">
        <w:rPr>
          <w:b/>
          <w:bCs/>
          <w:color w:val="000000" w:themeColor="text1"/>
          <w:lang w:val="en-GB"/>
        </w:rPr>
        <w:t>Resilience</w:t>
      </w:r>
    </w:p>
    <w:p w14:paraId="2F1624EC" w14:textId="77777777" w:rsidR="0035722F" w:rsidRPr="0035722F" w:rsidRDefault="0035722F" w:rsidP="0035722F">
      <w:pPr>
        <w:rPr>
          <w:color w:val="000000" w:themeColor="text1"/>
          <w:lang w:val="en-GB"/>
        </w:rPr>
      </w:pPr>
      <w:r w:rsidRPr="0035722F">
        <w:rPr>
          <w:color w:val="000000" w:themeColor="text1"/>
          <w:lang w:val="en-GB"/>
        </w:rPr>
        <w:t>It can be argued that failure promotes learning (Anderson et al 2018) and I argue that failure builds resilience, which constitutes the process of an individuals’ healthy functioning in response to adversary (</w:t>
      </w:r>
      <w:proofErr w:type="spellStart"/>
      <w:r w:rsidRPr="0035722F">
        <w:rPr>
          <w:color w:val="000000" w:themeColor="text1"/>
          <w:lang w:val="en-GB"/>
        </w:rPr>
        <w:t>Masten</w:t>
      </w:r>
      <w:proofErr w:type="spellEnd"/>
      <w:r w:rsidRPr="0035722F">
        <w:rPr>
          <w:color w:val="000000" w:themeColor="text1"/>
          <w:lang w:val="en-GB"/>
        </w:rPr>
        <w:t>, and Narayan, 2013). Resilient employees in the workplace reduce absenteeism, counterproductive work behaviour and general stress related issues (</w:t>
      </w:r>
      <w:proofErr w:type="spellStart"/>
      <w:r w:rsidRPr="0035722F">
        <w:rPr>
          <w:color w:val="000000" w:themeColor="text1"/>
          <w:lang w:val="en-GB"/>
        </w:rPr>
        <w:t>Vanhove</w:t>
      </w:r>
      <w:proofErr w:type="spellEnd"/>
      <w:r w:rsidRPr="0035722F">
        <w:rPr>
          <w:color w:val="000000" w:themeColor="text1"/>
          <w:lang w:val="en-GB"/>
        </w:rPr>
        <w:t xml:space="preserve">, 2016) and provide generally healthy persons. </w:t>
      </w:r>
    </w:p>
    <w:p w14:paraId="7F934760" w14:textId="77777777" w:rsidR="0035722F" w:rsidRPr="0035722F" w:rsidRDefault="0035722F" w:rsidP="0035722F">
      <w:pPr>
        <w:rPr>
          <w:color w:val="000000" w:themeColor="text1"/>
          <w:lang w:val="en-GB"/>
        </w:rPr>
      </w:pPr>
    </w:p>
    <w:p w14:paraId="50261F51" w14:textId="77777777" w:rsidR="0035722F" w:rsidRPr="0035722F" w:rsidRDefault="0035722F" w:rsidP="0035722F">
      <w:pPr>
        <w:rPr>
          <w:b/>
          <w:bCs/>
          <w:color w:val="000000" w:themeColor="text1"/>
          <w:lang w:val="en-GB"/>
        </w:rPr>
      </w:pPr>
    </w:p>
    <w:p w14:paraId="618C4090" w14:textId="77777777" w:rsidR="0035722F" w:rsidRPr="0035722F" w:rsidRDefault="0035722F" w:rsidP="0035722F">
      <w:pPr>
        <w:rPr>
          <w:b/>
          <w:bCs/>
          <w:color w:val="000000" w:themeColor="text1"/>
          <w:lang w:val="en-GB"/>
        </w:rPr>
      </w:pPr>
      <w:r w:rsidRPr="0035722F">
        <w:rPr>
          <w:b/>
          <w:bCs/>
          <w:color w:val="000000" w:themeColor="text1"/>
          <w:lang w:val="en-GB"/>
        </w:rPr>
        <w:t>Conclusions</w:t>
      </w:r>
    </w:p>
    <w:p w14:paraId="5C95C1DB" w14:textId="32B6BD7F" w:rsidR="0035722F" w:rsidRPr="0035722F" w:rsidRDefault="0035722F" w:rsidP="0035722F">
      <w:pPr>
        <w:rPr>
          <w:color w:val="000000" w:themeColor="text1"/>
          <w:lang w:val="en-GB"/>
        </w:rPr>
      </w:pPr>
      <w:r w:rsidRPr="0035722F">
        <w:rPr>
          <w:color w:val="000000" w:themeColor="text1"/>
          <w:lang w:val="en-GB"/>
        </w:rPr>
        <w:t xml:space="preserve">Despite the assignment not been complete to </w:t>
      </w:r>
      <w:r w:rsidR="003F19E1">
        <w:rPr>
          <w:color w:val="000000" w:themeColor="text1"/>
          <w:lang w:val="en-GB"/>
        </w:rPr>
        <w:t>my</w:t>
      </w:r>
      <w:r w:rsidRPr="0035722F">
        <w:rPr>
          <w:color w:val="000000" w:themeColor="text1"/>
          <w:lang w:val="en-GB"/>
        </w:rPr>
        <w:t xml:space="preserve"> </w:t>
      </w:r>
      <w:r w:rsidR="003F19E1">
        <w:rPr>
          <w:color w:val="000000" w:themeColor="text1"/>
          <w:lang w:val="en-GB"/>
        </w:rPr>
        <w:t>personal</w:t>
      </w:r>
      <w:r w:rsidRPr="0035722F">
        <w:rPr>
          <w:color w:val="000000" w:themeColor="text1"/>
          <w:lang w:val="en-GB"/>
        </w:rPr>
        <w:t xml:space="preserve"> standard, I am content with my ability to try different paths. Problem solving skills and resilience are important factors in a complex work market where resilience provides a healthier work force. I am happy with my decision to submit what I could do with the limited means available to </w:t>
      </w:r>
      <w:r w:rsidR="00A03AAE" w:rsidRPr="0035722F">
        <w:rPr>
          <w:color w:val="000000" w:themeColor="text1"/>
          <w:lang w:val="en-GB"/>
        </w:rPr>
        <w:t>me and</w:t>
      </w:r>
      <w:r w:rsidRPr="0035722F">
        <w:rPr>
          <w:color w:val="000000" w:themeColor="text1"/>
          <w:lang w:val="en-GB"/>
        </w:rPr>
        <w:t xml:space="preserve"> have developed a deeper understanding of the GDPR which I might not have otherwise. </w:t>
      </w:r>
    </w:p>
    <w:p w14:paraId="783ADDD3" w14:textId="77777777" w:rsidR="0035722F" w:rsidRPr="0035722F" w:rsidRDefault="0035722F" w:rsidP="0035722F">
      <w:pPr>
        <w:rPr>
          <w:b/>
          <w:bCs/>
          <w:color w:val="000000" w:themeColor="text1"/>
          <w:lang w:val="en-GB"/>
        </w:rPr>
      </w:pPr>
    </w:p>
    <w:p w14:paraId="055CDDBE" w14:textId="77777777" w:rsidR="0035722F" w:rsidRPr="0035722F" w:rsidRDefault="0035722F" w:rsidP="0035722F">
      <w:pPr>
        <w:rPr>
          <w:b/>
          <w:bCs/>
          <w:color w:val="000000" w:themeColor="text1"/>
          <w:lang w:val="en-GB"/>
        </w:rPr>
      </w:pPr>
    </w:p>
    <w:p w14:paraId="0576D3E2" w14:textId="77777777" w:rsidR="003F19E1" w:rsidRDefault="0035722F" w:rsidP="0035722F">
      <w:pPr>
        <w:rPr>
          <w:b/>
          <w:bCs/>
          <w:color w:val="000000" w:themeColor="text1"/>
          <w:lang w:val="en-GB"/>
        </w:rPr>
      </w:pPr>
      <w:r w:rsidRPr="0035722F">
        <w:rPr>
          <w:b/>
          <w:bCs/>
          <w:color w:val="000000" w:themeColor="text1"/>
          <w:lang w:val="en-GB"/>
        </w:rPr>
        <w:t>Lessons and future actions</w:t>
      </w:r>
    </w:p>
    <w:p w14:paraId="3F366F95" w14:textId="4995BD17" w:rsidR="0035722F" w:rsidRPr="003F19E1" w:rsidRDefault="003F19E1" w:rsidP="0035722F">
      <w:pPr>
        <w:rPr>
          <w:b/>
          <w:bCs/>
          <w:color w:val="000000" w:themeColor="text1"/>
          <w:lang w:val="en-GB"/>
        </w:rPr>
      </w:pPr>
      <w:r>
        <w:rPr>
          <w:color w:val="000000" w:themeColor="text1"/>
          <w:lang w:val="en-GB"/>
        </w:rPr>
        <w:t xml:space="preserve">If faced with a similar situation again, I would </w:t>
      </w:r>
      <w:r w:rsidR="0035722F" w:rsidRPr="0035722F">
        <w:rPr>
          <w:color w:val="000000" w:themeColor="text1"/>
          <w:lang w:val="en-GB"/>
        </w:rPr>
        <w:t>Had this been a professional work task I would reach out much earlier to a mentor or supervisor</w:t>
      </w:r>
      <w:r>
        <w:rPr>
          <w:color w:val="000000" w:themeColor="text1"/>
          <w:lang w:val="en-GB"/>
        </w:rPr>
        <w:t xml:space="preserve"> and break through the feeling of isolation. </w:t>
      </w:r>
    </w:p>
    <w:p w14:paraId="26638F82" w14:textId="77777777" w:rsidR="0035722F" w:rsidRPr="0035722F" w:rsidRDefault="0035722F" w:rsidP="0035722F">
      <w:pPr>
        <w:rPr>
          <w:color w:val="000000" w:themeColor="text1"/>
          <w:lang w:val="en-GB"/>
        </w:rPr>
      </w:pPr>
    </w:p>
    <w:p w14:paraId="548522AD" w14:textId="77777777" w:rsidR="0035722F" w:rsidRPr="0035722F" w:rsidRDefault="0035722F" w:rsidP="0035722F">
      <w:pPr>
        <w:shd w:val="clear" w:color="auto" w:fill="FFFFFF"/>
        <w:spacing w:before="100" w:beforeAutospacing="1" w:after="100" w:afterAutospacing="1"/>
        <w:rPr>
          <w:color w:val="000000" w:themeColor="text1"/>
          <w:lang w:val="en-GB"/>
        </w:rPr>
      </w:pPr>
    </w:p>
    <w:p w14:paraId="12902662" w14:textId="77777777" w:rsidR="0035722F" w:rsidRPr="0035722F" w:rsidRDefault="0035722F" w:rsidP="0035722F">
      <w:pPr>
        <w:rPr>
          <w:color w:val="000000" w:themeColor="text1"/>
          <w:lang w:val="en-GB"/>
        </w:rPr>
      </w:pPr>
    </w:p>
    <w:p w14:paraId="4FA87150" w14:textId="77777777" w:rsidR="0035722F" w:rsidRPr="0035722F" w:rsidRDefault="0035722F" w:rsidP="0035722F">
      <w:pPr>
        <w:rPr>
          <w:b/>
          <w:bCs/>
          <w:color w:val="000000" w:themeColor="text1"/>
          <w:lang w:val="en-GB"/>
        </w:rPr>
      </w:pPr>
      <w:r w:rsidRPr="0035722F">
        <w:rPr>
          <w:b/>
          <w:bCs/>
          <w:color w:val="000000" w:themeColor="text1"/>
          <w:lang w:val="en-GB"/>
        </w:rPr>
        <w:lastRenderedPageBreak/>
        <w:t>References</w:t>
      </w:r>
    </w:p>
    <w:p w14:paraId="0C0FE22F" w14:textId="77777777" w:rsidR="0035722F" w:rsidRPr="0035722F" w:rsidRDefault="0035722F" w:rsidP="0035722F">
      <w:pPr>
        <w:rPr>
          <w:color w:val="000000" w:themeColor="text1"/>
          <w:lang w:val="en-GB"/>
        </w:rPr>
      </w:pPr>
    </w:p>
    <w:p w14:paraId="5864C990" w14:textId="77777777" w:rsidR="0035722F" w:rsidRPr="000A2C57" w:rsidRDefault="0035722F" w:rsidP="0035722F">
      <w:pPr>
        <w:rPr>
          <w:color w:val="000000" w:themeColor="text1"/>
          <w:lang w:val="en-GB"/>
        </w:rPr>
      </w:pPr>
      <w:proofErr w:type="spellStart"/>
      <w:r w:rsidRPr="000A2C57">
        <w:rPr>
          <w:color w:val="000000" w:themeColor="text1"/>
          <w:shd w:val="clear" w:color="auto" w:fill="FFFFFF"/>
          <w:lang w:val="en-GB"/>
        </w:rPr>
        <w:t>Chevallier</w:t>
      </w:r>
      <w:proofErr w:type="spellEnd"/>
      <w:r w:rsidRPr="000A2C57">
        <w:rPr>
          <w:color w:val="000000" w:themeColor="text1"/>
          <w:shd w:val="clear" w:color="auto" w:fill="FFFFFF"/>
          <w:lang w:val="en-GB"/>
        </w:rPr>
        <w:t>, A. (2016). </w:t>
      </w:r>
      <w:r w:rsidRPr="000A2C57">
        <w:rPr>
          <w:i/>
          <w:iCs/>
          <w:color w:val="000000" w:themeColor="text1"/>
          <w:shd w:val="clear" w:color="auto" w:fill="FFFFFF"/>
          <w:lang w:val="en-GB"/>
        </w:rPr>
        <w:t>Strategic thinking in complex problem solving.</w:t>
      </w:r>
      <w:r w:rsidRPr="000A2C57">
        <w:rPr>
          <w:color w:val="000000" w:themeColor="text1"/>
          <w:shd w:val="clear" w:color="auto" w:fill="FFFFFF"/>
          <w:lang w:val="en-GB"/>
        </w:rPr>
        <w:t> Oxford University Press. </w:t>
      </w:r>
      <w:hyperlink r:id="rId5" w:tgtFrame="_blank" w:history="1">
        <w:r w:rsidRPr="000A2C57">
          <w:rPr>
            <w:color w:val="000000" w:themeColor="text1"/>
            <w:shd w:val="clear" w:color="auto" w:fill="FFFFFF"/>
            <w:lang w:val="en-GB"/>
          </w:rPr>
          <w:t>https://doi.org/10.1093/acprof:oso/9780190463908.001.0001</w:t>
        </w:r>
      </w:hyperlink>
    </w:p>
    <w:p w14:paraId="2D9584C3" w14:textId="77777777" w:rsidR="0035722F" w:rsidRPr="0035722F" w:rsidRDefault="0035722F" w:rsidP="0035722F">
      <w:pPr>
        <w:rPr>
          <w:color w:val="000000" w:themeColor="text1"/>
          <w:lang w:val="en-GB"/>
        </w:rPr>
      </w:pPr>
    </w:p>
    <w:p w14:paraId="5C12F272" w14:textId="77777777" w:rsidR="0035722F" w:rsidRPr="0035722F" w:rsidRDefault="0035722F" w:rsidP="0035722F">
      <w:pPr>
        <w:rPr>
          <w:color w:val="000000" w:themeColor="text1"/>
          <w:lang w:val="en-GB"/>
        </w:rPr>
      </w:pPr>
    </w:p>
    <w:p w14:paraId="5DEBF5CD" w14:textId="77777777" w:rsidR="0035722F" w:rsidRPr="0035722F" w:rsidRDefault="0035722F" w:rsidP="0035722F">
      <w:pPr>
        <w:spacing w:line="360" w:lineRule="atLeast"/>
        <w:rPr>
          <w:color w:val="000000" w:themeColor="text1"/>
          <w:lang w:val="en-GB"/>
        </w:rPr>
      </w:pPr>
      <w:r w:rsidRPr="003D1400">
        <w:rPr>
          <w:color w:val="000000" w:themeColor="text1"/>
          <w:lang w:val="en-GB"/>
        </w:rPr>
        <w:t>MindTools (2019). </w:t>
      </w:r>
      <w:r w:rsidRPr="003D1400">
        <w:rPr>
          <w:i/>
          <w:iCs/>
          <w:color w:val="000000" w:themeColor="text1"/>
          <w:lang w:val="en-GB"/>
        </w:rPr>
        <w:t xml:space="preserve">Gibbs’ Reflective Cycle Helping People Learn </w:t>
      </w:r>
      <w:proofErr w:type="gramStart"/>
      <w:r w:rsidRPr="003D1400">
        <w:rPr>
          <w:i/>
          <w:iCs/>
          <w:color w:val="000000" w:themeColor="text1"/>
          <w:lang w:val="en-GB"/>
        </w:rPr>
        <w:t>From</w:t>
      </w:r>
      <w:proofErr w:type="gramEnd"/>
      <w:r w:rsidRPr="003D1400">
        <w:rPr>
          <w:i/>
          <w:iCs/>
          <w:color w:val="000000" w:themeColor="text1"/>
          <w:lang w:val="en-GB"/>
        </w:rPr>
        <w:t xml:space="preserve"> Experience</w:t>
      </w:r>
      <w:r w:rsidRPr="003D1400">
        <w:rPr>
          <w:color w:val="000000" w:themeColor="text1"/>
          <w:lang w:val="en-GB"/>
        </w:rPr>
        <w:t xml:space="preserve">. [online] Mindtools. Available at: </w:t>
      </w:r>
      <w:hyperlink r:id="rId6" w:history="1">
        <w:r w:rsidRPr="003D1400">
          <w:rPr>
            <w:rStyle w:val="Hyperlink"/>
            <w:color w:val="000000" w:themeColor="text1"/>
            <w:u w:val="none"/>
            <w:lang w:val="en-GB"/>
          </w:rPr>
          <w:t>https://www.mindtools.com/pages/article/reflective-cycle.htm</w:t>
        </w:r>
        <w:r w:rsidRPr="0035722F">
          <w:rPr>
            <w:rStyle w:val="Hyperlink"/>
            <w:color w:val="000000" w:themeColor="text1"/>
            <w:u w:val="none"/>
            <w:lang w:val="en-GB"/>
          </w:rPr>
          <w:t>l</w:t>
        </w:r>
      </w:hyperlink>
    </w:p>
    <w:p w14:paraId="40419303" w14:textId="77777777" w:rsidR="0035722F" w:rsidRPr="0035722F" w:rsidRDefault="0035722F" w:rsidP="0035722F">
      <w:pPr>
        <w:spacing w:line="360" w:lineRule="atLeast"/>
        <w:rPr>
          <w:color w:val="000000" w:themeColor="text1"/>
          <w:lang w:val="en-GB"/>
        </w:rPr>
      </w:pPr>
    </w:p>
    <w:p w14:paraId="2EB1B641" w14:textId="77777777" w:rsidR="0035722F" w:rsidRPr="0035722F" w:rsidRDefault="0035722F" w:rsidP="0035722F">
      <w:pPr>
        <w:spacing w:line="360" w:lineRule="atLeast"/>
        <w:rPr>
          <w:color w:val="000000" w:themeColor="text1"/>
          <w:lang w:val="en-GB"/>
        </w:rPr>
      </w:pPr>
      <w:r w:rsidRPr="00E20E6B">
        <w:rPr>
          <w:color w:val="000000" w:themeColor="text1"/>
          <w:lang w:val="en-GB"/>
        </w:rPr>
        <w:t>Croft, N., Dalton, A. and Grant, M. (2010). Overcoming Isolation in Distance Learning: Building a Learning Community through Time and Space. </w:t>
      </w:r>
      <w:r w:rsidRPr="00E20E6B">
        <w:rPr>
          <w:i/>
          <w:iCs/>
          <w:color w:val="000000" w:themeColor="text1"/>
          <w:lang w:val="en-GB"/>
        </w:rPr>
        <w:t>Journal for Education in the Built Environment</w:t>
      </w:r>
      <w:r w:rsidRPr="00E20E6B">
        <w:rPr>
          <w:color w:val="000000" w:themeColor="text1"/>
          <w:lang w:val="en-GB"/>
        </w:rPr>
        <w:t>, 5(1), pp.27–64. doi:10.11120/jebe.2010.05010027.</w:t>
      </w:r>
    </w:p>
    <w:p w14:paraId="72A99F1F" w14:textId="77777777" w:rsidR="0035722F" w:rsidRPr="0035722F" w:rsidRDefault="0035722F" w:rsidP="0035722F">
      <w:pPr>
        <w:spacing w:line="360" w:lineRule="atLeast"/>
        <w:rPr>
          <w:color w:val="000000" w:themeColor="text1"/>
          <w:lang w:val="en-GB"/>
        </w:rPr>
      </w:pPr>
    </w:p>
    <w:p w14:paraId="704A5B59" w14:textId="77777777" w:rsidR="0035722F" w:rsidRPr="0035722F" w:rsidRDefault="0035722F" w:rsidP="0035722F">
      <w:pPr>
        <w:spacing w:line="360" w:lineRule="atLeast"/>
        <w:rPr>
          <w:color w:val="000000" w:themeColor="text1"/>
          <w:lang w:val="en-GB"/>
        </w:rPr>
      </w:pPr>
      <w:r w:rsidRPr="007B1B2D">
        <w:rPr>
          <w:color w:val="000000" w:themeColor="text1"/>
          <w:lang w:val="en-GB"/>
        </w:rPr>
        <w:t xml:space="preserve">Anderson, C.G., </w:t>
      </w:r>
      <w:proofErr w:type="spellStart"/>
      <w:r w:rsidRPr="007B1B2D">
        <w:rPr>
          <w:color w:val="000000" w:themeColor="text1"/>
          <w:lang w:val="en-GB"/>
        </w:rPr>
        <w:t>Dalsen</w:t>
      </w:r>
      <w:proofErr w:type="spellEnd"/>
      <w:r w:rsidRPr="007B1B2D">
        <w:rPr>
          <w:color w:val="000000" w:themeColor="text1"/>
          <w:lang w:val="en-GB"/>
        </w:rPr>
        <w:t>, J., Kumar, V., Berland, M. and Steinkuehler, C. (2018). Failing up: How failure in a game environment promotes learning through discourse. </w:t>
      </w:r>
      <w:r w:rsidRPr="007B1B2D">
        <w:rPr>
          <w:i/>
          <w:iCs/>
          <w:color w:val="000000" w:themeColor="text1"/>
          <w:lang w:val="en-GB"/>
        </w:rPr>
        <w:t>Thinking Skills and Creativity</w:t>
      </w:r>
      <w:r w:rsidRPr="007B1B2D">
        <w:rPr>
          <w:color w:val="000000" w:themeColor="text1"/>
          <w:lang w:val="en-GB"/>
        </w:rPr>
        <w:t>, 30, pp.135–144. doi:10.1016/j.tsc.2018.03.002.</w:t>
      </w:r>
    </w:p>
    <w:p w14:paraId="6F9F6588" w14:textId="77777777" w:rsidR="0035722F" w:rsidRPr="0035722F" w:rsidRDefault="0035722F" w:rsidP="0035722F">
      <w:pPr>
        <w:spacing w:line="360" w:lineRule="atLeast"/>
        <w:rPr>
          <w:color w:val="000000" w:themeColor="text1"/>
          <w:lang w:val="en-GB"/>
        </w:rPr>
      </w:pPr>
    </w:p>
    <w:p w14:paraId="51070A84" w14:textId="77777777" w:rsidR="0035722F" w:rsidRPr="00AA5CC8" w:rsidRDefault="0035722F" w:rsidP="0035722F">
      <w:pPr>
        <w:spacing w:line="360" w:lineRule="atLeast"/>
        <w:rPr>
          <w:rFonts w:ascii="Calibri" w:hAnsi="Calibri" w:cs="Calibri"/>
          <w:color w:val="000000" w:themeColor="text1"/>
        </w:rPr>
      </w:pPr>
      <w:r w:rsidRPr="00AA5CC8">
        <w:rPr>
          <w:rFonts w:ascii="Calibri" w:hAnsi="Calibri" w:cs="Calibri"/>
          <w:color w:val="000000" w:themeColor="text1"/>
        </w:rPr>
        <w:t>Vanhove, A.J., Herian, M.N., Perez, A.L.U., Harms, P.D. and Lester, P.B. (2015). Can resilience be developed at work? A meta-analytic review of resilience-building programme effectiveness. </w:t>
      </w:r>
      <w:r w:rsidRPr="00AA5CC8">
        <w:rPr>
          <w:rFonts w:ascii="Calibri" w:hAnsi="Calibri" w:cs="Calibri"/>
          <w:i/>
          <w:iCs/>
          <w:color w:val="000000" w:themeColor="text1"/>
        </w:rPr>
        <w:t>Journal of Occupational and Organizational Psychology</w:t>
      </w:r>
      <w:r w:rsidRPr="00AA5CC8">
        <w:rPr>
          <w:rFonts w:ascii="Calibri" w:hAnsi="Calibri" w:cs="Calibri"/>
          <w:color w:val="000000" w:themeColor="text1"/>
        </w:rPr>
        <w:t>, 89(2), pp.278–307. doi:10.1111/joop.12123.</w:t>
      </w:r>
    </w:p>
    <w:p w14:paraId="162B4A64" w14:textId="77777777" w:rsidR="0035722F" w:rsidRPr="00AA5CC8" w:rsidRDefault="0035722F" w:rsidP="0035722F">
      <w:pPr>
        <w:spacing w:before="100" w:beforeAutospacing="1" w:after="100" w:afterAutospacing="1"/>
        <w:rPr>
          <w:rFonts w:ascii="Calibri" w:hAnsi="Calibri" w:cs="Calibri"/>
          <w:color w:val="000000" w:themeColor="text1"/>
        </w:rPr>
      </w:pPr>
      <w:r w:rsidRPr="00AA5CC8">
        <w:rPr>
          <w:rFonts w:ascii="Calibri" w:hAnsi="Calibri" w:cs="Calibri"/>
          <w:color w:val="000000" w:themeColor="text1"/>
        </w:rPr>
        <w:t>‌</w:t>
      </w:r>
    </w:p>
    <w:p w14:paraId="15D1890A" w14:textId="77777777" w:rsidR="0035722F" w:rsidRPr="007B1B2D" w:rsidRDefault="0035722F" w:rsidP="0035722F">
      <w:pPr>
        <w:spacing w:line="360" w:lineRule="atLeast"/>
        <w:rPr>
          <w:color w:val="000000" w:themeColor="text1"/>
          <w:lang w:val="en-GB"/>
        </w:rPr>
      </w:pPr>
    </w:p>
    <w:p w14:paraId="22830CA4" w14:textId="77777777" w:rsidR="0035722F" w:rsidRPr="007B1B2D" w:rsidRDefault="0035722F" w:rsidP="0035722F">
      <w:pPr>
        <w:spacing w:before="100" w:beforeAutospacing="1" w:after="100" w:afterAutospacing="1"/>
        <w:rPr>
          <w:color w:val="000000" w:themeColor="text1"/>
          <w:lang w:val="en-GB"/>
        </w:rPr>
      </w:pPr>
      <w:r w:rsidRPr="007B1B2D">
        <w:rPr>
          <w:color w:val="000000" w:themeColor="text1"/>
          <w:lang w:val="en-GB"/>
        </w:rPr>
        <w:t>‌</w:t>
      </w:r>
    </w:p>
    <w:p w14:paraId="3B4BD34B" w14:textId="4BA93E18" w:rsidR="0035722F" w:rsidRPr="0035722F" w:rsidRDefault="0035722F" w:rsidP="0035722F">
      <w:pPr>
        <w:spacing w:before="100" w:beforeAutospacing="1" w:after="100" w:afterAutospacing="1"/>
        <w:rPr>
          <w:color w:val="000000" w:themeColor="text1"/>
          <w:lang w:val="en-GB"/>
        </w:rPr>
      </w:pPr>
      <w:r w:rsidRPr="00B400D6">
        <w:rPr>
          <w:color w:val="000000" w:themeColor="text1"/>
          <w:lang w:val="en-GB"/>
        </w:rPr>
        <w:t xml:space="preserve">Higgs, J. and </w:t>
      </w:r>
      <w:proofErr w:type="spellStart"/>
      <w:r w:rsidRPr="00B400D6">
        <w:rPr>
          <w:color w:val="000000" w:themeColor="text1"/>
          <w:lang w:val="en-GB"/>
        </w:rPr>
        <w:t>Titchen</w:t>
      </w:r>
      <w:proofErr w:type="spellEnd"/>
      <w:r w:rsidRPr="00B400D6">
        <w:rPr>
          <w:color w:val="000000" w:themeColor="text1"/>
          <w:lang w:val="en-GB"/>
        </w:rPr>
        <w:t xml:space="preserve">, A. (2001). Rethinking the Practice-Knowledge Interface in an Uncertain World: </w:t>
      </w:r>
      <w:proofErr w:type="gramStart"/>
      <w:r w:rsidRPr="00B400D6">
        <w:rPr>
          <w:color w:val="000000" w:themeColor="text1"/>
          <w:lang w:val="en-GB"/>
        </w:rPr>
        <w:t>a</w:t>
      </w:r>
      <w:proofErr w:type="gramEnd"/>
      <w:r w:rsidRPr="00B400D6">
        <w:rPr>
          <w:color w:val="000000" w:themeColor="text1"/>
          <w:lang w:val="en-GB"/>
        </w:rPr>
        <w:t xml:space="preserve"> Model for Practice Development. </w:t>
      </w:r>
      <w:r w:rsidRPr="00B400D6">
        <w:rPr>
          <w:i/>
          <w:iCs/>
          <w:color w:val="000000" w:themeColor="text1"/>
          <w:lang w:val="en-GB"/>
        </w:rPr>
        <w:t>British Journal of Occupational Therapy</w:t>
      </w:r>
      <w:r w:rsidRPr="00B400D6">
        <w:rPr>
          <w:color w:val="000000" w:themeColor="text1"/>
          <w:lang w:val="en-GB"/>
        </w:rPr>
        <w:t>, 64(11), pp.526–533. doi:10.1177/030802260106401102.</w:t>
      </w:r>
    </w:p>
    <w:p w14:paraId="66F5AD4D" w14:textId="77777777" w:rsidR="0035722F" w:rsidRPr="0035722F" w:rsidRDefault="0035722F" w:rsidP="0035722F">
      <w:pPr>
        <w:spacing w:line="360" w:lineRule="atLeast"/>
        <w:rPr>
          <w:color w:val="000000" w:themeColor="text1"/>
          <w:lang w:val="en-GB"/>
        </w:rPr>
      </w:pPr>
    </w:p>
    <w:p w14:paraId="7A0640A1" w14:textId="77777777" w:rsidR="0035722F" w:rsidRPr="006F3377" w:rsidRDefault="0035722F" w:rsidP="0035722F">
      <w:pPr>
        <w:rPr>
          <w:color w:val="000000" w:themeColor="text1"/>
          <w:lang w:val="en-GB"/>
        </w:rPr>
      </w:pPr>
      <w:r w:rsidRPr="006F3377">
        <w:rPr>
          <w:color w:val="000000" w:themeColor="text1"/>
          <w:lang w:val="en-GB"/>
        </w:rPr>
        <w:t xml:space="preserve">WRIGHT, STEVE. </w:t>
      </w:r>
      <w:r w:rsidRPr="006F3377">
        <w:rPr>
          <w:i/>
          <w:iCs/>
          <w:color w:val="000000" w:themeColor="text1"/>
          <w:lang w:val="en-GB"/>
        </w:rPr>
        <w:t>PCI DSS: A Practical Guide to Implementing and Maintaining Compliance</w:t>
      </w:r>
      <w:r w:rsidRPr="006F3377">
        <w:rPr>
          <w:color w:val="000000" w:themeColor="text1"/>
          <w:lang w:val="en-GB"/>
        </w:rPr>
        <w:t xml:space="preserve">. 3rd ed., IT Governance Publishing, 2011. </w:t>
      </w:r>
      <w:r w:rsidRPr="006F3377">
        <w:rPr>
          <w:i/>
          <w:iCs/>
          <w:color w:val="000000" w:themeColor="text1"/>
          <w:lang w:val="en-GB"/>
        </w:rPr>
        <w:t>JSTOR</w:t>
      </w:r>
      <w:r w:rsidRPr="006F3377">
        <w:rPr>
          <w:color w:val="000000" w:themeColor="text1"/>
          <w:lang w:val="en-GB"/>
        </w:rPr>
        <w:t>, http://www.jstor.org/stable/j.ctt5hh5z9. Accessed 25 Jul. 2022.</w:t>
      </w:r>
    </w:p>
    <w:p w14:paraId="5CEA62A3" w14:textId="77777777" w:rsidR="0035722F" w:rsidRPr="0035722F" w:rsidRDefault="0035722F" w:rsidP="0035722F">
      <w:pPr>
        <w:rPr>
          <w:b/>
          <w:bCs/>
          <w:color w:val="000000" w:themeColor="text1"/>
          <w:lang w:val="en-GB"/>
        </w:rPr>
      </w:pPr>
    </w:p>
    <w:p w14:paraId="26D6F4B0" w14:textId="77777777" w:rsidR="0035722F" w:rsidRPr="0035722F" w:rsidRDefault="0035722F" w:rsidP="0035722F">
      <w:pPr>
        <w:rPr>
          <w:color w:val="000000" w:themeColor="text1"/>
          <w:shd w:val="clear" w:color="auto" w:fill="FFFFFF"/>
          <w:lang w:val="en-GB"/>
        </w:rPr>
      </w:pPr>
      <w:r w:rsidRPr="00780444">
        <w:rPr>
          <w:color w:val="000000" w:themeColor="text1"/>
          <w:shd w:val="clear" w:color="auto" w:fill="FFFFFF"/>
          <w:lang w:val="en-GB"/>
        </w:rPr>
        <w:t xml:space="preserve">Alsop, A 2013, Continuing Professional Development in </w:t>
      </w:r>
      <w:proofErr w:type="gramStart"/>
      <w:r w:rsidRPr="00780444">
        <w:rPr>
          <w:color w:val="000000" w:themeColor="text1"/>
          <w:shd w:val="clear" w:color="auto" w:fill="FFFFFF"/>
          <w:lang w:val="en-GB"/>
        </w:rPr>
        <w:t>Health</w:t>
      </w:r>
      <w:proofErr w:type="gramEnd"/>
      <w:r w:rsidRPr="00780444">
        <w:rPr>
          <w:color w:val="000000" w:themeColor="text1"/>
          <w:shd w:val="clear" w:color="auto" w:fill="FFFFFF"/>
          <w:lang w:val="en-GB"/>
        </w:rPr>
        <w:t xml:space="preserve"> and Social Care : Strategies for Lifelong Learning, John Wiley &amp; Sons, Incorporated, </w:t>
      </w:r>
      <w:proofErr w:type="spellStart"/>
      <w:r w:rsidRPr="00780444">
        <w:rPr>
          <w:color w:val="000000" w:themeColor="text1"/>
          <w:shd w:val="clear" w:color="auto" w:fill="FFFFFF"/>
          <w:lang w:val="en-GB"/>
        </w:rPr>
        <w:t>Chicester</w:t>
      </w:r>
      <w:proofErr w:type="spellEnd"/>
      <w:r w:rsidRPr="00780444">
        <w:rPr>
          <w:color w:val="000000" w:themeColor="text1"/>
          <w:shd w:val="clear" w:color="auto" w:fill="FFFFFF"/>
          <w:lang w:val="en-GB"/>
        </w:rPr>
        <w:t xml:space="preserve">. Available from: ProQuest </w:t>
      </w:r>
      <w:proofErr w:type="spellStart"/>
      <w:r w:rsidRPr="00780444">
        <w:rPr>
          <w:color w:val="000000" w:themeColor="text1"/>
          <w:shd w:val="clear" w:color="auto" w:fill="FFFFFF"/>
          <w:lang w:val="en-GB"/>
        </w:rPr>
        <w:t>Ebook</w:t>
      </w:r>
      <w:proofErr w:type="spellEnd"/>
      <w:r w:rsidRPr="00780444">
        <w:rPr>
          <w:color w:val="000000" w:themeColor="text1"/>
          <w:shd w:val="clear" w:color="auto" w:fill="FFFFFF"/>
          <w:lang w:val="en-GB"/>
        </w:rPr>
        <w:t xml:space="preserve"> Central. [25 July 2022].</w:t>
      </w:r>
    </w:p>
    <w:p w14:paraId="1F75C5E0" w14:textId="77777777" w:rsidR="0035722F" w:rsidRPr="0035722F" w:rsidRDefault="0035722F" w:rsidP="0035722F">
      <w:pPr>
        <w:rPr>
          <w:color w:val="000000" w:themeColor="text1"/>
          <w:shd w:val="clear" w:color="auto" w:fill="FFFFFF"/>
          <w:lang w:val="en-GB"/>
        </w:rPr>
      </w:pPr>
    </w:p>
    <w:p w14:paraId="0434F639" w14:textId="77777777" w:rsidR="0035722F" w:rsidRPr="0013675B" w:rsidRDefault="0035722F" w:rsidP="0035722F">
      <w:pPr>
        <w:spacing w:line="360" w:lineRule="atLeast"/>
        <w:rPr>
          <w:color w:val="000000" w:themeColor="text1"/>
          <w:lang w:val="en-GB"/>
        </w:rPr>
      </w:pPr>
      <w:r w:rsidRPr="0013675B">
        <w:rPr>
          <w:color w:val="000000" w:themeColor="text1"/>
          <w:lang w:val="en-GB"/>
        </w:rPr>
        <w:t>Merriam-Webster (2019). </w:t>
      </w:r>
      <w:r w:rsidRPr="0013675B">
        <w:rPr>
          <w:i/>
          <w:iCs/>
          <w:color w:val="000000" w:themeColor="text1"/>
          <w:lang w:val="en-GB"/>
        </w:rPr>
        <w:t>Definition of PROBLEM-SOLVING</w:t>
      </w:r>
      <w:r w:rsidRPr="0013675B">
        <w:rPr>
          <w:color w:val="000000" w:themeColor="text1"/>
          <w:lang w:val="en-GB"/>
        </w:rPr>
        <w:t>. [online] Merriam-webster.com. Available at: https://www.merriam-webster.com/dictionary/problem-solving.</w:t>
      </w:r>
    </w:p>
    <w:p w14:paraId="7ED6A5FF" w14:textId="77777777" w:rsidR="0035722F" w:rsidRPr="0035722F" w:rsidRDefault="0035722F" w:rsidP="0035722F">
      <w:pPr>
        <w:rPr>
          <w:color w:val="000000" w:themeColor="text1"/>
          <w:lang w:val="en-GB"/>
        </w:rPr>
      </w:pPr>
    </w:p>
    <w:p w14:paraId="0BAB17CF" w14:textId="77777777" w:rsidR="0035722F" w:rsidRPr="0035722F" w:rsidRDefault="0035722F" w:rsidP="0035722F">
      <w:pPr>
        <w:rPr>
          <w:color w:val="000000" w:themeColor="text1"/>
          <w:shd w:val="clear" w:color="auto" w:fill="FFFFFF"/>
          <w:lang w:val="en-GB"/>
        </w:rPr>
      </w:pPr>
      <w:r w:rsidRPr="00474F80">
        <w:rPr>
          <w:color w:val="000000" w:themeColor="text1"/>
          <w:shd w:val="clear" w:color="auto" w:fill="FFFFFF"/>
          <w:lang w:val="en-GB"/>
        </w:rPr>
        <w:lastRenderedPageBreak/>
        <w:t>Engel, A. (1998) </w:t>
      </w:r>
      <w:r w:rsidRPr="00474F80">
        <w:rPr>
          <w:i/>
          <w:iCs/>
          <w:color w:val="000000" w:themeColor="text1"/>
          <w:shd w:val="clear" w:color="auto" w:fill="FFFFFF"/>
          <w:lang w:val="en-GB"/>
        </w:rPr>
        <w:t>Problem-solving strategies</w:t>
      </w:r>
      <w:r w:rsidRPr="00474F80">
        <w:rPr>
          <w:color w:val="000000" w:themeColor="text1"/>
          <w:shd w:val="clear" w:color="auto" w:fill="FFFFFF"/>
          <w:lang w:val="en-GB"/>
        </w:rPr>
        <w:t>. 1st ed. 1998. [Online]. New York, New York: Springer.</w:t>
      </w:r>
    </w:p>
    <w:p w14:paraId="3DBD1087" w14:textId="77777777" w:rsidR="0035722F" w:rsidRPr="0035722F" w:rsidRDefault="0035722F" w:rsidP="0035722F">
      <w:pPr>
        <w:rPr>
          <w:color w:val="000000" w:themeColor="text1"/>
          <w:shd w:val="clear" w:color="auto" w:fill="FFFFFF"/>
          <w:lang w:val="en-GB"/>
        </w:rPr>
      </w:pPr>
    </w:p>
    <w:p w14:paraId="192FEAF4" w14:textId="77777777" w:rsidR="0035722F" w:rsidRPr="00445067" w:rsidRDefault="0035722F" w:rsidP="0035722F">
      <w:pPr>
        <w:spacing w:line="360" w:lineRule="atLeast"/>
        <w:rPr>
          <w:color w:val="000000" w:themeColor="text1"/>
          <w:lang w:val="en-GB"/>
        </w:rPr>
      </w:pPr>
      <w:r w:rsidRPr="00445067">
        <w:rPr>
          <w:color w:val="000000" w:themeColor="text1"/>
          <w:lang w:val="en-GB"/>
        </w:rPr>
        <w:t>Alsop, A. (2013). </w:t>
      </w:r>
      <w:r w:rsidRPr="00445067">
        <w:rPr>
          <w:i/>
          <w:iCs/>
          <w:color w:val="000000" w:themeColor="text1"/>
          <w:lang w:val="en-GB"/>
        </w:rPr>
        <w:t>Continuing professional development in health and social care : strategies for lifelong learning</w:t>
      </w:r>
      <w:r w:rsidRPr="00445067">
        <w:rPr>
          <w:color w:val="000000" w:themeColor="text1"/>
          <w:lang w:val="en-GB"/>
        </w:rPr>
        <w:t>. Chichester, West Sussex: Wiley-Blackwell.</w:t>
      </w:r>
    </w:p>
    <w:p w14:paraId="74949AF1" w14:textId="52CE5CF8" w:rsidR="00E06BE3" w:rsidRDefault="00E06BE3">
      <w:pPr>
        <w:rPr>
          <w:color w:val="000000" w:themeColor="text1"/>
        </w:rPr>
      </w:pPr>
    </w:p>
    <w:p w14:paraId="51D16E82" w14:textId="6A8957F3" w:rsidR="006432B9" w:rsidRDefault="006432B9">
      <w:pPr>
        <w:rPr>
          <w:color w:val="000000" w:themeColor="text1"/>
        </w:rPr>
      </w:pPr>
    </w:p>
    <w:p w14:paraId="3200069B" w14:textId="460A2F6A" w:rsidR="006432B9" w:rsidRDefault="006432B9">
      <w:pPr>
        <w:rPr>
          <w:color w:val="000000" w:themeColor="text1"/>
        </w:rPr>
      </w:pPr>
    </w:p>
    <w:p w14:paraId="70C81524" w14:textId="46DFF113" w:rsidR="006432B9" w:rsidRPr="006432B9" w:rsidRDefault="006432B9" w:rsidP="006432B9">
      <w:r w:rsidRPr="006432B9">
        <w:t xml:space="preserve">a community and of reaching out when struggeling with tasks. </w:t>
      </w:r>
    </w:p>
    <w:p w14:paraId="0FC9DDD0" w14:textId="77777777" w:rsidR="006432B9" w:rsidRPr="0035722F" w:rsidRDefault="006432B9">
      <w:pPr>
        <w:rPr>
          <w:color w:val="000000" w:themeColor="text1"/>
        </w:rPr>
      </w:pPr>
    </w:p>
    <w:sectPr w:rsidR="006432B9" w:rsidRPr="00357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2F"/>
    <w:rsid w:val="0035722F"/>
    <w:rsid w:val="003F19E1"/>
    <w:rsid w:val="006432B9"/>
    <w:rsid w:val="009823BA"/>
    <w:rsid w:val="00A03AAE"/>
    <w:rsid w:val="00E06BE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835CD4F"/>
  <w15:chartTrackingRefBased/>
  <w15:docId w15:val="{84D6D1DC-FE97-9C45-8794-6778F63C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22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98606">
      <w:bodyDiv w:val="1"/>
      <w:marLeft w:val="0"/>
      <w:marRight w:val="0"/>
      <w:marTop w:val="0"/>
      <w:marBottom w:val="0"/>
      <w:divBdr>
        <w:top w:val="none" w:sz="0" w:space="0" w:color="auto"/>
        <w:left w:val="none" w:sz="0" w:space="0" w:color="auto"/>
        <w:bottom w:val="none" w:sz="0" w:space="0" w:color="auto"/>
        <w:right w:val="none" w:sz="0" w:space="0" w:color="auto"/>
      </w:divBdr>
      <w:divsChild>
        <w:div w:id="1241451552">
          <w:marLeft w:val="0"/>
          <w:marRight w:val="0"/>
          <w:marTop w:val="0"/>
          <w:marBottom w:val="0"/>
          <w:divBdr>
            <w:top w:val="none" w:sz="0" w:space="0" w:color="auto"/>
            <w:left w:val="none" w:sz="0" w:space="0" w:color="auto"/>
            <w:bottom w:val="none" w:sz="0" w:space="0" w:color="auto"/>
            <w:right w:val="none" w:sz="0" w:space="0" w:color="auto"/>
          </w:divBdr>
          <w:divsChild>
            <w:div w:id="1576936806">
              <w:marLeft w:val="0"/>
              <w:marRight w:val="0"/>
              <w:marTop w:val="0"/>
              <w:marBottom w:val="0"/>
              <w:divBdr>
                <w:top w:val="none" w:sz="0" w:space="0" w:color="auto"/>
                <w:left w:val="none" w:sz="0" w:space="0" w:color="auto"/>
                <w:bottom w:val="none" w:sz="0" w:space="0" w:color="auto"/>
                <w:right w:val="none" w:sz="0" w:space="0" w:color="auto"/>
              </w:divBdr>
            </w:div>
            <w:div w:id="1275862755">
              <w:marLeft w:val="0"/>
              <w:marRight w:val="0"/>
              <w:marTop w:val="0"/>
              <w:marBottom w:val="0"/>
              <w:divBdr>
                <w:top w:val="none" w:sz="0" w:space="0" w:color="auto"/>
                <w:left w:val="none" w:sz="0" w:space="0" w:color="auto"/>
                <w:bottom w:val="none" w:sz="0" w:space="0" w:color="auto"/>
                <w:right w:val="none" w:sz="0" w:space="0" w:color="auto"/>
              </w:divBdr>
            </w:div>
            <w:div w:id="1892376035">
              <w:marLeft w:val="0"/>
              <w:marRight w:val="0"/>
              <w:marTop w:val="0"/>
              <w:marBottom w:val="0"/>
              <w:divBdr>
                <w:top w:val="none" w:sz="0" w:space="0" w:color="auto"/>
                <w:left w:val="none" w:sz="0" w:space="0" w:color="auto"/>
                <w:bottom w:val="none" w:sz="0" w:space="0" w:color="auto"/>
                <w:right w:val="none" w:sz="0" w:space="0" w:color="auto"/>
              </w:divBdr>
            </w:div>
            <w:div w:id="20811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dtools.com/pages/article/reflective-cycle.html" TargetMode="External"/><Relationship Id="rId5" Type="http://schemas.openxmlformats.org/officeDocument/2006/relationships/hyperlink" Target="https://psycnet.apa.org/doi/10.1093/acprof:oso/9780190463908.001.000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Tägt</dc:creator>
  <cp:keywords/>
  <dc:description/>
  <cp:lastModifiedBy>Luke Thistlethwaite (Student)</cp:lastModifiedBy>
  <cp:revision>3</cp:revision>
  <dcterms:created xsi:type="dcterms:W3CDTF">2023-06-19T17:40:00Z</dcterms:created>
  <dcterms:modified xsi:type="dcterms:W3CDTF">2023-06-19T17:50:00Z</dcterms:modified>
</cp:coreProperties>
</file>