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FCB" w:rsidRDefault="00077FCB" w:rsidP="00077FCB">
      <w:pPr>
        <w:pStyle w:val="Heading-chapter"/>
        <w:rPr>
          <w:rFonts w:ascii="Arial" w:hAnsi="Arial" w:cs="Arial"/>
          <w:sz w:val="28"/>
          <w:szCs w:val="28"/>
        </w:rPr>
      </w:pPr>
      <w:r>
        <w:rPr>
          <w:rFonts w:ascii="Arial" w:hAnsi="Arial" w:cs="Arial"/>
          <w:sz w:val="28"/>
          <w:szCs w:val="28"/>
        </w:rPr>
        <w:t>RESEARCH REPORT 110</w:t>
      </w:r>
      <w:r>
        <w:rPr>
          <w:rFonts w:ascii="Arial" w:hAnsi="Arial"/>
          <w:color w:val="F08100"/>
          <w:sz w:val="28"/>
          <w:szCs w:val="28"/>
        </w:rPr>
        <w:t xml:space="preserve"> </w:t>
      </w:r>
      <w:r>
        <w:rPr>
          <w:rFonts w:ascii="Arial" w:hAnsi="Arial" w:cs="Arial"/>
          <w:color w:val="F08100"/>
          <w:sz w:val="28"/>
          <w:szCs w:val="28"/>
        </w:rPr>
        <w:t>|</w:t>
      </w:r>
      <w:r>
        <w:rPr>
          <w:rFonts w:ascii="Arial" w:hAnsi="Arial"/>
          <w:color w:val="F08100"/>
          <w:sz w:val="28"/>
          <w:szCs w:val="28"/>
        </w:rPr>
        <w:t xml:space="preserve"> </w:t>
      </w:r>
      <w:r>
        <w:rPr>
          <w:rFonts w:ascii="Arial" w:hAnsi="Arial"/>
          <w:color w:val="auto"/>
          <w:sz w:val="28"/>
          <w:szCs w:val="28"/>
        </w:rPr>
        <w:t>PAY GAPS RESEARCH</w:t>
      </w:r>
    </w:p>
    <w:p w:rsidR="00077FCB" w:rsidRDefault="00077FCB" w:rsidP="0089729A">
      <w:pPr>
        <w:tabs>
          <w:tab w:val="left" w:pos="57"/>
        </w:tabs>
        <w:suppressAutoHyphens/>
        <w:autoSpaceDE w:val="0"/>
        <w:autoSpaceDN w:val="0"/>
        <w:adjustRightInd w:val="0"/>
        <w:spacing w:after="3600" w:line="288" w:lineRule="auto"/>
        <w:textAlignment w:val="center"/>
        <w:rPr>
          <w:rFonts w:ascii="Georgia" w:hAnsi="Georgia"/>
          <w:b/>
          <w:sz w:val="36"/>
          <w:szCs w:val="36"/>
        </w:rPr>
      </w:pPr>
      <w:r>
        <w:rPr>
          <w:rFonts w:ascii="Georgia" w:hAnsi="Georgia" w:cs="Georgia"/>
          <w:color w:val="000000"/>
          <w:sz w:val="72"/>
          <w:szCs w:val="72"/>
          <w:lang w:eastAsia="en-GB"/>
        </w:rPr>
        <w:t>Tackling gender, disability and ethnicity pay gaps: a progress review</w:t>
      </w:r>
    </w:p>
    <w:p w:rsidR="00077FCB" w:rsidRDefault="00077FCB" w:rsidP="00077FCB">
      <w:pPr>
        <w:pStyle w:val="Heading-sections"/>
        <w:pBdr>
          <w:bottom w:val="none" w:sz="0" w:space="0" w:color="auto"/>
        </w:pBdr>
        <w:spacing w:after="0"/>
        <w:outlineLvl w:val="9"/>
        <w:rPr>
          <w:rFonts w:ascii="Georgia" w:hAnsi="Georgia"/>
          <w:b w:val="0"/>
          <w:sz w:val="36"/>
          <w:szCs w:val="36"/>
        </w:rPr>
      </w:pPr>
    </w:p>
    <w:p w:rsidR="00077FCB" w:rsidRDefault="00077FCB" w:rsidP="00077FCB">
      <w:pPr>
        <w:pStyle w:val="Heading-sections"/>
        <w:pBdr>
          <w:bottom w:val="none" w:sz="0" w:space="0" w:color="auto"/>
        </w:pBdr>
        <w:spacing w:after="0"/>
        <w:outlineLvl w:val="9"/>
        <w:rPr>
          <w:rFonts w:ascii="Georgia" w:hAnsi="Georgia"/>
          <w:b w:val="0"/>
          <w:sz w:val="36"/>
          <w:szCs w:val="36"/>
        </w:rPr>
      </w:pPr>
    </w:p>
    <w:p w:rsidR="00077FCB" w:rsidRDefault="00077FCB" w:rsidP="00077FCB">
      <w:pPr>
        <w:pStyle w:val="Heading-chapter"/>
        <w:spacing w:after="0" w:line="312" w:lineRule="auto"/>
        <w:outlineLvl w:val="9"/>
        <w:rPr>
          <w:color w:val="F08400"/>
          <w:sz w:val="28"/>
          <w:szCs w:val="28"/>
        </w:rPr>
      </w:pPr>
      <w:r>
        <w:rPr>
          <w:color w:val="F08400"/>
          <w:sz w:val="28"/>
          <w:szCs w:val="28"/>
        </w:rPr>
        <w:t>Duncan Brown, Catherine Rickard and Andrea Broughton</w:t>
      </w:r>
    </w:p>
    <w:p w:rsidR="00077FCB" w:rsidRDefault="00077FCB" w:rsidP="00077FCB">
      <w:pPr>
        <w:pStyle w:val="Heading-chapter"/>
        <w:spacing w:after="60" w:line="264" w:lineRule="auto"/>
        <w:outlineLvl w:val="9"/>
        <w:rPr>
          <w:color w:val="F08400"/>
          <w:sz w:val="28"/>
          <w:szCs w:val="28"/>
        </w:rPr>
      </w:pPr>
    </w:p>
    <w:p w:rsidR="00077FCB" w:rsidRDefault="00077FCB" w:rsidP="00077FCB">
      <w:pPr>
        <w:pStyle w:val="Heading-chapter"/>
        <w:spacing w:after="0" w:line="312" w:lineRule="auto"/>
        <w:outlineLvl w:val="9"/>
        <w:rPr>
          <w:color w:val="F08400"/>
          <w:sz w:val="28"/>
          <w:szCs w:val="28"/>
        </w:rPr>
      </w:pPr>
      <w:r>
        <w:rPr>
          <w:color w:val="F08400"/>
          <w:sz w:val="28"/>
          <w:szCs w:val="28"/>
        </w:rPr>
        <w:t>The Institute for Employment Studies</w:t>
      </w:r>
    </w:p>
    <w:p w:rsidR="00077FCB" w:rsidRDefault="00077FCB">
      <w:pPr>
        <w:spacing w:after="200" w:line="276" w:lineRule="auto"/>
        <w:rPr>
          <w:rFonts w:cs="Arial"/>
          <w:szCs w:val="24"/>
        </w:rPr>
      </w:pPr>
      <w:r>
        <w:br w:type="page"/>
      </w:r>
    </w:p>
    <w:p w:rsidR="005D206A" w:rsidRPr="008F760B" w:rsidRDefault="005D206A" w:rsidP="005D206A">
      <w:pPr>
        <w:pStyle w:val="Parabeforeanother"/>
        <w:spacing w:after="20"/>
      </w:pPr>
      <w:r w:rsidRPr="008F760B">
        <w:lastRenderedPageBreak/>
        <w:t xml:space="preserve">© </w:t>
      </w:r>
      <w:r>
        <w:t xml:space="preserve">2017 </w:t>
      </w:r>
      <w:r w:rsidRPr="008F760B">
        <w:t>Equality and Human Rights Commission</w:t>
      </w:r>
    </w:p>
    <w:p w:rsidR="005D206A" w:rsidRPr="008F760B" w:rsidRDefault="0021293F" w:rsidP="005D206A">
      <w:pPr>
        <w:pStyle w:val="Parabeforeanother"/>
        <w:spacing w:after="20"/>
      </w:pPr>
      <w:r>
        <w:t xml:space="preserve">Published </w:t>
      </w:r>
      <w:r w:rsidR="008C7011">
        <w:t>August</w:t>
      </w:r>
      <w:r>
        <w:t xml:space="preserve"> 2017</w:t>
      </w:r>
    </w:p>
    <w:p w:rsidR="005D206A" w:rsidRDefault="005D206A" w:rsidP="005D206A">
      <w:pPr>
        <w:pStyle w:val="Parabeforeanother"/>
        <w:spacing w:after="640"/>
      </w:pPr>
      <w:r w:rsidRPr="008F760B">
        <w:t xml:space="preserve">ISBN </w:t>
      </w:r>
      <w:r w:rsidRPr="00095CDA">
        <w:t>978-1-84206-696-6</w:t>
      </w:r>
    </w:p>
    <w:p w:rsidR="005D206A" w:rsidRPr="008F760B" w:rsidRDefault="005D206A" w:rsidP="005D206A">
      <w:pPr>
        <w:pStyle w:val="Heading-subsections"/>
        <w:spacing w:after="120"/>
      </w:pPr>
      <w:r w:rsidRPr="008F760B">
        <w:t xml:space="preserve">Equality and Human Rights Commission Research Report Series </w:t>
      </w:r>
    </w:p>
    <w:p w:rsidR="005D206A" w:rsidRPr="008F760B" w:rsidRDefault="005D206A" w:rsidP="005D206A">
      <w:pPr>
        <w:pStyle w:val="Parabeforeanother"/>
      </w:pPr>
      <w:r w:rsidRPr="008F760B">
        <w:t xml:space="preserve">The Equality and Human Rights Commission Research Report Series publishes research carried out for the Commission by commissioned researchers. </w:t>
      </w:r>
    </w:p>
    <w:p w:rsidR="005D206A" w:rsidRPr="00881442" w:rsidRDefault="005D206A" w:rsidP="005D206A">
      <w:pPr>
        <w:pStyle w:val="Parabeforeanother"/>
      </w:pPr>
      <w:r w:rsidRPr="00881442">
        <w:t xml:space="preserve">The views expressed in this report are those of the authors and do not necessarily represent the views of the Commission. The Commission is publishing the report as a contribution to discussion and debate. </w:t>
      </w:r>
    </w:p>
    <w:p w:rsidR="005D206A" w:rsidRPr="00881442" w:rsidRDefault="005D206A" w:rsidP="005D206A">
      <w:pPr>
        <w:pStyle w:val="Parabeforenewsubsection"/>
        <w:spacing w:after="320"/>
      </w:pPr>
      <w:r w:rsidRPr="00881442">
        <w:t>Please contact the Research Team for further information about other Commission research</w:t>
      </w:r>
      <w:r>
        <w:t xml:space="preserve"> </w:t>
      </w:r>
      <w:r w:rsidRPr="008F760B">
        <w:t>reports</w:t>
      </w:r>
      <w:r>
        <w:t xml:space="preserve">, or visit </w:t>
      </w:r>
      <w:hyperlink r:id="rId8" w:history="1">
        <w:r w:rsidRPr="00B05452">
          <w:rPr>
            <w:rStyle w:val="Hyperlink"/>
          </w:rPr>
          <w:t>our website</w:t>
        </w:r>
      </w:hyperlink>
      <w:r>
        <w:t>.</w:t>
      </w:r>
    </w:p>
    <w:p w:rsidR="005D206A" w:rsidRPr="008F760B" w:rsidRDefault="005D206A" w:rsidP="005D206A">
      <w:pPr>
        <w:spacing w:line="312" w:lineRule="auto"/>
        <w:ind w:left="1560" w:hanging="1560"/>
      </w:pPr>
      <w:r>
        <w:t>Post:</w:t>
      </w:r>
      <w:r>
        <w:tab/>
      </w:r>
      <w:r w:rsidRPr="008F760B">
        <w:t xml:space="preserve">Research Team </w:t>
      </w:r>
    </w:p>
    <w:p w:rsidR="005D206A" w:rsidRPr="00881442" w:rsidRDefault="005D206A" w:rsidP="005D206A">
      <w:pPr>
        <w:spacing w:line="312" w:lineRule="auto"/>
        <w:ind w:left="840" w:firstLine="720"/>
      </w:pPr>
      <w:r w:rsidRPr="00881442">
        <w:t xml:space="preserve">Equality and Human Rights Commission </w:t>
      </w:r>
    </w:p>
    <w:p w:rsidR="005D206A" w:rsidRDefault="005D206A" w:rsidP="005D206A">
      <w:pPr>
        <w:spacing w:line="312" w:lineRule="auto"/>
        <w:ind w:left="840" w:firstLine="720"/>
      </w:pPr>
      <w:r w:rsidRPr="00881442">
        <w:t>Arndale House</w:t>
      </w:r>
    </w:p>
    <w:p w:rsidR="005D206A" w:rsidRDefault="005D206A" w:rsidP="005D206A">
      <w:pPr>
        <w:spacing w:line="312" w:lineRule="auto"/>
        <w:ind w:left="840" w:firstLine="720"/>
      </w:pPr>
      <w:r w:rsidRPr="00881442">
        <w:t>The Arndale Centre</w:t>
      </w:r>
    </w:p>
    <w:p w:rsidR="005D206A" w:rsidRPr="00881442" w:rsidRDefault="005D206A" w:rsidP="005D206A">
      <w:pPr>
        <w:spacing w:after="80" w:line="312" w:lineRule="auto"/>
        <w:ind w:left="839" w:firstLine="720"/>
      </w:pPr>
      <w:r w:rsidRPr="00881442">
        <w:t xml:space="preserve">Manchester M4 3AQ </w:t>
      </w:r>
    </w:p>
    <w:p w:rsidR="005D206A" w:rsidRPr="00881442" w:rsidRDefault="005D206A" w:rsidP="005D206A">
      <w:pPr>
        <w:spacing w:line="312" w:lineRule="auto"/>
        <w:ind w:left="1560" w:hanging="1560"/>
      </w:pPr>
      <w:r w:rsidRPr="00881442">
        <w:t>Email:</w:t>
      </w:r>
      <w:r>
        <w:tab/>
      </w:r>
      <w:hyperlink r:id="rId9" w:history="1">
        <w:r w:rsidRPr="00D464CA">
          <w:rPr>
            <w:rStyle w:val="Hyperlink"/>
          </w:rPr>
          <w:t>research@equalityhumanrights.com</w:t>
        </w:r>
      </w:hyperlink>
      <w:r>
        <w:t xml:space="preserve"> </w:t>
      </w:r>
      <w:r w:rsidRPr="00881442">
        <w:t xml:space="preserve"> </w:t>
      </w:r>
    </w:p>
    <w:p w:rsidR="005D206A" w:rsidRPr="00881442" w:rsidRDefault="005D206A" w:rsidP="00B05452">
      <w:pPr>
        <w:spacing w:after="360" w:line="312" w:lineRule="auto"/>
        <w:ind w:left="1559" w:hanging="1559"/>
      </w:pPr>
      <w:r w:rsidRPr="00881442">
        <w:t>Telephone:</w:t>
      </w:r>
      <w:r>
        <w:tab/>
      </w:r>
      <w:r w:rsidRPr="00881442">
        <w:t>0161 829 8</w:t>
      </w:r>
      <w:r>
        <w:t>1</w:t>
      </w:r>
      <w:r w:rsidRPr="00881442">
        <w:t>00</w:t>
      </w:r>
    </w:p>
    <w:p w:rsidR="0089729A" w:rsidRDefault="005D206A" w:rsidP="0089729A">
      <w:pPr>
        <w:spacing w:line="312" w:lineRule="auto"/>
      </w:pPr>
      <w:r w:rsidRPr="00881442">
        <w:t xml:space="preserve">You can download a copy of this report as a PDF from </w:t>
      </w:r>
      <w:hyperlink r:id="rId10" w:history="1">
        <w:r w:rsidRPr="00B05452">
          <w:rPr>
            <w:rStyle w:val="Hyperlink"/>
          </w:rPr>
          <w:t>our website</w:t>
        </w:r>
      </w:hyperlink>
      <w:r w:rsidR="00B05452">
        <w:t>.</w:t>
      </w:r>
    </w:p>
    <w:p w:rsidR="005D206A" w:rsidRPr="00881442" w:rsidRDefault="005D206A" w:rsidP="0089729A">
      <w:pPr>
        <w:spacing w:line="312" w:lineRule="auto"/>
      </w:pPr>
      <w:r w:rsidRPr="00881442">
        <w:t xml:space="preserve"> </w:t>
      </w:r>
    </w:p>
    <w:p w:rsidR="004A156B" w:rsidRDefault="005D206A" w:rsidP="005D206A">
      <w:pPr>
        <w:spacing w:line="312" w:lineRule="auto"/>
      </w:pPr>
      <w:r w:rsidRPr="00881442">
        <w:t xml:space="preserve">If you require this publication in an alternative format, please contact the Communications Team to discuss your needs at: </w:t>
      </w:r>
      <w:hyperlink r:id="rId11" w:history="1">
        <w:r w:rsidRPr="00D464CA">
          <w:rPr>
            <w:rStyle w:val="Hyperlink"/>
          </w:rPr>
          <w:t>correspondence@equalityhumanrights.com</w:t>
        </w:r>
      </w:hyperlink>
      <w:r>
        <w:t xml:space="preserve"> </w:t>
      </w:r>
      <w:r w:rsidRPr="00881442">
        <w:t xml:space="preserve"> </w:t>
      </w:r>
    </w:p>
    <w:p w:rsidR="004A156B" w:rsidRDefault="004A156B">
      <w:pPr>
        <w:spacing w:after="200" w:line="276" w:lineRule="auto"/>
      </w:pPr>
      <w:r>
        <w:br w:type="page"/>
      </w:r>
    </w:p>
    <w:p w:rsidR="005D206A" w:rsidRPr="00881442" w:rsidRDefault="005D206A" w:rsidP="005D206A">
      <w:pPr>
        <w:spacing w:line="312" w:lineRule="auto"/>
      </w:pPr>
    </w:p>
    <w:bookmarkStart w:id="0" w:name="_Toc490135076" w:displacedByCustomXml="next"/>
    <w:sdt>
      <w:sdtPr>
        <w:rPr>
          <w:rFonts w:ascii="Arial" w:eastAsia="Calibri" w:hAnsi="Arial"/>
          <w:bCs w:val="0"/>
          <w:color w:val="auto"/>
          <w:sz w:val="24"/>
          <w:szCs w:val="22"/>
        </w:rPr>
        <w:id w:val="-1832137758"/>
        <w:docPartObj>
          <w:docPartGallery w:val="Table of Contents"/>
          <w:docPartUnique/>
        </w:docPartObj>
      </w:sdtPr>
      <w:sdtEndPr>
        <w:rPr>
          <w:b/>
          <w:noProof/>
        </w:rPr>
      </w:sdtEndPr>
      <w:sdtContent>
        <w:p w:rsidR="00A50CC0" w:rsidRDefault="00A50CC0" w:rsidP="004A156B">
          <w:pPr>
            <w:pStyle w:val="Title-chapterorange"/>
          </w:pPr>
          <w:r>
            <w:t>Contents</w:t>
          </w:r>
          <w:bookmarkEnd w:id="0"/>
        </w:p>
        <w:p w:rsidR="00141851" w:rsidRDefault="00A50CC0">
          <w:pPr>
            <w:pStyle w:val="TOC1"/>
            <w:rPr>
              <w:rFonts w:asciiTheme="minorHAnsi" w:eastAsiaTheme="minorEastAsia" w:hAnsiTheme="minorHAnsi" w:cstheme="minorBidi"/>
              <w:b w:val="0"/>
              <w:sz w:val="22"/>
              <w:lang w:eastAsia="en-GB"/>
            </w:rPr>
          </w:pPr>
          <w:r>
            <w:rPr>
              <w:noProof w:val="0"/>
            </w:rPr>
            <w:fldChar w:fldCharType="begin"/>
          </w:r>
          <w:r>
            <w:instrText xml:space="preserve"> TOC \o "1-3" \h \z \u </w:instrText>
          </w:r>
          <w:r>
            <w:rPr>
              <w:noProof w:val="0"/>
            </w:rPr>
            <w:fldChar w:fldCharType="separate"/>
          </w:r>
          <w:hyperlink w:anchor="_Toc490135077" w:history="1">
            <w:r w:rsidR="00141851" w:rsidRPr="00CA0B7C">
              <w:rPr>
                <w:rStyle w:val="Hyperlink"/>
              </w:rPr>
              <w:t>Tables and figures</w:t>
            </w:r>
            <w:r w:rsidR="00141851">
              <w:rPr>
                <w:webHidden/>
              </w:rPr>
              <w:tab/>
            </w:r>
            <w:r w:rsidR="00141851">
              <w:rPr>
                <w:webHidden/>
              </w:rPr>
              <w:fldChar w:fldCharType="begin"/>
            </w:r>
            <w:r w:rsidR="00141851">
              <w:rPr>
                <w:webHidden/>
              </w:rPr>
              <w:instrText xml:space="preserve"> PAGEREF _Toc490135077 \h </w:instrText>
            </w:r>
            <w:r w:rsidR="00141851">
              <w:rPr>
                <w:webHidden/>
              </w:rPr>
            </w:r>
            <w:r w:rsidR="00141851">
              <w:rPr>
                <w:webHidden/>
              </w:rPr>
              <w:fldChar w:fldCharType="separate"/>
            </w:r>
            <w:r w:rsidR="009F6B44">
              <w:rPr>
                <w:webHidden/>
              </w:rPr>
              <w:t>5</w:t>
            </w:r>
            <w:r w:rsidR="00141851">
              <w:rPr>
                <w:webHidden/>
              </w:rPr>
              <w:fldChar w:fldCharType="end"/>
            </w:r>
          </w:hyperlink>
        </w:p>
        <w:p w:rsidR="00141851" w:rsidRDefault="00042A13">
          <w:pPr>
            <w:pStyle w:val="TOC1"/>
            <w:rPr>
              <w:rFonts w:asciiTheme="minorHAnsi" w:eastAsiaTheme="minorEastAsia" w:hAnsiTheme="minorHAnsi" w:cstheme="minorBidi"/>
              <w:b w:val="0"/>
              <w:sz w:val="22"/>
              <w:lang w:eastAsia="en-GB"/>
            </w:rPr>
          </w:pPr>
          <w:hyperlink w:anchor="_Toc490135078" w:history="1">
            <w:r w:rsidR="00141851" w:rsidRPr="00CA0B7C">
              <w:rPr>
                <w:rStyle w:val="Hyperlink"/>
              </w:rPr>
              <w:t>Acknowledgements</w:t>
            </w:r>
            <w:r w:rsidR="00141851">
              <w:rPr>
                <w:webHidden/>
              </w:rPr>
              <w:tab/>
            </w:r>
            <w:r w:rsidR="00141851">
              <w:rPr>
                <w:webHidden/>
              </w:rPr>
              <w:fldChar w:fldCharType="begin"/>
            </w:r>
            <w:r w:rsidR="00141851">
              <w:rPr>
                <w:webHidden/>
              </w:rPr>
              <w:instrText xml:space="preserve"> PAGEREF _Toc490135078 \h </w:instrText>
            </w:r>
            <w:r w:rsidR="00141851">
              <w:rPr>
                <w:webHidden/>
              </w:rPr>
            </w:r>
            <w:r w:rsidR="00141851">
              <w:rPr>
                <w:webHidden/>
              </w:rPr>
              <w:fldChar w:fldCharType="separate"/>
            </w:r>
            <w:r w:rsidR="009F6B44">
              <w:rPr>
                <w:webHidden/>
              </w:rPr>
              <w:t>6</w:t>
            </w:r>
            <w:r w:rsidR="00141851">
              <w:rPr>
                <w:webHidden/>
              </w:rPr>
              <w:fldChar w:fldCharType="end"/>
            </w:r>
          </w:hyperlink>
        </w:p>
        <w:p w:rsidR="00141851" w:rsidRDefault="00042A13">
          <w:pPr>
            <w:pStyle w:val="TOC1"/>
            <w:rPr>
              <w:rFonts w:asciiTheme="minorHAnsi" w:eastAsiaTheme="minorEastAsia" w:hAnsiTheme="minorHAnsi" w:cstheme="minorBidi"/>
              <w:b w:val="0"/>
              <w:sz w:val="22"/>
              <w:lang w:eastAsia="en-GB"/>
            </w:rPr>
          </w:pPr>
          <w:hyperlink w:anchor="_Toc490135079" w:history="1">
            <w:r w:rsidR="00141851" w:rsidRPr="00CA0B7C">
              <w:rPr>
                <w:rStyle w:val="Hyperlink"/>
              </w:rPr>
              <w:t>Executive summary</w:t>
            </w:r>
            <w:r w:rsidR="00141851">
              <w:rPr>
                <w:webHidden/>
              </w:rPr>
              <w:tab/>
            </w:r>
            <w:r w:rsidR="00141851">
              <w:rPr>
                <w:webHidden/>
              </w:rPr>
              <w:fldChar w:fldCharType="begin"/>
            </w:r>
            <w:r w:rsidR="00141851">
              <w:rPr>
                <w:webHidden/>
              </w:rPr>
              <w:instrText xml:space="preserve"> PAGEREF _Toc490135079 \h </w:instrText>
            </w:r>
            <w:r w:rsidR="00141851">
              <w:rPr>
                <w:webHidden/>
              </w:rPr>
            </w:r>
            <w:r w:rsidR="00141851">
              <w:rPr>
                <w:webHidden/>
              </w:rPr>
              <w:fldChar w:fldCharType="separate"/>
            </w:r>
            <w:r w:rsidR="009F6B44">
              <w:rPr>
                <w:webHidden/>
              </w:rPr>
              <w:t>6</w:t>
            </w:r>
            <w:r w:rsidR="00141851">
              <w:rPr>
                <w:webHidden/>
              </w:rPr>
              <w:fldChar w:fldCharType="end"/>
            </w:r>
          </w:hyperlink>
        </w:p>
        <w:p w:rsidR="00141851" w:rsidRDefault="00042A13">
          <w:pPr>
            <w:pStyle w:val="TOC2"/>
            <w:tabs>
              <w:tab w:val="right" w:leader="dot" w:pos="9016"/>
            </w:tabs>
            <w:rPr>
              <w:rFonts w:asciiTheme="minorHAnsi" w:eastAsiaTheme="minorEastAsia" w:hAnsiTheme="minorHAnsi" w:cstheme="minorBidi"/>
              <w:noProof/>
              <w:sz w:val="22"/>
              <w:lang w:eastAsia="en-GB"/>
            </w:rPr>
          </w:pPr>
          <w:hyperlink w:anchor="_Toc490135080" w:history="1">
            <w:r w:rsidR="00141851" w:rsidRPr="00CA0B7C">
              <w:rPr>
                <w:rStyle w:val="Hyperlink"/>
                <w:noProof/>
              </w:rPr>
              <w:t>Introduction</w:t>
            </w:r>
            <w:r w:rsidR="00141851">
              <w:rPr>
                <w:noProof/>
                <w:webHidden/>
              </w:rPr>
              <w:tab/>
            </w:r>
            <w:r w:rsidR="00141851">
              <w:rPr>
                <w:noProof/>
                <w:webHidden/>
              </w:rPr>
              <w:fldChar w:fldCharType="begin"/>
            </w:r>
            <w:r w:rsidR="00141851">
              <w:rPr>
                <w:noProof/>
                <w:webHidden/>
              </w:rPr>
              <w:instrText xml:space="preserve"> PAGEREF _Toc490135080 \h </w:instrText>
            </w:r>
            <w:r w:rsidR="00141851">
              <w:rPr>
                <w:noProof/>
                <w:webHidden/>
              </w:rPr>
            </w:r>
            <w:r w:rsidR="00141851">
              <w:rPr>
                <w:noProof/>
                <w:webHidden/>
              </w:rPr>
              <w:fldChar w:fldCharType="separate"/>
            </w:r>
            <w:r w:rsidR="009F6B44">
              <w:rPr>
                <w:noProof/>
                <w:webHidden/>
              </w:rPr>
              <w:t>6</w:t>
            </w:r>
            <w:r w:rsidR="00141851">
              <w:rPr>
                <w:noProof/>
                <w:webHidden/>
              </w:rPr>
              <w:fldChar w:fldCharType="end"/>
            </w:r>
          </w:hyperlink>
        </w:p>
        <w:p w:rsidR="00141851" w:rsidRDefault="00042A13">
          <w:pPr>
            <w:pStyle w:val="TOC2"/>
            <w:tabs>
              <w:tab w:val="right" w:leader="dot" w:pos="9016"/>
            </w:tabs>
            <w:rPr>
              <w:rFonts w:asciiTheme="minorHAnsi" w:eastAsiaTheme="minorEastAsia" w:hAnsiTheme="minorHAnsi" w:cstheme="minorBidi"/>
              <w:noProof/>
              <w:sz w:val="22"/>
              <w:lang w:eastAsia="en-GB"/>
            </w:rPr>
          </w:pPr>
          <w:hyperlink w:anchor="_Toc490135081" w:history="1">
            <w:r w:rsidR="00141851" w:rsidRPr="00CA0B7C">
              <w:rPr>
                <w:rStyle w:val="Hyperlink"/>
                <w:noProof/>
              </w:rPr>
              <w:t>Key findings</w:t>
            </w:r>
            <w:r w:rsidR="00141851">
              <w:rPr>
                <w:noProof/>
                <w:webHidden/>
              </w:rPr>
              <w:tab/>
            </w:r>
            <w:r w:rsidR="00141851">
              <w:rPr>
                <w:noProof/>
                <w:webHidden/>
              </w:rPr>
              <w:fldChar w:fldCharType="begin"/>
            </w:r>
            <w:r w:rsidR="00141851">
              <w:rPr>
                <w:noProof/>
                <w:webHidden/>
              </w:rPr>
              <w:instrText xml:space="preserve"> PAGEREF _Toc490135081 \h </w:instrText>
            </w:r>
            <w:r w:rsidR="00141851">
              <w:rPr>
                <w:noProof/>
                <w:webHidden/>
              </w:rPr>
            </w:r>
            <w:r w:rsidR="00141851">
              <w:rPr>
                <w:noProof/>
                <w:webHidden/>
              </w:rPr>
              <w:fldChar w:fldCharType="separate"/>
            </w:r>
            <w:r w:rsidR="009F6B44">
              <w:rPr>
                <w:noProof/>
                <w:webHidden/>
              </w:rPr>
              <w:t>6</w:t>
            </w:r>
            <w:r w:rsidR="00141851">
              <w:rPr>
                <w:noProof/>
                <w:webHidden/>
              </w:rPr>
              <w:fldChar w:fldCharType="end"/>
            </w:r>
          </w:hyperlink>
        </w:p>
        <w:p w:rsidR="00141851" w:rsidRDefault="00042A13">
          <w:pPr>
            <w:pStyle w:val="TOC1"/>
            <w:rPr>
              <w:rFonts w:asciiTheme="minorHAnsi" w:eastAsiaTheme="minorEastAsia" w:hAnsiTheme="minorHAnsi" w:cstheme="minorBidi"/>
              <w:b w:val="0"/>
              <w:sz w:val="22"/>
              <w:lang w:eastAsia="en-GB"/>
            </w:rPr>
          </w:pPr>
          <w:hyperlink w:anchor="_Toc490135082" w:history="1">
            <w:r w:rsidR="00141851" w:rsidRPr="00CA0B7C">
              <w:rPr>
                <w:rStyle w:val="Hyperlink"/>
              </w:rPr>
              <w:t>1 | Introduction</w:t>
            </w:r>
            <w:r w:rsidR="00141851">
              <w:rPr>
                <w:webHidden/>
              </w:rPr>
              <w:tab/>
            </w:r>
            <w:r w:rsidR="00141851">
              <w:rPr>
                <w:webHidden/>
              </w:rPr>
              <w:fldChar w:fldCharType="begin"/>
            </w:r>
            <w:r w:rsidR="00141851">
              <w:rPr>
                <w:webHidden/>
              </w:rPr>
              <w:instrText xml:space="preserve"> PAGEREF _Toc490135082 \h </w:instrText>
            </w:r>
            <w:r w:rsidR="00141851">
              <w:rPr>
                <w:webHidden/>
              </w:rPr>
            </w:r>
            <w:r w:rsidR="00141851">
              <w:rPr>
                <w:webHidden/>
              </w:rPr>
              <w:fldChar w:fldCharType="separate"/>
            </w:r>
            <w:r w:rsidR="009F6B44">
              <w:rPr>
                <w:webHidden/>
              </w:rPr>
              <w:t>10</w:t>
            </w:r>
            <w:r w:rsidR="00141851">
              <w:rPr>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83" w:history="1">
            <w:r w:rsidR="00141851" w:rsidRPr="00CA0B7C">
              <w:rPr>
                <w:rStyle w:val="Hyperlink"/>
                <w:noProof/>
              </w:rPr>
              <w:t>1.1</w:t>
            </w:r>
            <w:r w:rsidR="00141851">
              <w:rPr>
                <w:rFonts w:asciiTheme="minorHAnsi" w:eastAsiaTheme="minorEastAsia" w:hAnsiTheme="minorHAnsi" w:cstheme="minorBidi"/>
                <w:noProof/>
                <w:sz w:val="22"/>
                <w:lang w:eastAsia="en-GB"/>
              </w:rPr>
              <w:tab/>
            </w:r>
            <w:r w:rsidR="00141851" w:rsidRPr="00CA0B7C">
              <w:rPr>
                <w:rStyle w:val="Hyperlink"/>
                <w:noProof/>
              </w:rPr>
              <w:t>Literature review methodology</w:t>
            </w:r>
            <w:r w:rsidR="00141851">
              <w:rPr>
                <w:noProof/>
                <w:webHidden/>
              </w:rPr>
              <w:tab/>
            </w:r>
            <w:r w:rsidR="00141851">
              <w:rPr>
                <w:noProof/>
                <w:webHidden/>
              </w:rPr>
              <w:fldChar w:fldCharType="begin"/>
            </w:r>
            <w:r w:rsidR="00141851">
              <w:rPr>
                <w:noProof/>
                <w:webHidden/>
              </w:rPr>
              <w:instrText xml:space="preserve"> PAGEREF _Toc490135083 \h </w:instrText>
            </w:r>
            <w:r w:rsidR="00141851">
              <w:rPr>
                <w:noProof/>
                <w:webHidden/>
              </w:rPr>
            </w:r>
            <w:r w:rsidR="00141851">
              <w:rPr>
                <w:noProof/>
                <w:webHidden/>
              </w:rPr>
              <w:fldChar w:fldCharType="separate"/>
            </w:r>
            <w:r w:rsidR="009F6B44">
              <w:rPr>
                <w:noProof/>
                <w:webHidden/>
              </w:rPr>
              <w:t>10</w:t>
            </w:r>
            <w:r w:rsidR="00141851">
              <w:rPr>
                <w:noProof/>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84" w:history="1">
            <w:r w:rsidR="00141851" w:rsidRPr="00CA0B7C">
              <w:rPr>
                <w:rStyle w:val="Hyperlink"/>
                <w:noProof/>
              </w:rPr>
              <w:t>1.2</w:t>
            </w:r>
            <w:r w:rsidR="00141851">
              <w:rPr>
                <w:rFonts w:asciiTheme="minorHAnsi" w:eastAsiaTheme="minorEastAsia" w:hAnsiTheme="minorHAnsi" w:cstheme="minorBidi"/>
                <w:noProof/>
                <w:sz w:val="22"/>
                <w:lang w:eastAsia="en-GB"/>
              </w:rPr>
              <w:tab/>
            </w:r>
            <w:r w:rsidR="00141851" w:rsidRPr="00CA0B7C">
              <w:rPr>
                <w:rStyle w:val="Hyperlink"/>
                <w:noProof/>
              </w:rPr>
              <w:t>Workshop discussions</w:t>
            </w:r>
            <w:r w:rsidR="00141851">
              <w:rPr>
                <w:noProof/>
                <w:webHidden/>
              </w:rPr>
              <w:tab/>
            </w:r>
            <w:r w:rsidR="00141851">
              <w:rPr>
                <w:noProof/>
                <w:webHidden/>
              </w:rPr>
              <w:fldChar w:fldCharType="begin"/>
            </w:r>
            <w:r w:rsidR="00141851">
              <w:rPr>
                <w:noProof/>
                <w:webHidden/>
              </w:rPr>
              <w:instrText xml:space="preserve"> PAGEREF _Toc490135084 \h </w:instrText>
            </w:r>
            <w:r w:rsidR="00141851">
              <w:rPr>
                <w:noProof/>
                <w:webHidden/>
              </w:rPr>
            </w:r>
            <w:r w:rsidR="00141851">
              <w:rPr>
                <w:noProof/>
                <w:webHidden/>
              </w:rPr>
              <w:fldChar w:fldCharType="separate"/>
            </w:r>
            <w:r w:rsidR="009F6B44">
              <w:rPr>
                <w:noProof/>
                <w:webHidden/>
              </w:rPr>
              <w:t>10</w:t>
            </w:r>
            <w:r w:rsidR="00141851">
              <w:rPr>
                <w:noProof/>
                <w:webHidden/>
              </w:rPr>
              <w:fldChar w:fldCharType="end"/>
            </w:r>
          </w:hyperlink>
        </w:p>
        <w:p w:rsidR="00141851" w:rsidRDefault="00042A13">
          <w:pPr>
            <w:pStyle w:val="TOC1"/>
            <w:rPr>
              <w:rFonts w:asciiTheme="minorHAnsi" w:eastAsiaTheme="minorEastAsia" w:hAnsiTheme="minorHAnsi" w:cstheme="minorBidi"/>
              <w:b w:val="0"/>
              <w:sz w:val="22"/>
              <w:lang w:eastAsia="en-GB"/>
            </w:rPr>
          </w:pPr>
          <w:hyperlink w:anchor="_Toc490135085" w:history="1">
            <w:r w:rsidR="00141851" w:rsidRPr="00CA0B7C">
              <w:rPr>
                <w:rStyle w:val="Hyperlink"/>
              </w:rPr>
              <w:t>2 | The gender pay gap</w:t>
            </w:r>
            <w:r w:rsidR="00141851">
              <w:rPr>
                <w:webHidden/>
              </w:rPr>
              <w:tab/>
            </w:r>
            <w:r w:rsidR="00141851">
              <w:rPr>
                <w:webHidden/>
              </w:rPr>
              <w:fldChar w:fldCharType="begin"/>
            </w:r>
            <w:r w:rsidR="00141851">
              <w:rPr>
                <w:webHidden/>
              </w:rPr>
              <w:instrText xml:space="preserve"> PAGEREF _Toc490135085 \h </w:instrText>
            </w:r>
            <w:r w:rsidR="00141851">
              <w:rPr>
                <w:webHidden/>
              </w:rPr>
            </w:r>
            <w:r w:rsidR="00141851">
              <w:rPr>
                <w:webHidden/>
              </w:rPr>
              <w:fldChar w:fldCharType="separate"/>
            </w:r>
            <w:r w:rsidR="009F6B44">
              <w:rPr>
                <w:webHidden/>
              </w:rPr>
              <w:t>12</w:t>
            </w:r>
            <w:r w:rsidR="00141851">
              <w:rPr>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86" w:history="1">
            <w:r w:rsidR="00141851" w:rsidRPr="00CA0B7C">
              <w:rPr>
                <w:rStyle w:val="Hyperlink"/>
                <w:noProof/>
              </w:rPr>
              <w:t>2.1</w:t>
            </w:r>
            <w:r w:rsidR="00141851">
              <w:rPr>
                <w:rFonts w:asciiTheme="minorHAnsi" w:eastAsiaTheme="minorEastAsia" w:hAnsiTheme="minorHAnsi" w:cstheme="minorBidi"/>
                <w:noProof/>
                <w:sz w:val="22"/>
                <w:lang w:eastAsia="en-GB"/>
              </w:rPr>
              <w:tab/>
            </w:r>
            <w:r w:rsidR="00141851" w:rsidRPr="00CA0B7C">
              <w:rPr>
                <w:rStyle w:val="Hyperlink"/>
                <w:noProof/>
              </w:rPr>
              <w:t>Introduction</w:t>
            </w:r>
            <w:r w:rsidR="00141851">
              <w:rPr>
                <w:noProof/>
                <w:webHidden/>
              </w:rPr>
              <w:tab/>
            </w:r>
            <w:r w:rsidR="00141851">
              <w:rPr>
                <w:noProof/>
                <w:webHidden/>
              </w:rPr>
              <w:fldChar w:fldCharType="begin"/>
            </w:r>
            <w:r w:rsidR="00141851">
              <w:rPr>
                <w:noProof/>
                <w:webHidden/>
              </w:rPr>
              <w:instrText xml:space="preserve"> PAGEREF _Toc490135086 \h </w:instrText>
            </w:r>
            <w:r w:rsidR="00141851">
              <w:rPr>
                <w:noProof/>
                <w:webHidden/>
              </w:rPr>
            </w:r>
            <w:r w:rsidR="00141851">
              <w:rPr>
                <w:noProof/>
                <w:webHidden/>
              </w:rPr>
              <w:fldChar w:fldCharType="separate"/>
            </w:r>
            <w:r w:rsidR="009F6B44">
              <w:rPr>
                <w:noProof/>
                <w:webHidden/>
              </w:rPr>
              <w:t>12</w:t>
            </w:r>
            <w:r w:rsidR="00141851">
              <w:rPr>
                <w:noProof/>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87" w:history="1">
            <w:r w:rsidR="00141851" w:rsidRPr="00CA0B7C">
              <w:rPr>
                <w:rStyle w:val="Hyperlink"/>
                <w:noProof/>
              </w:rPr>
              <w:t>2.2</w:t>
            </w:r>
            <w:r w:rsidR="00141851">
              <w:rPr>
                <w:rFonts w:asciiTheme="minorHAnsi" w:eastAsiaTheme="minorEastAsia" w:hAnsiTheme="minorHAnsi" w:cstheme="minorBidi"/>
                <w:noProof/>
                <w:sz w:val="22"/>
                <w:lang w:eastAsia="en-GB"/>
              </w:rPr>
              <w:tab/>
            </w:r>
            <w:r w:rsidR="00141851" w:rsidRPr="00CA0B7C">
              <w:rPr>
                <w:rStyle w:val="Hyperlink"/>
                <w:noProof/>
              </w:rPr>
              <w:t>Equality legislation and government policy</w:t>
            </w:r>
            <w:r w:rsidR="00141851">
              <w:rPr>
                <w:noProof/>
                <w:webHidden/>
              </w:rPr>
              <w:tab/>
            </w:r>
            <w:r w:rsidR="00141851">
              <w:rPr>
                <w:noProof/>
                <w:webHidden/>
              </w:rPr>
              <w:fldChar w:fldCharType="begin"/>
            </w:r>
            <w:r w:rsidR="00141851">
              <w:rPr>
                <w:noProof/>
                <w:webHidden/>
              </w:rPr>
              <w:instrText xml:space="preserve"> PAGEREF _Toc490135087 \h </w:instrText>
            </w:r>
            <w:r w:rsidR="00141851">
              <w:rPr>
                <w:noProof/>
                <w:webHidden/>
              </w:rPr>
            </w:r>
            <w:r w:rsidR="00141851">
              <w:rPr>
                <w:noProof/>
                <w:webHidden/>
              </w:rPr>
              <w:fldChar w:fldCharType="separate"/>
            </w:r>
            <w:r w:rsidR="009F6B44">
              <w:rPr>
                <w:noProof/>
                <w:webHidden/>
              </w:rPr>
              <w:t>13</w:t>
            </w:r>
            <w:r w:rsidR="00141851">
              <w:rPr>
                <w:noProof/>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88" w:history="1">
            <w:r w:rsidR="00141851" w:rsidRPr="00CA0B7C">
              <w:rPr>
                <w:rStyle w:val="Hyperlink"/>
                <w:noProof/>
                <w:lang w:val="en"/>
              </w:rPr>
              <w:t>2.3</w:t>
            </w:r>
            <w:r w:rsidR="00141851">
              <w:rPr>
                <w:rFonts w:asciiTheme="minorHAnsi" w:eastAsiaTheme="minorEastAsia" w:hAnsiTheme="minorHAnsi" w:cstheme="minorBidi"/>
                <w:noProof/>
                <w:sz w:val="22"/>
                <w:lang w:eastAsia="en-GB"/>
              </w:rPr>
              <w:tab/>
            </w:r>
            <w:r w:rsidR="00141851" w:rsidRPr="00CA0B7C">
              <w:rPr>
                <w:rStyle w:val="Hyperlink"/>
                <w:noProof/>
                <w:lang w:val="en"/>
              </w:rPr>
              <w:t>Interventions to address the gender pay gap</w:t>
            </w:r>
            <w:r w:rsidR="00141851">
              <w:rPr>
                <w:noProof/>
                <w:webHidden/>
              </w:rPr>
              <w:tab/>
            </w:r>
            <w:r w:rsidR="00141851">
              <w:rPr>
                <w:noProof/>
                <w:webHidden/>
              </w:rPr>
              <w:fldChar w:fldCharType="begin"/>
            </w:r>
            <w:r w:rsidR="00141851">
              <w:rPr>
                <w:noProof/>
                <w:webHidden/>
              </w:rPr>
              <w:instrText xml:space="preserve"> PAGEREF _Toc490135088 \h </w:instrText>
            </w:r>
            <w:r w:rsidR="00141851">
              <w:rPr>
                <w:noProof/>
                <w:webHidden/>
              </w:rPr>
            </w:r>
            <w:r w:rsidR="00141851">
              <w:rPr>
                <w:noProof/>
                <w:webHidden/>
              </w:rPr>
              <w:fldChar w:fldCharType="separate"/>
            </w:r>
            <w:r w:rsidR="009F6B44">
              <w:rPr>
                <w:noProof/>
                <w:webHidden/>
              </w:rPr>
              <w:t>15</w:t>
            </w:r>
            <w:r w:rsidR="00141851">
              <w:rPr>
                <w:noProof/>
                <w:webHidden/>
              </w:rPr>
              <w:fldChar w:fldCharType="end"/>
            </w:r>
          </w:hyperlink>
        </w:p>
        <w:p w:rsidR="00141851" w:rsidRDefault="00042A13">
          <w:pPr>
            <w:pStyle w:val="TOC2"/>
            <w:tabs>
              <w:tab w:val="right" w:leader="dot" w:pos="9016"/>
            </w:tabs>
            <w:rPr>
              <w:rFonts w:asciiTheme="minorHAnsi" w:eastAsiaTheme="minorEastAsia" w:hAnsiTheme="minorHAnsi" w:cstheme="minorBidi"/>
              <w:noProof/>
              <w:sz w:val="22"/>
              <w:lang w:eastAsia="en-GB"/>
            </w:rPr>
          </w:pPr>
          <w:hyperlink w:anchor="_Toc490135089" w:history="1">
            <w:r w:rsidR="00141851" w:rsidRPr="00CA0B7C">
              <w:rPr>
                <w:rStyle w:val="Hyperlink"/>
                <w:noProof/>
              </w:rPr>
              <w:t>2.4 Other National Policy Interventions</w:t>
            </w:r>
            <w:r w:rsidR="00141851">
              <w:rPr>
                <w:noProof/>
                <w:webHidden/>
              </w:rPr>
              <w:tab/>
            </w:r>
            <w:r w:rsidR="00141851">
              <w:rPr>
                <w:noProof/>
                <w:webHidden/>
              </w:rPr>
              <w:fldChar w:fldCharType="begin"/>
            </w:r>
            <w:r w:rsidR="00141851">
              <w:rPr>
                <w:noProof/>
                <w:webHidden/>
              </w:rPr>
              <w:instrText xml:space="preserve"> PAGEREF _Toc490135089 \h </w:instrText>
            </w:r>
            <w:r w:rsidR="00141851">
              <w:rPr>
                <w:noProof/>
                <w:webHidden/>
              </w:rPr>
            </w:r>
            <w:r w:rsidR="00141851">
              <w:rPr>
                <w:noProof/>
                <w:webHidden/>
              </w:rPr>
              <w:fldChar w:fldCharType="separate"/>
            </w:r>
            <w:r w:rsidR="009F6B44">
              <w:rPr>
                <w:noProof/>
                <w:webHidden/>
              </w:rPr>
              <w:t>19</w:t>
            </w:r>
            <w:r w:rsidR="00141851">
              <w:rPr>
                <w:noProof/>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90" w:history="1">
            <w:r w:rsidR="00141851" w:rsidRPr="00CA0B7C">
              <w:rPr>
                <w:rStyle w:val="Hyperlink"/>
                <w:noProof/>
              </w:rPr>
              <w:t>2.5</w:t>
            </w:r>
            <w:r w:rsidR="00141851">
              <w:rPr>
                <w:rFonts w:asciiTheme="minorHAnsi" w:eastAsiaTheme="minorEastAsia" w:hAnsiTheme="minorHAnsi" w:cstheme="minorBidi"/>
                <w:noProof/>
                <w:sz w:val="22"/>
                <w:lang w:eastAsia="en-GB"/>
              </w:rPr>
              <w:tab/>
            </w:r>
            <w:r w:rsidR="00141851" w:rsidRPr="00CA0B7C">
              <w:rPr>
                <w:rStyle w:val="Hyperlink"/>
                <w:noProof/>
              </w:rPr>
              <w:t>Employer interventions</w:t>
            </w:r>
            <w:r w:rsidR="00141851">
              <w:rPr>
                <w:noProof/>
                <w:webHidden/>
              </w:rPr>
              <w:tab/>
            </w:r>
            <w:r w:rsidR="00141851">
              <w:rPr>
                <w:noProof/>
                <w:webHidden/>
              </w:rPr>
              <w:fldChar w:fldCharType="begin"/>
            </w:r>
            <w:r w:rsidR="00141851">
              <w:rPr>
                <w:noProof/>
                <w:webHidden/>
              </w:rPr>
              <w:instrText xml:space="preserve"> PAGEREF _Toc490135090 \h </w:instrText>
            </w:r>
            <w:r w:rsidR="00141851">
              <w:rPr>
                <w:noProof/>
                <w:webHidden/>
              </w:rPr>
            </w:r>
            <w:r w:rsidR="00141851">
              <w:rPr>
                <w:noProof/>
                <w:webHidden/>
              </w:rPr>
              <w:fldChar w:fldCharType="separate"/>
            </w:r>
            <w:r w:rsidR="009F6B44">
              <w:rPr>
                <w:noProof/>
                <w:webHidden/>
              </w:rPr>
              <w:t>23</w:t>
            </w:r>
            <w:r w:rsidR="00141851">
              <w:rPr>
                <w:noProof/>
                <w:webHidden/>
              </w:rPr>
              <w:fldChar w:fldCharType="end"/>
            </w:r>
          </w:hyperlink>
        </w:p>
        <w:p w:rsidR="00141851" w:rsidRDefault="00042A13">
          <w:pPr>
            <w:pStyle w:val="TOC1"/>
            <w:rPr>
              <w:rFonts w:asciiTheme="minorHAnsi" w:eastAsiaTheme="minorEastAsia" w:hAnsiTheme="minorHAnsi" w:cstheme="minorBidi"/>
              <w:b w:val="0"/>
              <w:sz w:val="22"/>
              <w:lang w:eastAsia="en-GB"/>
            </w:rPr>
          </w:pPr>
          <w:hyperlink w:anchor="_Toc490135091" w:history="1">
            <w:r w:rsidR="00141851" w:rsidRPr="00CA0B7C">
              <w:rPr>
                <w:rStyle w:val="Hyperlink"/>
              </w:rPr>
              <w:t>3 | The disability pay gap</w:t>
            </w:r>
            <w:r w:rsidR="00141851">
              <w:rPr>
                <w:webHidden/>
              </w:rPr>
              <w:tab/>
            </w:r>
            <w:r w:rsidR="00141851">
              <w:rPr>
                <w:webHidden/>
              </w:rPr>
              <w:fldChar w:fldCharType="begin"/>
            </w:r>
            <w:r w:rsidR="00141851">
              <w:rPr>
                <w:webHidden/>
              </w:rPr>
              <w:instrText xml:space="preserve"> PAGEREF _Toc490135091 \h </w:instrText>
            </w:r>
            <w:r w:rsidR="00141851">
              <w:rPr>
                <w:webHidden/>
              </w:rPr>
            </w:r>
            <w:r w:rsidR="00141851">
              <w:rPr>
                <w:webHidden/>
              </w:rPr>
              <w:fldChar w:fldCharType="separate"/>
            </w:r>
            <w:r w:rsidR="009F6B44">
              <w:rPr>
                <w:webHidden/>
              </w:rPr>
              <w:t>28</w:t>
            </w:r>
            <w:r w:rsidR="00141851">
              <w:rPr>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92" w:history="1">
            <w:r w:rsidR="00141851" w:rsidRPr="00CA0B7C">
              <w:rPr>
                <w:rStyle w:val="Hyperlink"/>
                <w:noProof/>
              </w:rPr>
              <w:t>3.1</w:t>
            </w:r>
            <w:r w:rsidR="00141851">
              <w:rPr>
                <w:rFonts w:asciiTheme="minorHAnsi" w:eastAsiaTheme="minorEastAsia" w:hAnsiTheme="minorHAnsi" w:cstheme="minorBidi"/>
                <w:noProof/>
                <w:sz w:val="22"/>
                <w:lang w:eastAsia="en-GB"/>
              </w:rPr>
              <w:tab/>
            </w:r>
            <w:r w:rsidR="00141851" w:rsidRPr="00CA0B7C">
              <w:rPr>
                <w:rStyle w:val="Hyperlink"/>
                <w:noProof/>
              </w:rPr>
              <w:t>Introduction</w:t>
            </w:r>
            <w:r w:rsidR="00141851">
              <w:rPr>
                <w:noProof/>
                <w:webHidden/>
              </w:rPr>
              <w:tab/>
            </w:r>
            <w:r w:rsidR="00141851">
              <w:rPr>
                <w:noProof/>
                <w:webHidden/>
              </w:rPr>
              <w:fldChar w:fldCharType="begin"/>
            </w:r>
            <w:r w:rsidR="00141851">
              <w:rPr>
                <w:noProof/>
                <w:webHidden/>
              </w:rPr>
              <w:instrText xml:space="preserve"> PAGEREF _Toc490135092 \h </w:instrText>
            </w:r>
            <w:r w:rsidR="00141851">
              <w:rPr>
                <w:noProof/>
                <w:webHidden/>
              </w:rPr>
            </w:r>
            <w:r w:rsidR="00141851">
              <w:rPr>
                <w:noProof/>
                <w:webHidden/>
              </w:rPr>
              <w:fldChar w:fldCharType="separate"/>
            </w:r>
            <w:r w:rsidR="009F6B44">
              <w:rPr>
                <w:noProof/>
                <w:webHidden/>
              </w:rPr>
              <w:t>28</w:t>
            </w:r>
            <w:r w:rsidR="00141851">
              <w:rPr>
                <w:noProof/>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93" w:history="1">
            <w:r w:rsidR="00141851" w:rsidRPr="00CA0B7C">
              <w:rPr>
                <w:rStyle w:val="Hyperlink"/>
                <w:noProof/>
              </w:rPr>
              <w:t>3.2</w:t>
            </w:r>
            <w:r w:rsidR="00141851">
              <w:rPr>
                <w:rFonts w:asciiTheme="minorHAnsi" w:eastAsiaTheme="minorEastAsia" w:hAnsiTheme="minorHAnsi" w:cstheme="minorBidi"/>
                <w:noProof/>
                <w:sz w:val="22"/>
                <w:lang w:eastAsia="en-GB"/>
              </w:rPr>
              <w:tab/>
            </w:r>
            <w:r w:rsidR="00141851" w:rsidRPr="00CA0B7C">
              <w:rPr>
                <w:rStyle w:val="Hyperlink"/>
                <w:noProof/>
              </w:rPr>
              <w:t>Legal requirements to support access to employment for disabled people</w:t>
            </w:r>
            <w:r w:rsidR="00141851">
              <w:rPr>
                <w:noProof/>
                <w:webHidden/>
              </w:rPr>
              <w:tab/>
            </w:r>
            <w:r w:rsidR="00141851">
              <w:rPr>
                <w:noProof/>
                <w:webHidden/>
              </w:rPr>
              <w:fldChar w:fldCharType="begin"/>
            </w:r>
            <w:r w:rsidR="00141851">
              <w:rPr>
                <w:noProof/>
                <w:webHidden/>
              </w:rPr>
              <w:instrText xml:space="preserve"> PAGEREF _Toc490135093 \h </w:instrText>
            </w:r>
            <w:r w:rsidR="00141851">
              <w:rPr>
                <w:noProof/>
                <w:webHidden/>
              </w:rPr>
            </w:r>
            <w:r w:rsidR="00141851">
              <w:rPr>
                <w:noProof/>
                <w:webHidden/>
              </w:rPr>
              <w:fldChar w:fldCharType="separate"/>
            </w:r>
            <w:r w:rsidR="009F6B44">
              <w:rPr>
                <w:noProof/>
                <w:webHidden/>
              </w:rPr>
              <w:t>31</w:t>
            </w:r>
            <w:r w:rsidR="00141851">
              <w:rPr>
                <w:noProof/>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94" w:history="1">
            <w:r w:rsidR="00141851" w:rsidRPr="00CA0B7C">
              <w:rPr>
                <w:rStyle w:val="Hyperlink"/>
                <w:noProof/>
              </w:rPr>
              <w:t>3.3</w:t>
            </w:r>
            <w:r w:rsidR="00141851">
              <w:rPr>
                <w:rFonts w:asciiTheme="minorHAnsi" w:eastAsiaTheme="minorEastAsia" w:hAnsiTheme="minorHAnsi" w:cstheme="minorBidi"/>
                <w:noProof/>
                <w:sz w:val="22"/>
                <w:lang w:eastAsia="en-GB"/>
              </w:rPr>
              <w:tab/>
            </w:r>
            <w:r w:rsidR="00141851" w:rsidRPr="00CA0B7C">
              <w:rPr>
                <w:rStyle w:val="Hyperlink"/>
                <w:noProof/>
              </w:rPr>
              <w:t>Interventions influencing pay</w:t>
            </w:r>
            <w:r w:rsidR="00141851">
              <w:rPr>
                <w:noProof/>
                <w:webHidden/>
              </w:rPr>
              <w:tab/>
            </w:r>
            <w:r w:rsidR="00141851">
              <w:rPr>
                <w:noProof/>
                <w:webHidden/>
              </w:rPr>
              <w:fldChar w:fldCharType="begin"/>
            </w:r>
            <w:r w:rsidR="00141851">
              <w:rPr>
                <w:noProof/>
                <w:webHidden/>
              </w:rPr>
              <w:instrText xml:space="preserve"> PAGEREF _Toc490135094 \h </w:instrText>
            </w:r>
            <w:r w:rsidR="00141851">
              <w:rPr>
                <w:noProof/>
                <w:webHidden/>
              </w:rPr>
            </w:r>
            <w:r w:rsidR="00141851">
              <w:rPr>
                <w:noProof/>
                <w:webHidden/>
              </w:rPr>
              <w:fldChar w:fldCharType="separate"/>
            </w:r>
            <w:r w:rsidR="009F6B44">
              <w:rPr>
                <w:noProof/>
                <w:webHidden/>
              </w:rPr>
              <w:t>35</w:t>
            </w:r>
            <w:r w:rsidR="00141851">
              <w:rPr>
                <w:noProof/>
                <w:webHidden/>
              </w:rPr>
              <w:fldChar w:fldCharType="end"/>
            </w:r>
          </w:hyperlink>
        </w:p>
        <w:p w:rsidR="00141851" w:rsidRDefault="00042A13">
          <w:pPr>
            <w:pStyle w:val="TOC1"/>
            <w:rPr>
              <w:rFonts w:asciiTheme="minorHAnsi" w:eastAsiaTheme="minorEastAsia" w:hAnsiTheme="minorHAnsi" w:cstheme="minorBidi"/>
              <w:b w:val="0"/>
              <w:sz w:val="22"/>
              <w:lang w:eastAsia="en-GB"/>
            </w:rPr>
          </w:pPr>
          <w:hyperlink w:anchor="_Toc490135095" w:history="1">
            <w:r w:rsidR="00141851" w:rsidRPr="00CA0B7C">
              <w:rPr>
                <w:rStyle w:val="Hyperlink"/>
              </w:rPr>
              <w:t>4 | The ethnic</w:t>
            </w:r>
            <w:r w:rsidR="00141851">
              <w:rPr>
                <w:rStyle w:val="Hyperlink"/>
              </w:rPr>
              <w:t>ity</w:t>
            </w:r>
            <w:r w:rsidR="00141851" w:rsidRPr="00CA0B7C">
              <w:rPr>
                <w:rStyle w:val="Hyperlink"/>
              </w:rPr>
              <w:t xml:space="preserve"> pay gap</w:t>
            </w:r>
            <w:r w:rsidR="00141851">
              <w:rPr>
                <w:webHidden/>
              </w:rPr>
              <w:tab/>
            </w:r>
            <w:r w:rsidR="00141851">
              <w:rPr>
                <w:webHidden/>
              </w:rPr>
              <w:fldChar w:fldCharType="begin"/>
            </w:r>
            <w:r w:rsidR="00141851">
              <w:rPr>
                <w:webHidden/>
              </w:rPr>
              <w:instrText xml:space="preserve"> PAGEREF _Toc490135095 \h </w:instrText>
            </w:r>
            <w:r w:rsidR="00141851">
              <w:rPr>
                <w:webHidden/>
              </w:rPr>
            </w:r>
            <w:r w:rsidR="00141851">
              <w:rPr>
                <w:webHidden/>
              </w:rPr>
              <w:fldChar w:fldCharType="separate"/>
            </w:r>
            <w:r w:rsidR="009F6B44">
              <w:rPr>
                <w:webHidden/>
              </w:rPr>
              <w:t>41</w:t>
            </w:r>
            <w:r w:rsidR="00141851">
              <w:rPr>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96" w:history="1">
            <w:r w:rsidR="00141851" w:rsidRPr="00CA0B7C">
              <w:rPr>
                <w:rStyle w:val="Hyperlink"/>
                <w:noProof/>
              </w:rPr>
              <w:t>4.1</w:t>
            </w:r>
            <w:r w:rsidR="00141851">
              <w:rPr>
                <w:rFonts w:asciiTheme="minorHAnsi" w:eastAsiaTheme="minorEastAsia" w:hAnsiTheme="minorHAnsi" w:cstheme="minorBidi"/>
                <w:noProof/>
                <w:sz w:val="22"/>
                <w:lang w:eastAsia="en-GB"/>
              </w:rPr>
              <w:tab/>
            </w:r>
            <w:r w:rsidR="00141851" w:rsidRPr="00CA0B7C">
              <w:rPr>
                <w:rStyle w:val="Hyperlink"/>
                <w:noProof/>
              </w:rPr>
              <w:t>Introduction</w:t>
            </w:r>
            <w:r w:rsidR="00141851">
              <w:rPr>
                <w:noProof/>
                <w:webHidden/>
              </w:rPr>
              <w:tab/>
            </w:r>
            <w:r w:rsidR="00141851">
              <w:rPr>
                <w:noProof/>
                <w:webHidden/>
              </w:rPr>
              <w:fldChar w:fldCharType="begin"/>
            </w:r>
            <w:r w:rsidR="00141851">
              <w:rPr>
                <w:noProof/>
                <w:webHidden/>
              </w:rPr>
              <w:instrText xml:space="preserve"> PAGEREF _Toc490135096 \h </w:instrText>
            </w:r>
            <w:r w:rsidR="00141851">
              <w:rPr>
                <w:noProof/>
                <w:webHidden/>
              </w:rPr>
            </w:r>
            <w:r w:rsidR="00141851">
              <w:rPr>
                <w:noProof/>
                <w:webHidden/>
              </w:rPr>
              <w:fldChar w:fldCharType="separate"/>
            </w:r>
            <w:r w:rsidR="009F6B44">
              <w:rPr>
                <w:noProof/>
                <w:webHidden/>
              </w:rPr>
              <w:t>41</w:t>
            </w:r>
            <w:r w:rsidR="00141851">
              <w:rPr>
                <w:noProof/>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97" w:history="1">
            <w:r w:rsidR="00141851" w:rsidRPr="00CA0B7C">
              <w:rPr>
                <w:rStyle w:val="Hyperlink"/>
                <w:noProof/>
              </w:rPr>
              <w:t>4.2</w:t>
            </w:r>
            <w:r w:rsidR="00141851">
              <w:rPr>
                <w:rFonts w:asciiTheme="minorHAnsi" w:eastAsiaTheme="minorEastAsia" w:hAnsiTheme="minorHAnsi" w:cstheme="minorBidi"/>
                <w:noProof/>
                <w:sz w:val="22"/>
                <w:lang w:eastAsia="en-GB"/>
              </w:rPr>
              <w:tab/>
            </w:r>
            <w:r w:rsidR="00141851" w:rsidRPr="00CA0B7C">
              <w:rPr>
                <w:rStyle w:val="Hyperlink"/>
                <w:noProof/>
              </w:rPr>
              <w:t>Equality legislation and other government policy</w:t>
            </w:r>
            <w:r w:rsidR="00141851">
              <w:rPr>
                <w:noProof/>
                <w:webHidden/>
              </w:rPr>
              <w:tab/>
            </w:r>
            <w:r w:rsidR="00141851">
              <w:rPr>
                <w:noProof/>
                <w:webHidden/>
              </w:rPr>
              <w:fldChar w:fldCharType="begin"/>
            </w:r>
            <w:r w:rsidR="00141851">
              <w:rPr>
                <w:noProof/>
                <w:webHidden/>
              </w:rPr>
              <w:instrText xml:space="preserve"> PAGEREF _Toc490135097 \h </w:instrText>
            </w:r>
            <w:r w:rsidR="00141851">
              <w:rPr>
                <w:noProof/>
                <w:webHidden/>
              </w:rPr>
            </w:r>
            <w:r w:rsidR="00141851">
              <w:rPr>
                <w:noProof/>
                <w:webHidden/>
              </w:rPr>
              <w:fldChar w:fldCharType="separate"/>
            </w:r>
            <w:r w:rsidR="009F6B44">
              <w:rPr>
                <w:noProof/>
                <w:webHidden/>
              </w:rPr>
              <w:t>42</w:t>
            </w:r>
            <w:r w:rsidR="00141851">
              <w:rPr>
                <w:noProof/>
                <w:webHidden/>
              </w:rPr>
              <w:fldChar w:fldCharType="end"/>
            </w:r>
          </w:hyperlink>
        </w:p>
        <w:p w:rsidR="00141851" w:rsidRDefault="00042A13">
          <w:pPr>
            <w:pStyle w:val="TOC2"/>
            <w:tabs>
              <w:tab w:val="left" w:pos="880"/>
              <w:tab w:val="right" w:leader="dot" w:pos="9016"/>
            </w:tabs>
            <w:rPr>
              <w:rFonts w:asciiTheme="minorHAnsi" w:eastAsiaTheme="minorEastAsia" w:hAnsiTheme="minorHAnsi" w:cstheme="minorBidi"/>
              <w:noProof/>
              <w:sz w:val="22"/>
              <w:lang w:eastAsia="en-GB"/>
            </w:rPr>
          </w:pPr>
          <w:hyperlink w:anchor="_Toc490135098" w:history="1">
            <w:r w:rsidR="00141851" w:rsidRPr="00CA0B7C">
              <w:rPr>
                <w:rStyle w:val="Hyperlink"/>
                <w:noProof/>
              </w:rPr>
              <w:t>4.3</w:t>
            </w:r>
            <w:r w:rsidR="00141851">
              <w:rPr>
                <w:rFonts w:asciiTheme="minorHAnsi" w:eastAsiaTheme="minorEastAsia" w:hAnsiTheme="minorHAnsi" w:cstheme="minorBidi"/>
                <w:noProof/>
                <w:sz w:val="22"/>
                <w:lang w:eastAsia="en-GB"/>
              </w:rPr>
              <w:tab/>
            </w:r>
            <w:r w:rsidR="00141851" w:rsidRPr="00CA0B7C">
              <w:rPr>
                <w:rStyle w:val="Hyperlink"/>
                <w:noProof/>
              </w:rPr>
              <w:t>Employer interventions</w:t>
            </w:r>
            <w:r w:rsidR="00141851">
              <w:rPr>
                <w:noProof/>
                <w:webHidden/>
              </w:rPr>
              <w:tab/>
            </w:r>
            <w:r w:rsidR="00141851">
              <w:rPr>
                <w:noProof/>
                <w:webHidden/>
              </w:rPr>
              <w:fldChar w:fldCharType="begin"/>
            </w:r>
            <w:r w:rsidR="00141851">
              <w:rPr>
                <w:noProof/>
                <w:webHidden/>
              </w:rPr>
              <w:instrText xml:space="preserve"> PAGEREF _Toc490135098 \h </w:instrText>
            </w:r>
            <w:r w:rsidR="00141851">
              <w:rPr>
                <w:noProof/>
                <w:webHidden/>
              </w:rPr>
            </w:r>
            <w:r w:rsidR="00141851">
              <w:rPr>
                <w:noProof/>
                <w:webHidden/>
              </w:rPr>
              <w:fldChar w:fldCharType="separate"/>
            </w:r>
            <w:r w:rsidR="009F6B44">
              <w:rPr>
                <w:noProof/>
                <w:webHidden/>
              </w:rPr>
              <w:t>45</w:t>
            </w:r>
            <w:r w:rsidR="00141851">
              <w:rPr>
                <w:noProof/>
                <w:webHidden/>
              </w:rPr>
              <w:fldChar w:fldCharType="end"/>
            </w:r>
          </w:hyperlink>
        </w:p>
        <w:p w:rsidR="00141851" w:rsidRDefault="00042A13">
          <w:pPr>
            <w:pStyle w:val="TOC1"/>
            <w:rPr>
              <w:rFonts w:asciiTheme="minorHAnsi" w:eastAsiaTheme="minorEastAsia" w:hAnsiTheme="minorHAnsi" w:cstheme="minorBidi"/>
              <w:b w:val="0"/>
              <w:sz w:val="22"/>
              <w:lang w:eastAsia="en-GB"/>
            </w:rPr>
          </w:pPr>
          <w:hyperlink w:anchor="_Toc490135099" w:history="1">
            <w:r w:rsidR="00141851" w:rsidRPr="00CA0B7C">
              <w:rPr>
                <w:rStyle w:val="Hyperlink"/>
              </w:rPr>
              <w:t>5 | Conclusion</w:t>
            </w:r>
            <w:r w:rsidR="00141851">
              <w:rPr>
                <w:webHidden/>
              </w:rPr>
              <w:tab/>
            </w:r>
            <w:r w:rsidR="00141851">
              <w:rPr>
                <w:webHidden/>
              </w:rPr>
              <w:fldChar w:fldCharType="begin"/>
            </w:r>
            <w:r w:rsidR="00141851">
              <w:rPr>
                <w:webHidden/>
              </w:rPr>
              <w:instrText xml:space="preserve"> PAGEREF _Toc490135099 \h </w:instrText>
            </w:r>
            <w:r w:rsidR="00141851">
              <w:rPr>
                <w:webHidden/>
              </w:rPr>
            </w:r>
            <w:r w:rsidR="00141851">
              <w:rPr>
                <w:webHidden/>
              </w:rPr>
              <w:fldChar w:fldCharType="separate"/>
            </w:r>
            <w:r w:rsidR="009F6B44">
              <w:rPr>
                <w:webHidden/>
              </w:rPr>
              <w:t>49</w:t>
            </w:r>
            <w:r w:rsidR="00141851">
              <w:rPr>
                <w:webHidden/>
              </w:rPr>
              <w:fldChar w:fldCharType="end"/>
            </w:r>
          </w:hyperlink>
        </w:p>
        <w:p w:rsidR="00141851" w:rsidRDefault="00042A13">
          <w:pPr>
            <w:pStyle w:val="TOC3"/>
            <w:rPr>
              <w:rFonts w:asciiTheme="minorHAnsi" w:eastAsiaTheme="minorEastAsia" w:hAnsiTheme="minorHAnsi" w:cstheme="minorBidi"/>
              <w:noProof/>
              <w:sz w:val="22"/>
              <w:lang w:eastAsia="en-GB"/>
            </w:rPr>
          </w:pPr>
          <w:hyperlink w:anchor="_Toc490135100" w:history="1"/>
        </w:p>
        <w:p w:rsidR="00141851" w:rsidRDefault="00042A13">
          <w:pPr>
            <w:pStyle w:val="TOC1"/>
            <w:rPr>
              <w:rFonts w:asciiTheme="minorHAnsi" w:eastAsiaTheme="minorEastAsia" w:hAnsiTheme="minorHAnsi" w:cstheme="minorBidi"/>
              <w:b w:val="0"/>
              <w:sz w:val="22"/>
              <w:lang w:eastAsia="en-GB"/>
            </w:rPr>
          </w:pPr>
          <w:hyperlink w:anchor="_Toc490135101" w:history="1">
            <w:r w:rsidR="00141851" w:rsidRPr="00CA0B7C">
              <w:rPr>
                <w:rStyle w:val="Hyperlink"/>
              </w:rPr>
              <w:t>Appendix</w:t>
            </w:r>
            <w:r w:rsidR="00141851">
              <w:rPr>
                <w:webHidden/>
              </w:rPr>
              <w:tab/>
            </w:r>
            <w:r w:rsidR="00141851">
              <w:rPr>
                <w:webHidden/>
              </w:rPr>
              <w:fldChar w:fldCharType="begin"/>
            </w:r>
            <w:r w:rsidR="00141851">
              <w:rPr>
                <w:webHidden/>
              </w:rPr>
              <w:instrText xml:space="preserve"> PAGEREF _Toc490135101 \h </w:instrText>
            </w:r>
            <w:r w:rsidR="00141851">
              <w:rPr>
                <w:webHidden/>
              </w:rPr>
            </w:r>
            <w:r w:rsidR="00141851">
              <w:rPr>
                <w:webHidden/>
              </w:rPr>
              <w:fldChar w:fldCharType="separate"/>
            </w:r>
            <w:r w:rsidR="009F6B44">
              <w:rPr>
                <w:webHidden/>
              </w:rPr>
              <w:t>55</w:t>
            </w:r>
            <w:r w:rsidR="00141851">
              <w:rPr>
                <w:webHidden/>
              </w:rPr>
              <w:fldChar w:fldCharType="end"/>
            </w:r>
          </w:hyperlink>
        </w:p>
        <w:p w:rsidR="00141851" w:rsidRDefault="00042A13">
          <w:pPr>
            <w:pStyle w:val="TOC1"/>
            <w:rPr>
              <w:rFonts w:asciiTheme="minorHAnsi" w:eastAsiaTheme="minorEastAsia" w:hAnsiTheme="minorHAnsi" w:cstheme="minorBidi"/>
              <w:b w:val="0"/>
              <w:sz w:val="22"/>
              <w:lang w:eastAsia="en-GB"/>
            </w:rPr>
          </w:pPr>
          <w:hyperlink w:anchor="_Toc490135104" w:history="1">
            <w:r w:rsidR="00141851" w:rsidRPr="00CA0B7C">
              <w:rPr>
                <w:rStyle w:val="Hyperlink"/>
              </w:rPr>
              <w:t>References</w:t>
            </w:r>
            <w:r w:rsidR="00141851">
              <w:rPr>
                <w:webHidden/>
              </w:rPr>
              <w:tab/>
            </w:r>
            <w:r w:rsidR="00141851">
              <w:rPr>
                <w:webHidden/>
              </w:rPr>
              <w:fldChar w:fldCharType="begin"/>
            </w:r>
            <w:r w:rsidR="00141851">
              <w:rPr>
                <w:webHidden/>
              </w:rPr>
              <w:instrText xml:space="preserve"> PAGEREF _Toc490135104 \h </w:instrText>
            </w:r>
            <w:r w:rsidR="00141851">
              <w:rPr>
                <w:webHidden/>
              </w:rPr>
            </w:r>
            <w:r w:rsidR="00141851">
              <w:rPr>
                <w:webHidden/>
              </w:rPr>
              <w:fldChar w:fldCharType="separate"/>
            </w:r>
            <w:r w:rsidR="009F6B44">
              <w:rPr>
                <w:webHidden/>
              </w:rPr>
              <w:t>58</w:t>
            </w:r>
            <w:r w:rsidR="00141851">
              <w:rPr>
                <w:webHidden/>
              </w:rPr>
              <w:fldChar w:fldCharType="end"/>
            </w:r>
          </w:hyperlink>
        </w:p>
        <w:p w:rsidR="00141851" w:rsidRDefault="00042A13">
          <w:pPr>
            <w:pStyle w:val="TOC1"/>
            <w:rPr>
              <w:rFonts w:asciiTheme="minorHAnsi" w:eastAsiaTheme="minorEastAsia" w:hAnsiTheme="minorHAnsi" w:cstheme="minorBidi"/>
              <w:b w:val="0"/>
              <w:sz w:val="22"/>
              <w:lang w:eastAsia="en-GB"/>
            </w:rPr>
          </w:pPr>
          <w:hyperlink w:anchor="_Toc490135105" w:history="1">
            <w:r w:rsidR="00141851" w:rsidRPr="00CA0B7C">
              <w:rPr>
                <w:rStyle w:val="Hyperlink"/>
              </w:rPr>
              <w:t>Contacts</w:t>
            </w:r>
            <w:r w:rsidR="00141851">
              <w:rPr>
                <w:webHidden/>
              </w:rPr>
              <w:tab/>
            </w:r>
            <w:r w:rsidR="00141851">
              <w:rPr>
                <w:webHidden/>
              </w:rPr>
              <w:fldChar w:fldCharType="begin"/>
            </w:r>
            <w:r w:rsidR="00141851">
              <w:rPr>
                <w:webHidden/>
              </w:rPr>
              <w:instrText xml:space="preserve"> PAGEREF _Toc490135105 \h </w:instrText>
            </w:r>
            <w:r w:rsidR="00141851">
              <w:rPr>
                <w:webHidden/>
              </w:rPr>
            </w:r>
            <w:r w:rsidR="00141851">
              <w:rPr>
                <w:webHidden/>
              </w:rPr>
              <w:fldChar w:fldCharType="separate"/>
            </w:r>
            <w:r w:rsidR="009F6B44">
              <w:rPr>
                <w:webHidden/>
              </w:rPr>
              <w:t>69</w:t>
            </w:r>
            <w:r w:rsidR="00141851">
              <w:rPr>
                <w:webHidden/>
              </w:rPr>
              <w:fldChar w:fldCharType="end"/>
            </w:r>
          </w:hyperlink>
        </w:p>
        <w:p w:rsidR="00A50CC0" w:rsidRDefault="00A50CC0">
          <w:r>
            <w:rPr>
              <w:b/>
              <w:bCs/>
              <w:noProof/>
            </w:rPr>
            <w:fldChar w:fldCharType="end"/>
          </w:r>
        </w:p>
      </w:sdtContent>
    </w:sdt>
    <w:p w:rsidR="00141851" w:rsidRDefault="00141851">
      <w:pPr>
        <w:spacing w:after="200" w:line="276" w:lineRule="auto"/>
        <w:rPr>
          <w:rFonts w:ascii="Georgia" w:eastAsia="Times New Roman" w:hAnsi="Georgia"/>
          <w:bCs/>
          <w:color w:val="F08100"/>
          <w:sz w:val="48"/>
          <w:szCs w:val="48"/>
        </w:rPr>
      </w:pPr>
      <w:bookmarkStart w:id="1" w:name="_Toc474306834"/>
      <w:bookmarkStart w:id="2" w:name="_Toc490135077"/>
      <w:r>
        <w:br w:type="page"/>
      </w:r>
    </w:p>
    <w:p w:rsidR="005D206A" w:rsidRPr="007A7B1D" w:rsidRDefault="005D206A" w:rsidP="004A156B">
      <w:pPr>
        <w:pStyle w:val="Title-chapterorange"/>
      </w:pPr>
      <w:r w:rsidRPr="007A7B1D">
        <w:lastRenderedPageBreak/>
        <w:t>Tables and figures</w:t>
      </w:r>
      <w:bookmarkEnd w:id="1"/>
      <w:bookmarkEnd w:id="2"/>
    </w:p>
    <w:p w:rsidR="005D206A" w:rsidRPr="00AE538E" w:rsidRDefault="005D206A" w:rsidP="00B05452">
      <w:pPr>
        <w:pStyle w:val="Heading-subsections"/>
        <w:outlineLvl w:val="1"/>
        <w:rPr>
          <w:color w:val="F08100"/>
        </w:rPr>
      </w:pPr>
      <w:r w:rsidRPr="00AE538E">
        <w:rPr>
          <w:color w:val="F08100"/>
        </w:rPr>
        <w:t>Tables</w:t>
      </w:r>
    </w:p>
    <w:p w:rsidR="005D206A" w:rsidRPr="00127902" w:rsidRDefault="00042A13" w:rsidP="008C7011">
      <w:pPr>
        <w:pStyle w:val="TOC3"/>
        <w:rPr>
          <w:rStyle w:val="Hyperlink"/>
          <w:noProof/>
          <w:color w:val="auto"/>
          <w:u w:val="none"/>
        </w:rPr>
      </w:pPr>
      <w:hyperlink w:anchor="_Toc447116992" w:history="1">
        <w:r w:rsidR="005D206A" w:rsidRPr="00AE538E">
          <w:rPr>
            <w:rStyle w:val="Hyperlink"/>
            <w:b/>
            <w:noProof/>
            <w:color w:val="auto"/>
            <w:u w:val="none"/>
          </w:rPr>
          <w:t>Table 1.1</w:t>
        </w:r>
        <w:r w:rsidR="008C7011" w:rsidRPr="00AE538E">
          <w:rPr>
            <w:rStyle w:val="Hyperlink"/>
            <w:b/>
            <w:noProof/>
            <w:color w:val="auto"/>
            <w:u w:val="none"/>
          </w:rPr>
          <w:t xml:space="preserve"> </w:t>
        </w:r>
        <w:r w:rsidR="0089729A">
          <w:rPr>
            <w:rStyle w:val="Hyperlink"/>
            <w:b/>
            <w:noProof/>
            <w:color w:val="auto"/>
            <w:u w:val="none"/>
          </w:rPr>
          <w:t xml:space="preserve">   </w:t>
        </w:r>
        <w:r w:rsidR="005D206A" w:rsidRPr="00127902">
          <w:rPr>
            <w:rStyle w:val="Hyperlink"/>
            <w:noProof/>
            <w:color w:val="auto"/>
            <w:u w:val="none"/>
          </w:rPr>
          <w:t>List of participant organisations</w:t>
        </w:r>
      </w:hyperlink>
    </w:p>
    <w:p w:rsidR="005D206A" w:rsidRDefault="00042A13" w:rsidP="008C7011">
      <w:pPr>
        <w:pStyle w:val="TOC3"/>
        <w:rPr>
          <w:rFonts w:asciiTheme="minorHAnsi" w:eastAsiaTheme="minorEastAsia" w:hAnsiTheme="minorHAnsi" w:cstheme="minorBidi"/>
          <w:noProof/>
          <w:sz w:val="22"/>
          <w:lang w:eastAsia="en-GB"/>
        </w:rPr>
      </w:pPr>
      <w:hyperlink w:anchor="_Toc447117009" w:history="1">
        <w:r w:rsidR="005D206A" w:rsidRPr="00AE538E">
          <w:rPr>
            <w:rStyle w:val="Hyperlink"/>
            <w:b/>
            <w:noProof/>
            <w:color w:val="auto"/>
            <w:u w:val="none"/>
          </w:rPr>
          <w:t>Table 5.1</w:t>
        </w:r>
        <w:r w:rsidR="008C7011" w:rsidRPr="00AE538E">
          <w:rPr>
            <w:rFonts w:asciiTheme="minorHAnsi" w:eastAsiaTheme="minorEastAsia" w:hAnsiTheme="minorHAnsi" w:cstheme="minorBidi"/>
            <w:b/>
            <w:noProof/>
            <w:sz w:val="22"/>
            <w:lang w:eastAsia="en-GB"/>
          </w:rPr>
          <w:t xml:space="preserve"> </w:t>
        </w:r>
        <w:r w:rsidR="0089729A">
          <w:rPr>
            <w:rFonts w:asciiTheme="minorHAnsi" w:eastAsiaTheme="minorEastAsia" w:hAnsiTheme="minorHAnsi" w:cstheme="minorBidi"/>
            <w:noProof/>
            <w:sz w:val="22"/>
            <w:lang w:eastAsia="en-GB"/>
          </w:rPr>
          <w:t xml:space="preserve">    </w:t>
        </w:r>
        <w:r w:rsidR="005D206A" w:rsidRPr="00127902">
          <w:rPr>
            <w:rStyle w:val="Hyperlink"/>
            <w:noProof/>
            <w:color w:val="auto"/>
            <w:u w:val="none"/>
          </w:rPr>
          <w:t>Range of opportunities for closing the pay gaps</w:t>
        </w:r>
      </w:hyperlink>
    </w:p>
    <w:p w:rsidR="005D206A" w:rsidRPr="0021290C" w:rsidRDefault="005D206A" w:rsidP="005D206A"/>
    <w:p w:rsidR="005D206A" w:rsidRPr="0079514A" w:rsidRDefault="005D206A" w:rsidP="005D206A">
      <w:pPr>
        <w:tabs>
          <w:tab w:val="left" w:pos="567"/>
          <w:tab w:val="left" w:pos="1134"/>
          <w:tab w:val="right" w:pos="8789"/>
        </w:tabs>
        <w:spacing w:line="240" w:lineRule="auto"/>
        <w:rPr>
          <w:szCs w:val="24"/>
        </w:rPr>
      </w:pPr>
    </w:p>
    <w:p w:rsidR="005D206A" w:rsidRPr="00AE538E" w:rsidRDefault="005D206A" w:rsidP="00B05452">
      <w:pPr>
        <w:pStyle w:val="Heading-subsections"/>
        <w:outlineLvl w:val="1"/>
        <w:rPr>
          <w:color w:val="F08100"/>
        </w:rPr>
      </w:pPr>
      <w:r w:rsidRPr="00AE538E">
        <w:rPr>
          <w:color w:val="F08100"/>
        </w:rPr>
        <w:t>Figures</w:t>
      </w:r>
    </w:p>
    <w:p w:rsidR="005D206A" w:rsidRDefault="00042A13" w:rsidP="008C7011">
      <w:pPr>
        <w:pStyle w:val="TOC3"/>
        <w:ind w:left="1440" w:hanging="1440"/>
        <w:rPr>
          <w:rFonts w:asciiTheme="minorHAnsi" w:eastAsiaTheme="minorEastAsia" w:hAnsiTheme="minorHAnsi" w:cstheme="minorBidi"/>
          <w:noProof/>
          <w:sz w:val="22"/>
          <w:lang w:eastAsia="en-GB"/>
        </w:rPr>
      </w:pPr>
      <w:hyperlink w:anchor="_Toc447116995" w:history="1">
        <w:r w:rsidR="008C7011" w:rsidRPr="00AE538E">
          <w:rPr>
            <w:rStyle w:val="Hyperlink"/>
            <w:b/>
            <w:noProof/>
            <w:color w:val="auto"/>
            <w:u w:val="none"/>
          </w:rPr>
          <w:t>Figure 2.1</w:t>
        </w:r>
        <w:r w:rsidR="0089729A">
          <w:rPr>
            <w:rStyle w:val="Hyperlink"/>
            <w:noProof/>
            <w:color w:val="auto"/>
            <w:u w:val="none"/>
          </w:rPr>
          <w:t xml:space="preserve">    </w:t>
        </w:r>
        <w:r w:rsidR="005D206A" w:rsidRPr="00127902">
          <w:rPr>
            <w:rStyle w:val="Hyperlink"/>
            <w:noProof/>
            <w:color w:val="auto"/>
            <w:u w:val="none"/>
          </w:rPr>
          <w:t>Gender pay gap for median gross hourly earnings (excluding overtime), UK, April 1997 to 2015</w:t>
        </w:r>
        <w:r w:rsidR="005D206A" w:rsidRPr="00127902">
          <w:rPr>
            <w:noProof/>
            <w:webHidden/>
          </w:rPr>
          <w:fldChar w:fldCharType="begin"/>
        </w:r>
        <w:r w:rsidR="005D206A" w:rsidRPr="00127902">
          <w:rPr>
            <w:noProof/>
            <w:webHidden/>
          </w:rPr>
          <w:instrText xml:space="preserve"> PAGEREF _Toc447116995 \h </w:instrText>
        </w:r>
        <w:r w:rsidR="005D206A" w:rsidRPr="00127902">
          <w:rPr>
            <w:noProof/>
            <w:webHidden/>
          </w:rPr>
        </w:r>
        <w:r w:rsidR="005D206A" w:rsidRPr="00127902">
          <w:rPr>
            <w:noProof/>
            <w:webHidden/>
          </w:rPr>
          <w:fldChar w:fldCharType="end"/>
        </w:r>
      </w:hyperlink>
    </w:p>
    <w:p w:rsidR="004A156B" w:rsidRDefault="004A156B">
      <w:pPr>
        <w:spacing w:after="200" w:line="276" w:lineRule="auto"/>
        <w:rPr>
          <w:rFonts w:ascii="Georgia" w:eastAsia="Times New Roman" w:hAnsi="Georgia"/>
          <w:bCs/>
          <w:color w:val="000000"/>
          <w:sz w:val="48"/>
          <w:szCs w:val="48"/>
        </w:rPr>
      </w:pPr>
      <w:bookmarkStart w:id="3" w:name="_Toc474306835"/>
      <w:r>
        <w:rPr>
          <w:color w:val="000000"/>
        </w:rPr>
        <w:br w:type="page"/>
      </w:r>
    </w:p>
    <w:p w:rsidR="0078758A" w:rsidRPr="00A03DFA" w:rsidRDefault="0078758A" w:rsidP="004A156B">
      <w:pPr>
        <w:pStyle w:val="Title-chapterorange"/>
      </w:pPr>
      <w:bookmarkStart w:id="4" w:name="_Toc490135078"/>
      <w:r w:rsidRPr="00A03DFA">
        <w:lastRenderedPageBreak/>
        <w:t>Acknowledgements</w:t>
      </w:r>
      <w:bookmarkEnd w:id="3"/>
      <w:bookmarkEnd w:id="4"/>
    </w:p>
    <w:p w:rsidR="0078758A" w:rsidRPr="00206E40" w:rsidRDefault="0078758A" w:rsidP="0021293F">
      <w:pPr>
        <w:pStyle w:val="Parabeforenewsection"/>
      </w:pPr>
      <w:r w:rsidRPr="00510613">
        <w:t>The author</w:t>
      </w:r>
      <w:r>
        <w:t>s are grateful</w:t>
      </w:r>
      <w:r w:rsidRPr="00510613">
        <w:t xml:space="preserve"> to the individuals who attended the workshops and contributed to the discussions</w:t>
      </w:r>
      <w:r>
        <w:t>,</w:t>
      </w:r>
      <w:r w:rsidRPr="00510613">
        <w:t xml:space="preserve"> and to the representa</w:t>
      </w:r>
      <w:r>
        <w:t xml:space="preserve">tives from the Equality and Human Rights Commission who chaired the workshops and supported this project. </w:t>
      </w:r>
    </w:p>
    <w:p w:rsidR="00CD23F8" w:rsidRDefault="00CD23F8" w:rsidP="004A156B">
      <w:pPr>
        <w:pStyle w:val="Title-chapterorange"/>
        <w:sectPr w:rsidR="00CD23F8" w:rsidSect="00127902">
          <w:headerReference w:type="even" r:id="rId12"/>
          <w:footerReference w:type="even" r:id="rId13"/>
          <w:footerReference w:type="default" r:id="rId14"/>
          <w:pgSz w:w="11906" w:h="16838" w:code="9"/>
          <w:pgMar w:top="1440" w:right="1440" w:bottom="1440" w:left="1440" w:header="709" w:footer="709" w:gutter="0"/>
          <w:pgNumType w:start="1"/>
          <w:cols w:space="708"/>
          <w:titlePg/>
          <w:docGrid w:linePitch="360"/>
        </w:sectPr>
      </w:pPr>
    </w:p>
    <w:p w:rsidR="0078758A" w:rsidRPr="00A03DFA" w:rsidRDefault="0078758A" w:rsidP="004A156B">
      <w:pPr>
        <w:pStyle w:val="Title-chapterorange"/>
      </w:pPr>
      <w:bookmarkStart w:id="5" w:name="_Toc474306836"/>
      <w:bookmarkStart w:id="6" w:name="_Toc490135079"/>
      <w:r w:rsidRPr="00A03DFA">
        <w:lastRenderedPageBreak/>
        <w:t>Executive summary</w:t>
      </w:r>
      <w:bookmarkEnd w:id="5"/>
      <w:bookmarkEnd w:id="6"/>
    </w:p>
    <w:p w:rsidR="0078758A" w:rsidRDefault="0078758A" w:rsidP="0021293F">
      <w:pPr>
        <w:pStyle w:val="Title-numberedsectionsorange"/>
      </w:pPr>
      <w:bookmarkStart w:id="7" w:name="_Toc490135080"/>
      <w:r>
        <w:t>Introduction</w:t>
      </w:r>
      <w:bookmarkEnd w:id="7"/>
    </w:p>
    <w:p w:rsidR="0078758A" w:rsidRDefault="0078758A" w:rsidP="0021293F">
      <w:pPr>
        <w:pStyle w:val="Parabeforenewsection"/>
      </w:pPr>
      <w:r>
        <w:t xml:space="preserve">This report was commissioned to examine the effectiveness of interventions to tackle the gender, disability and ethnicity pay gaps in the UK. It contains the findings of a literature review and summarises views expressed during workshop discussions with employers and stakeholders. In addition to presenting evidence on interventions and, where available, their effectiveness, the report provides an overview of the legislative framework and a description of employers’ progress in tackling pay gaps. </w:t>
      </w:r>
    </w:p>
    <w:p w:rsidR="0078758A" w:rsidRDefault="0078758A" w:rsidP="0021293F">
      <w:pPr>
        <w:pStyle w:val="Title-numberedsectionsorange"/>
        <w:rPr>
          <w:szCs w:val="22"/>
        </w:rPr>
      </w:pPr>
      <w:bookmarkStart w:id="8" w:name="_Toc490135081"/>
      <w:r w:rsidRPr="007964B3">
        <w:t>Key findings</w:t>
      </w:r>
      <w:bookmarkEnd w:id="8"/>
    </w:p>
    <w:p w:rsidR="0078758A" w:rsidRPr="00812425" w:rsidRDefault="0078758A" w:rsidP="00B05452">
      <w:pPr>
        <w:pStyle w:val="Title-subsections"/>
        <w:outlineLvl w:val="2"/>
      </w:pPr>
      <w:r w:rsidRPr="007C4DC2">
        <w:t>The literature review</w:t>
      </w:r>
    </w:p>
    <w:p w:rsidR="0021293F" w:rsidRDefault="0078758A" w:rsidP="0021293F">
      <w:pPr>
        <w:pStyle w:val="Parabeforeanother"/>
      </w:pPr>
      <w:r>
        <w:t>T</w:t>
      </w:r>
      <w:r w:rsidRPr="005B056A">
        <w:t>h</w:t>
      </w:r>
      <w:r>
        <w:t xml:space="preserve">is review found some evidence of </w:t>
      </w:r>
      <w:r w:rsidRPr="005B056A">
        <w:t xml:space="preserve">evaluation of </w:t>
      </w:r>
      <w:r>
        <w:t>policy and practice aimed at tackling the gender pay gap</w:t>
      </w:r>
      <w:r w:rsidRPr="005B056A">
        <w:t xml:space="preserve">. </w:t>
      </w:r>
      <w:r>
        <w:t xml:space="preserve">In relation to the ethnicity and disability pay gaps, very little evidence of specific interventions, or evaluations of them, was found. The following paragraphs summarise the main findings. </w:t>
      </w:r>
    </w:p>
    <w:p w:rsidR="0021293F" w:rsidRDefault="0078758A" w:rsidP="0021293F">
      <w:pPr>
        <w:pStyle w:val="Parabeforeanother"/>
      </w:pPr>
      <w:r>
        <w:t xml:space="preserve">Quantifying the impact of the National Minimum Wage (NMW) on pay gaps is not straightforward. Following its introduction the gender pay gap narrowed, particularly for the lowest paid workers. However, analysis suggests that raising the NMW to the Living Wage (a voluntary benchmark set </w:t>
      </w:r>
      <w:r w:rsidRPr="0021293F">
        <w:t>independently</w:t>
      </w:r>
      <w:r>
        <w:t xml:space="preserve"> from Government) would shrink the gender pay gap only very slightly. This is partly because so few women occupy the highest-paid jobs. The exact impact of the NMW on disability and ethnic</w:t>
      </w:r>
      <w:r w:rsidR="00141851">
        <w:t>ity</w:t>
      </w:r>
      <w:r>
        <w:t xml:space="preserve"> pay gaps is unknown, although there is some evidence that its introduction increased the pay and employm</w:t>
      </w:r>
      <w:r w:rsidR="0021293F">
        <w:t xml:space="preserve">ent rates of disabled people. </w:t>
      </w:r>
    </w:p>
    <w:p w:rsidR="0078758A" w:rsidRDefault="0078758A" w:rsidP="0021293F">
      <w:pPr>
        <w:pStyle w:val="Parabeforeanother"/>
      </w:pPr>
      <w:r>
        <w:t>Voluntary initiatives have failed to tackle the gender pay gap because employers’ participation rates have been low. ‘</w:t>
      </w:r>
      <w:r w:rsidRPr="007C4DC2">
        <w:t>Think, Act, Report</w:t>
      </w:r>
      <w:r>
        <w:t xml:space="preserve">’, the Government’s campaign to enhance gender equality in the workplace, has had poor take-up as a result of widespread complacency on the part of employers. Many companies fail to recognise they have a gender pay gap and therefore take no action to close it; others </w:t>
      </w:r>
      <w:r>
        <w:lastRenderedPageBreak/>
        <w:t>do not see it as a priority. This has led the Government to enact legislation for mandatory gender pay gap reporting from April 2017</w:t>
      </w:r>
      <w:r>
        <w:rPr>
          <w:rStyle w:val="FootnoteReference"/>
        </w:rPr>
        <w:footnoteReference w:id="1"/>
      </w:r>
      <w:r>
        <w:t xml:space="preserve"> for private and voluntary sector employers with 250 or more employees. The Government has consulted</w:t>
      </w:r>
      <w:r>
        <w:rPr>
          <w:rStyle w:val="FootnoteReference"/>
        </w:rPr>
        <w:footnoteReference w:id="2"/>
      </w:r>
      <w:r>
        <w:t xml:space="preserve"> on its proposal for the same requirement on the public sector.</w:t>
      </w:r>
    </w:p>
    <w:p w:rsidR="0021293F" w:rsidRDefault="0078758A" w:rsidP="0021293F">
      <w:pPr>
        <w:pStyle w:val="Parabeforeanother"/>
      </w:pPr>
      <w:r>
        <w:t>Bonuses and highly variable pay, more commonly found in the private sector, have been found to put women at risk of disadvantage. By contrast, public sector employers are subject to stronger regulatory requirements and pay controls. Whatever the outcome of specific interventions, statistics show that the public sector has a lower overall gender pay</w:t>
      </w:r>
      <w:r w:rsidR="0021293F">
        <w:t xml:space="preserve"> gap than the private sector.  </w:t>
      </w:r>
    </w:p>
    <w:p w:rsidR="0021293F" w:rsidRDefault="0078758A" w:rsidP="0021293F">
      <w:pPr>
        <w:pStyle w:val="Parabeforeanother"/>
      </w:pPr>
      <w:r>
        <w:t>Tentative conclusions can be drawn by making international comparisons. Finland and Sweden place more stringent reporting requirements on employers and provide more generous funding for shared parental leave. Fathers’ take-up of parental leave is much higher in Scandinavian countries than in the UK, where it is extremely low: a survey found that almost a third of British fathers would not consider taking it. While the exact impact of specific initiatives is unknown, the UK’s gender pay gap is larger than that of many other Europ</w:t>
      </w:r>
      <w:r w:rsidR="0021293F">
        <w:t>ean and Scandinavian countries.</w:t>
      </w:r>
    </w:p>
    <w:p w:rsidR="0078758A" w:rsidRDefault="0078758A" w:rsidP="0021293F">
      <w:pPr>
        <w:pStyle w:val="Parabeforeanother"/>
      </w:pPr>
      <w:r>
        <w:t xml:space="preserve">Some public, voluntary and private sector employers have introduced measures to support female employees’ career progression. Typical schemes offer training and development, mentoring, peer support and assistance for those returning from maternity leave, alongside – in some cases – voluntary representation targets at senior levels. There is some evidence of success, although little is known about </w:t>
      </w:r>
      <w:r w:rsidRPr="006A2BDF">
        <w:t>the effect of these activities on pay gaps</w:t>
      </w:r>
      <w:r>
        <w:t>.</w:t>
      </w:r>
    </w:p>
    <w:p w:rsidR="0021293F" w:rsidRDefault="0078758A" w:rsidP="0021293F">
      <w:pPr>
        <w:pStyle w:val="Parabeforeanother"/>
      </w:pPr>
      <w:r>
        <w:t xml:space="preserve"> This research did not identify any interventions aimed explicitly at reducing the ethnic and disability pay gaps. However, there have been interventions to improve labour market participation and tackle discrimination. Their effect on pay gaps is unknown, although there is strong evidence that </w:t>
      </w:r>
      <w:r w:rsidRPr="00CD7443">
        <w:t xml:space="preserve">anonymised recruitment </w:t>
      </w:r>
      <w:r>
        <w:t xml:space="preserve">leads to fairer outcomes. This applies to gender too. </w:t>
      </w:r>
    </w:p>
    <w:p w:rsidR="0021293F" w:rsidRDefault="0078758A" w:rsidP="0021293F">
      <w:pPr>
        <w:pStyle w:val="Parabeforeanother"/>
      </w:pPr>
      <w:r>
        <w:t xml:space="preserve">Closing the disability pay gap is a distant prospect, despite the existence of interventions to support disabled people in work. The Access to Work scheme, which provides funding to support disabled people in employment, has been found to reduce sickness absence and improve well-being. However, the voluntary 'Two Ticks' initiative, aimed at encouraging employers to retain and develop disabled people, has met with limited success. It has been criticised for allowing employers to reap reputational benefits without making meaningful change. Among disabled </w:t>
      </w:r>
      <w:r>
        <w:lastRenderedPageBreak/>
        <w:t xml:space="preserve">people there is a statistical association, if not a causal link, between higher pay and receiving mentoring </w:t>
      </w:r>
      <w:r w:rsidR="0021293F">
        <w:t xml:space="preserve">and support from senior staff. </w:t>
      </w:r>
    </w:p>
    <w:p w:rsidR="0078758A" w:rsidRDefault="0078758A" w:rsidP="0021293F">
      <w:pPr>
        <w:pStyle w:val="Parabeforeanother"/>
      </w:pPr>
      <w:r>
        <w:t>As with disability, almost nothing is known about how to close the ethnic</w:t>
      </w:r>
      <w:r w:rsidR="00141851">
        <w:t>ity</w:t>
      </w:r>
      <w:r>
        <w:t xml:space="preserve"> pay gap, and progress is slow. When it comes to recruitment, there is evidence of racial discrimination against ethnic minorities, although its effect on the ethnic</w:t>
      </w:r>
      <w:r w:rsidR="00141851">
        <w:t>ity</w:t>
      </w:r>
      <w:r>
        <w:t xml:space="preserve"> pay gap is impossible to quantify. Employers’ initiatives to improve recruitment and development tend to be piecemeal and unambitious, and their effectiveness in tackling the pay gap is not clear. </w:t>
      </w:r>
    </w:p>
    <w:p w:rsidR="0078758A" w:rsidRDefault="0078758A" w:rsidP="0021293F">
      <w:pPr>
        <w:pStyle w:val="Parabeforenewsubsection"/>
      </w:pPr>
      <w:r>
        <w:t>The causes of pay gaps are complex. They are driven by the structures of labour markets and wider society. For example, women are more likely to work part-time, qualified people from ethnic minorities are over-represented in low-paid work and disabled people’s employment rate is low. This means solutions to pay gaps are likely to require a range of government and employer actions to tackle all the various factors.</w:t>
      </w:r>
    </w:p>
    <w:p w:rsidR="0021293F" w:rsidRDefault="0078758A" w:rsidP="00B05452">
      <w:pPr>
        <w:pStyle w:val="Title-subsections"/>
        <w:outlineLvl w:val="2"/>
      </w:pPr>
      <w:r w:rsidRPr="001D432F">
        <w:t>The workshops</w:t>
      </w:r>
    </w:p>
    <w:p w:rsidR="0078758A" w:rsidRPr="00812425" w:rsidRDefault="0078758A" w:rsidP="0021293F">
      <w:pPr>
        <w:pStyle w:val="Parabeforeanother"/>
        <w:rPr>
          <w:b/>
        </w:rPr>
      </w:pPr>
      <w:r>
        <w:t xml:space="preserve">The purpose of the workshops was to engage with employers and experts about how to tackle gender, disability and ethnicity pay gaps in practice. Participants were unable to identify interventions which specifically reduced pay gaps, although they did discuss a range of activities that employers are engaged in to enhance diversity. </w:t>
      </w:r>
    </w:p>
    <w:p w:rsidR="0078758A" w:rsidRDefault="0078758A" w:rsidP="0021293F">
      <w:pPr>
        <w:pStyle w:val="Parabeforeanother"/>
      </w:pPr>
      <w:r>
        <w:t>It was suggested that the Government should develop</w:t>
      </w:r>
      <w:r w:rsidRPr="00AA25BE">
        <w:t xml:space="preserve"> </w:t>
      </w:r>
      <w:r>
        <w:t xml:space="preserve">clear </w:t>
      </w:r>
      <w:r w:rsidRPr="00AA25BE">
        <w:t>standards</w:t>
      </w:r>
      <w:r w:rsidRPr="00201CC5">
        <w:t xml:space="preserve"> </w:t>
      </w:r>
      <w:r>
        <w:t xml:space="preserve">to help employers meet the forthcoming gender pay gap regulations and provide guidance, support and incentives to make progress. </w:t>
      </w:r>
    </w:p>
    <w:p w:rsidR="0078758A" w:rsidRDefault="0078758A" w:rsidP="0021293F">
      <w:pPr>
        <w:pStyle w:val="Parabeforeanother"/>
      </w:pPr>
      <w:r>
        <w:t xml:space="preserve">Because of the new regulations, the gender pay gap is a high priority for company boards. Strong leadership from the board and chief executive is the pre-requisite for tackling pay gaps and improving equality and diversity, particularly in senior roles. </w:t>
      </w:r>
    </w:p>
    <w:p w:rsidR="0078758A" w:rsidRDefault="0078758A" w:rsidP="0021293F">
      <w:pPr>
        <w:pStyle w:val="Parabeforeanother"/>
      </w:pPr>
      <w:r>
        <w:t>Employers’ efforts on ethnicity and disability tend to lag behind those on gender. Poor quality data on employees’ ethnicity and disability status mean many employers are not able to diagnose the problem.</w:t>
      </w:r>
    </w:p>
    <w:p w:rsidR="0078758A" w:rsidRPr="00A926F0" w:rsidRDefault="0078758A" w:rsidP="003D62A5">
      <w:pPr>
        <w:pStyle w:val="Parabeforenewsubsection"/>
      </w:pPr>
      <w:r>
        <w:t>Participants highlighted the long-term challenges facing society with respect to achieving greater equality and fairness at work. Early years intervention and good careers advice in schools were seen as particularly important.</w:t>
      </w:r>
    </w:p>
    <w:p w:rsidR="00113615" w:rsidRDefault="00113615">
      <w:pPr>
        <w:spacing w:after="200" w:line="276" w:lineRule="auto"/>
        <w:rPr>
          <w:rFonts w:cs="Arial"/>
          <w:b/>
          <w:szCs w:val="24"/>
        </w:rPr>
      </w:pPr>
      <w:r>
        <w:br w:type="page"/>
      </w:r>
    </w:p>
    <w:p w:rsidR="0078758A" w:rsidRPr="00242F52" w:rsidRDefault="0078758A" w:rsidP="00B05452">
      <w:pPr>
        <w:pStyle w:val="Title-subsections"/>
        <w:outlineLvl w:val="2"/>
      </w:pPr>
      <w:r w:rsidRPr="00242F52">
        <w:lastRenderedPageBreak/>
        <w:t>Conclusion</w:t>
      </w:r>
    </w:p>
    <w:p w:rsidR="0078758A" w:rsidRDefault="0078758A" w:rsidP="0078758A">
      <w:pPr>
        <w:pStyle w:val="Parabeforeanother"/>
      </w:pPr>
      <w:r>
        <w:t>Pay gaps reflect wider, entrenched social and economic inequalities and tackling them is a complex task. Academic literature has focused on the causes and challenges of pay gaps rather than on identifying and evaluating effective solutions. As a result there is little available robust evidence on the impact of interventions. The workshop discussions suggest that many employers do not yet understand the size and causes of their pay gaps and have often taken only tentative steps to tackle them.</w:t>
      </w:r>
    </w:p>
    <w:p w:rsidR="0078758A" w:rsidRDefault="0078758A" w:rsidP="0078758A">
      <w:pPr>
        <w:pStyle w:val="Parabeforeanother"/>
      </w:pPr>
      <w:r>
        <w:t xml:space="preserve">However, this report does highlight legislation, UK Government-led strategies and employer interventions that have the potential to reduce the pay gaps for women, disabled people and ethnic minorities. By comparing different sectors and countries, the analysis highlights the types of interventions that are associated with smaller pay gaps – in relation to gender at least. </w:t>
      </w:r>
    </w:p>
    <w:p w:rsidR="0078758A" w:rsidRDefault="0078758A" w:rsidP="003D62A5">
      <w:pPr>
        <w:pStyle w:val="Parabeforenewsection"/>
      </w:pPr>
      <w:r>
        <w:t xml:space="preserve">This report complements our statistical analyses of pay gaps, which look in detail at the causes and drivers of pay gaps. </w:t>
      </w:r>
      <w:r w:rsidDel="004F2F43">
        <w:t>Table 5.1 at the end of this report summarises the evidence on a wide range of policy and employer initiatives.</w:t>
      </w:r>
    </w:p>
    <w:p w:rsidR="005D206A" w:rsidRDefault="005D206A" w:rsidP="00A13D1B">
      <w:pPr>
        <w:pStyle w:val="Title-chapterorange"/>
      </w:pPr>
    </w:p>
    <w:p w:rsidR="0021293F" w:rsidRDefault="0021293F">
      <w:pPr>
        <w:spacing w:after="200" w:line="276" w:lineRule="auto"/>
        <w:rPr>
          <w:rFonts w:ascii="Georgia" w:eastAsia="Times New Roman" w:hAnsi="Georgia"/>
          <w:bCs/>
          <w:color w:val="F08100"/>
          <w:sz w:val="48"/>
          <w:szCs w:val="48"/>
        </w:rPr>
      </w:pPr>
      <w:r>
        <w:br w:type="page"/>
      </w:r>
    </w:p>
    <w:p w:rsidR="0021293F" w:rsidRDefault="0021293F" w:rsidP="00A13D1B">
      <w:pPr>
        <w:pStyle w:val="Title-chapterorange"/>
        <w:sectPr w:rsidR="0021293F" w:rsidSect="00127902">
          <w:headerReference w:type="default" r:id="rId15"/>
          <w:pgSz w:w="11906" w:h="16838" w:code="9"/>
          <w:pgMar w:top="1440" w:right="1440" w:bottom="1440" w:left="1440" w:header="709" w:footer="709" w:gutter="0"/>
          <w:pgNumType w:start="6"/>
          <w:cols w:space="708"/>
          <w:docGrid w:linePitch="360"/>
        </w:sectPr>
      </w:pPr>
    </w:p>
    <w:p w:rsidR="00F467DD" w:rsidRDefault="00A13D1B" w:rsidP="00A13D1B">
      <w:pPr>
        <w:pStyle w:val="Title-chapterorange"/>
      </w:pPr>
      <w:bookmarkStart w:id="9" w:name="_Toc490135082"/>
      <w:r w:rsidRPr="00054304">
        <w:rPr>
          <w:color w:val="auto"/>
        </w:rPr>
        <w:lastRenderedPageBreak/>
        <w:t xml:space="preserve">1 | </w:t>
      </w:r>
      <w:r w:rsidR="00F467DD" w:rsidRPr="00A13D1B">
        <w:t>Introduction</w:t>
      </w:r>
      <w:bookmarkEnd w:id="9"/>
    </w:p>
    <w:p w:rsidR="00F467DD" w:rsidRDefault="00F467DD" w:rsidP="00A13D1B">
      <w:pPr>
        <w:pStyle w:val="Parabeforenewsection"/>
      </w:pPr>
      <w:r>
        <w:t xml:space="preserve">This report, commissioned by the Equality and Human Rights Commission (‘the Commission’), contains the findings of a literature review and workshop discussions held with experts and employers on the effectiveness of interventions to tackle the gender, disability and ethnicity pay gaps in Great Britain.  </w:t>
      </w:r>
    </w:p>
    <w:p w:rsidR="00F467DD" w:rsidRDefault="00F467DD" w:rsidP="00A13D1B">
      <w:pPr>
        <w:pStyle w:val="Title-sectionsorange"/>
      </w:pPr>
      <w:bookmarkStart w:id="10" w:name="_Toc474306838"/>
      <w:bookmarkStart w:id="11" w:name="_Toc490135083"/>
      <w:r w:rsidRPr="00A13D1B">
        <w:rPr>
          <w:color w:val="auto"/>
        </w:rPr>
        <w:t>1.1</w:t>
      </w:r>
      <w:r>
        <w:tab/>
      </w:r>
      <w:r w:rsidRPr="004D4871">
        <w:t>Literature review methodology</w:t>
      </w:r>
      <w:bookmarkEnd w:id="10"/>
      <w:bookmarkEnd w:id="11"/>
    </w:p>
    <w:p w:rsidR="00F467DD" w:rsidRDefault="00F467DD" w:rsidP="00A13D1B">
      <w:pPr>
        <w:pStyle w:val="Parabeforenewsection"/>
      </w:pPr>
      <w:r>
        <w:t xml:space="preserve">A broad range of search terms were used to identify relevant literature in academic databases (such as </w:t>
      </w:r>
      <w:r w:rsidRPr="00090F5E">
        <w:t>Emera</w:t>
      </w:r>
      <w:r>
        <w:t xml:space="preserve">ld, IBSS, Sage, XpertHR, Wiley and </w:t>
      </w:r>
      <w:r w:rsidRPr="00090F5E">
        <w:t>JSTOR</w:t>
      </w:r>
      <w:r>
        <w:t>)</w:t>
      </w:r>
      <w:r w:rsidRPr="00090F5E">
        <w:t xml:space="preserve"> accessed through the University of Brighton</w:t>
      </w:r>
      <w:r>
        <w:t>. G</w:t>
      </w:r>
      <w:r w:rsidRPr="00090F5E">
        <w:t xml:space="preserve">rey </w:t>
      </w:r>
      <w:r w:rsidRPr="00A13D1B">
        <w:t>literature</w:t>
      </w:r>
      <w:r w:rsidRPr="00090F5E">
        <w:t xml:space="preserve"> </w:t>
      </w:r>
      <w:r>
        <w:t xml:space="preserve">was included </w:t>
      </w:r>
      <w:r w:rsidRPr="00090F5E">
        <w:t>where appropriate</w:t>
      </w:r>
      <w:r>
        <w:t xml:space="preserve">, such as government publications and reports from </w:t>
      </w:r>
      <w:r w:rsidRPr="00090F5E">
        <w:t xml:space="preserve">charities and industry bodies. </w:t>
      </w:r>
      <w:r>
        <w:t xml:space="preserve">Further key pieces of evidence from citations in bibliographies and literature were also included to help bolster areas of the review where there was a paucity of evidence. Most of the literature reviewed was UK-based but some European and international papers have been included where they discuss innovative initiatives on pay gaps. The scope of the review was limited to literature dating from 2005 onwards. </w:t>
      </w:r>
    </w:p>
    <w:p w:rsidR="00F467DD" w:rsidRDefault="00F467DD" w:rsidP="00A13D1B">
      <w:pPr>
        <w:pStyle w:val="Title-sectionsorange"/>
      </w:pPr>
      <w:bookmarkStart w:id="12" w:name="_Toc474306839"/>
      <w:bookmarkStart w:id="13" w:name="_Toc490135084"/>
      <w:r w:rsidRPr="00A13D1B">
        <w:rPr>
          <w:color w:val="auto"/>
        </w:rPr>
        <w:t>1.2</w:t>
      </w:r>
      <w:r>
        <w:tab/>
      </w:r>
      <w:r w:rsidRPr="004D4871">
        <w:t>Workshop</w:t>
      </w:r>
      <w:r>
        <w:t xml:space="preserve"> discussions</w:t>
      </w:r>
      <w:bookmarkEnd w:id="12"/>
      <w:bookmarkEnd w:id="13"/>
    </w:p>
    <w:p w:rsidR="00F467DD" w:rsidRDefault="00F467DD" w:rsidP="00A13D1B">
      <w:pPr>
        <w:pStyle w:val="Parabeforeanother"/>
      </w:pPr>
      <w:r>
        <w:t xml:space="preserve">A total of five workshops were held in November 2015 in London, Edinburgh and Cardiff (see Appendix for full methodology). </w:t>
      </w:r>
      <w:r w:rsidRPr="00A13D1B">
        <w:t>They</w:t>
      </w:r>
      <w:r>
        <w:t xml:space="preserve"> were attended by public and private sector employers, trade unions, voluntary sector organisations and other stakeholders. The purpose of the workshops was to learn from practitioner and expert experience, and identify key challenges and views on ‘what works’ in reducing gender, disability and ethnicity pay gaps. </w:t>
      </w:r>
    </w:p>
    <w:p w:rsidR="00A13D1B" w:rsidRDefault="00F467DD" w:rsidP="00A13D1B">
      <w:pPr>
        <w:pStyle w:val="Parabeforenewsection"/>
      </w:pPr>
      <w:r>
        <w:t xml:space="preserve">The findings from the workshops are interwoven with the literature review but are explicitly identified as such. Readers should bear in mind that the workshop findings are not intended to be statistically representative. Instead, they offer some insight </w:t>
      </w:r>
      <w:r>
        <w:lastRenderedPageBreak/>
        <w:t xml:space="preserve">into the ‘real-life’ experiences, perceptions and opinions of those with a professional interest in tackling pay gaps.  </w:t>
      </w:r>
    </w:p>
    <w:p w:rsidR="00CD23F8" w:rsidRDefault="00A13D1B">
      <w:pPr>
        <w:spacing w:after="200" w:line="276" w:lineRule="auto"/>
        <w:sectPr w:rsidR="00CD23F8" w:rsidSect="00127902">
          <w:headerReference w:type="default" r:id="rId16"/>
          <w:pgSz w:w="11906" w:h="16838" w:code="9"/>
          <w:pgMar w:top="1440" w:right="1440" w:bottom="1440" w:left="1440" w:header="709" w:footer="709" w:gutter="0"/>
          <w:pgNumType w:start="10"/>
          <w:cols w:space="708"/>
          <w:docGrid w:linePitch="360"/>
        </w:sectPr>
      </w:pPr>
      <w:r>
        <w:br w:type="page"/>
      </w:r>
    </w:p>
    <w:p w:rsidR="00F467DD" w:rsidRPr="006703C0" w:rsidRDefault="00F467DD" w:rsidP="00A13D1B">
      <w:pPr>
        <w:pStyle w:val="Title-chapterorange"/>
      </w:pPr>
      <w:bookmarkStart w:id="14" w:name="_Toc474306840"/>
      <w:bookmarkStart w:id="15" w:name="_Toc490135085"/>
      <w:r w:rsidRPr="00A13D1B">
        <w:rPr>
          <w:color w:val="auto"/>
        </w:rPr>
        <w:lastRenderedPageBreak/>
        <w:t>2</w:t>
      </w:r>
      <w:r w:rsidR="00A13D1B" w:rsidRPr="00A13D1B">
        <w:rPr>
          <w:color w:val="auto"/>
        </w:rPr>
        <w:t xml:space="preserve"> |</w:t>
      </w:r>
      <w:r w:rsidRPr="00A13D1B">
        <w:rPr>
          <w:color w:val="auto"/>
        </w:rPr>
        <w:t xml:space="preserve"> </w:t>
      </w:r>
      <w:r w:rsidRPr="006703C0">
        <w:t>The gender pay gap</w:t>
      </w:r>
      <w:bookmarkEnd w:id="14"/>
      <w:bookmarkEnd w:id="15"/>
    </w:p>
    <w:p w:rsidR="00F467DD" w:rsidRDefault="00F467DD" w:rsidP="00A13D1B">
      <w:pPr>
        <w:pStyle w:val="Title-sectionsorange"/>
      </w:pPr>
      <w:bookmarkStart w:id="16" w:name="_Toc474306841"/>
      <w:bookmarkStart w:id="17" w:name="_Toc490135086"/>
      <w:r w:rsidRPr="00157C98">
        <w:rPr>
          <w:color w:val="auto"/>
        </w:rPr>
        <w:t>2.1</w:t>
      </w:r>
      <w:r>
        <w:tab/>
      </w:r>
      <w:r w:rsidRPr="000B728E">
        <w:t>Introduction</w:t>
      </w:r>
      <w:bookmarkEnd w:id="16"/>
      <w:bookmarkEnd w:id="17"/>
    </w:p>
    <w:p w:rsidR="00F467DD" w:rsidRPr="00242F52" w:rsidRDefault="00F467DD" w:rsidP="00A13D1B">
      <w:pPr>
        <w:pStyle w:val="Parabeforeanother"/>
        <w:rPr>
          <w:lang w:val="cy-GB"/>
        </w:rPr>
      </w:pPr>
      <w:r w:rsidRPr="00242F52">
        <w:rPr>
          <w:lang w:val="cy-GB"/>
        </w:rPr>
        <w:t xml:space="preserve">The gender pay gap is a </w:t>
      </w:r>
      <w:r>
        <w:rPr>
          <w:lang w:val="cy-GB"/>
        </w:rPr>
        <w:t xml:space="preserve">statistical </w:t>
      </w:r>
      <w:r w:rsidRPr="00242F52">
        <w:rPr>
          <w:lang w:val="cy-GB"/>
        </w:rPr>
        <w:t xml:space="preserve">measure of the difference between men and women’s average earnings across an organisation or the labour market. It is </w:t>
      </w:r>
      <w:r>
        <w:rPr>
          <w:lang w:val="cy-GB"/>
        </w:rPr>
        <w:t xml:space="preserve">generally </w:t>
      </w:r>
      <w:r w:rsidRPr="00242F52">
        <w:rPr>
          <w:lang w:val="cy-GB"/>
        </w:rPr>
        <w:t>expressed as a percentage</w:t>
      </w:r>
      <w:r>
        <w:rPr>
          <w:lang w:val="cy-GB"/>
        </w:rPr>
        <w:t xml:space="preserve"> difference, with men’s pay representing 100%</w:t>
      </w:r>
      <w:r w:rsidRPr="00242F52">
        <w:rPr>
          <w:lang w:val="cy-GB"/>
        </w:rPr>
        <w:t xml:space="preserve">. </w:t>
      </w:r>
      <w:r>
        <w:rPr>
          <w:lang w:val="cy-GB"/>
        </w:rPr>
        <w:t xml:space="preserve">The gender pay gap is different from equal pay, a legal requirement </w:t>
      </w:r>
      <w:r w:rsidRPr="00242F52">
        <w:rPr>
          <w:lang w:val="cy-GB"/>
        </w:rPr>
        <w:t xml:space="preserve">that men and women in the same employment and performing equal work must receive </w:t>
      </w:r>
      <w:r>
        <w:rPr>
          <w:lang w:val="cy-GB"/>
        </w:rPr>
        <w:t>equal pay</w:t>
      </w:r>
      <w:r w:rsidRPr="00242F52">
        <w:rPr>
          <w:lang w:val="cy-GB"/>
        </w:rPr>
        <w:t>.</w:t>
      </w:r>
      <w:r>
        <w:rPr>
          <w:lang w:val="cy-GB"/>
        </w:rPr>
        <w:t xml:space="preserve"> Unequal pay may contribute to an organisation’s gender pay gap, but even if equal pay operates properly there may still be a pay gap. This often reflects men and women’s different outcomes in relation to their education and careers, particularly the opportunities they may or may not have to reach senior roles.  </w:t>
      </w:r>
    </w:p>
    <w:p w:rsidR="00F467DD" w:rsidRDefault="00F467DD" w:rsidP="00A13D1B">
      <w:pPr>
        <w:pStyle w:val="Parabeforeanother"/>
      </w:pPr>
      <w:r>
        <w:t xml:space="preserve">The latest figures (ONS, 2016a) for the gender pay gap for all employees (full and part time) show a change from 19.2% in 2015 to 18.1% in 2016. The ONS figures highlight that, in 2016, the gender pay gap among the top 10% of earners (full-time employees) has remained largely consistent, fluctuating just below 20% (18.8% in 2016). However, for the bottom 10% of </w:t>
      </w:r>
      <w:r w:rsidRPr="00A13D1B">
        <w:t>earners</w:t>
      </w:r>
      <w:r>
        <w:t xml:space="preserve">, the gender pay gap has narrowed over the long term, to 4.9% (at the median) by April 2016, down from 6.5% in 2015. This large decrease is </w:t>
      </w:r>
      <w:r w:rsidRPr="00317EDB">
        <w:t xml:space="preserve">likely to be connected to the introduction of the </w:t>
      </w:r>
      <w:r>
        <w:t>N</w:t>
      </w:r>
      <w:r w:rsidRPr="00317EDB">
        <w:t>ational Living Wage</w:t>
      </w:r>
      <w:r>
        <w:t xml:space="preserve"> (ONS, 2016a). </w:t>
      </w:r>
    </w:p>
    <w:p w:rsidR="00F467DD" w:rsidRDefault="00F467DD" w:rsidP="00A13D1B">
      <w:pPr>
        <w:pStyle w:val="Parabeforeanother"/>
      </w:pPr>
      <w:r>
        <w:t xml:space="preserve">The gender pay gap for full-time </w:t>
      </w:r>
      <w:r w:rsidRPr="00A13D1B">
        <w:t>employees</w:t>
      </w:r>
      <w:r>
        <w:t xml:space="preserve"> in the private sector decreased from 17.4% in 2015 to 16.6% in 2016 – the lowest since the series began in 1997. The gender pay gap in the public sector has also decreased from 11.8% to 11.3% in the same period (ONS, 2016a).</w:t>
      </w:r>
      <w:r>
        <w:rPr>
          <w:rStyle w:val="FootnoteReference"/>
        </w:rPr>
        <w:footnoteReference w:id="3"/>
      </w:r>
    </w:p>
    <w:p w:rsidR="00F467DD" w:rsidRDefault="00F467DD" w:rsidP="00A13D1B">
      <w:pPr>
        <w:pStyle w:val="Parabeforeanother"/>
      </w:pPr>
      <w:r>
        <w:t xml:space="preserve">The gender pay gap is also shown to vary by occupation and reflects in particular the heavy concentration of female employment in </w:t>
      </w:r>
      <w:r w:rsidRPr="00A13D1B">
        <w:t>generally</w:t>
      </w:r>
      <w:r>
        <w:t xml:space="preserve"> low-paying sectors and occupational groupings. For full-time employees, the pay gap is in men’s favour for </w:t>
      </w:r>
      <w:r>
        <w:lastRenderedPageBreak/>
        <w:t xml:space="preserve">all the main occupational groups, ranging widely from 3.9% in sales and customer service, to 25.1% in the skilled trades occupations in 2016 (ONS, 2016a). </w:t>
      </w:r>
    </w:p>
    <w:p w:rsidR="00F467DD" w:rsidRDefault="00F467DD" w:rsidP="00A13D1B">
      <w:pPr>
        <w:pStyle w:val="Parabeforenewsection"/>
      </w:pPr>
      <w:r>
        <w:rPr>
          <w:lang w:val="en"/>
        </w:rPr>
        <w:t>The employment rate for women in June to August 2016 was 69.7%, higher than the same period in 2015</w:t>
      </w:r>
      <w:r>
        <w:rPr>
          <w:rStyle w:val="FootnoteReference"/>
          <w:lang w:val="en"/>
        </w:rPr>
        <w:footnoteReference w:id="4"/>
      </w:r>
      <w:r>
        <w:rPr>
          <w:lang w:val="en"/>
        </w:rPr>
        <w:t xml:space="preserve"> (ONS, 2016b). W</w:t>
      </w:r>
      <w:r>
        <w:t>omen are increasingly highly educated and aspire to hold more senior positions much more so than in the past</w:t>
      </w:r>
      <w:r w:rsidRPr="00F83A63">
        <w:t xml:space="preserve">. </w:t>
      </w:r>
      <w:r>
        <w:t>However, t</w:t>
      </w:r>
      <w:r w:rsidRPr="00F83A63">
        <w:t>op jobs continue to be held by men, with only one in four executive and senior management roles in FTSE 350 companies held by women</w:t>
      </w:r>
      <w:r>
        <w:t xml:space="preserve"> (EHRC, 2016b)</w:t>
      </w:r>
      <w:r w:rsidRPr="00F83A63">
        <w:t xml:space="preserve">. </w:t>
      </w:r>
      <w:r>
        <w:t>The EHRC’s statistical analysis</w:t>
      </w:r>
      <w:r w:rsidR="00984BFE">
        <w:t xml:space="preserve"> (Brynin, 2017)</w:t>
      </w:r>
      <w:r>
        <w:t xml:space="preserve"> points to the influence of </w:t>
      </w:r>
      <w:r w:rsidRPr="00F83A63">
        <w:t xml:space="preserve">different subject </w:t>
      </w:r>
      <w:r w:rsidR="007B3973">
        <w:t xml:space="preserve">(at school and in higher education) </w:t>
      </w:r>
      <w:r w:rsidRPr="00F83A63">
        <w:t>and work choices</w:t>
      </w:r>
      <w:r>
        <w:t>,</w:t>
      </w:r>
      <w:r w:rsidRPr="00F83A63">
        <w:t xml:space="preserve"> </w:t>
      </w:r>
      <w:r>
        <w:t xml:space="preserve">with occupational segregation a key factor. Women often </w:t>
      </w:r>
      <w:r w:rsidRPr="00F83A63">
        <w:t>take time out to have children and may work fe</w:t>
      </w:r>
      <w:r>
        <w:t xml:space="preserve">wer or flexible hours on return. This can </w:t>
      </w:r>
      <w:r w:rsidRPr="00F83A63">
        <w:t>affect their pay</w:t>
      </w:r>
      <w:r>
        <w:t xml:space="preserve"> and career progression. In addition, their choices may be constrained by inflexible workplace systems and practices. Unconscious </w:t>
      </w:r>
      <w:r w:rsidRPr="00F83A63">
        <w:t>bias and discrimination may undermine women at</w:t>
      </w:r>
      <w:r>
        <w:t xml:space="preserve"> many stages of their careers </w:t>
      </w:r>
      <w:r w:rsidRPr="00F83A63">
        <w:t>and limit access to quality, well-paid work.</w:t>
      </w:r>
    </w:p>
    <w:p w:rsidR="00F467DD" w:rsidRDefault="00F467DD" w:rsidP="00A13D1B">
      <w:pPr>
        <w:pStyle w:val="Title-sectionsorange"/>
      </w:pPr>
      <w:bookmarkStart w:id="18" w:name="_Toc474306842"/>
      <w:bookmarkStart w:id="19" w:name="_Toc490135087"/>
      <w:r w:rsidRPr="00A13D1B">
        <w:rPr>
          <w:color w:val="auto"/>
        </w:rPr>
        <w:t>2.2</w:t>
      </w:r>
      <w:r>
        <w:tab/>
      </w:r>
      <w:r w:rsidRPr="00B92B91">
        <w:t>Equality legislation and government policy</w:t>
      </w:r>
      <w:bookmarkEnd w:id="18"/>
      <w:bookmarkEnd w:id="19"/>
    </w:p>
    <w:p w:rsidR="00F467DD" w:rsidRPr="00017037" w:rsidRDefault="00F467DD" w:rsidP="00B05452">
      <w:pPr>
        <w:pStyle w:val="Title-subsections"/>
        <w:outlineLvl w:val="2"/>
      </w:pPr>
      <w:bookmarkStart w:id="20" w:name="_Toc474306843"/>
      <w:r>
        <w:t xml:space="preserve">2.2.1 </w:t>
      </w:r>
      <w:r w:rsidRPr="00017037">
        <w:t>Legislation</w:t>
      </w:r>
      <w:bookmarkEnd w:id="20"/>
      <w:r w:rsidRPr="00017037">
        <w:t xml:space="preserve"> </w:t>
      </w:r>
    </w:p>
    <w:p w:rsidR="00F467DD" w:rsidRPr="00BE4C2D" w:rsidRDefault="00F467DD" w:rsidP="00A13D1B">
      <w:pPr>
        <w:pStyle w:val="Parabeforeanother"/>
      </w:pPr>
      <w:r w:rsidRPr="00BE4C2D">
        <w:t xml:space="preserve">The </w:t>
      </w:r>
      <w:r w:rsidRPr="00BE4C2D">
        <w:rPr>
          <w:b/>
        </w:rPr>
        <w:t>Equality Act 2010 (</w:t>
      </w:r>
      <w:r>
        <w:rPr>
          <w:b/>
        </w:rPr>
        <w:t>‘</w:t>
      </w:r>
      <w:r w:rsidRPr="00BE4C2D">
        <w:rPr>
          <w:b/>
        </w:rPr>
        <w:t>the Act</w:t>
      </w:r>
      <w:r>
        <w:rPr>
          <w:b/>
        </w:rPr>
        <w:t>’</w:t>
      </w:r>
      <w:r w:rsidRPr="00BE4C2D">
        <w:rPr>
          <w:b/>
        </w:rPr>
        <w:t>)</w:t>
      </w:r>
      <w:r w:rsidRPr="00BE4C2D">
        <w:t xml:space="preserve"> legally protects people from being discriminated against because of age, disability, gender reassignment, marriage and civil partnership, pregnancy and maternity, race, religion or belief, sex, and sexual orientation.</w:t>
      </w:r>
      <w:r>
        <w:t xml:space="preserve"> </w:t>
      </w:r>
      <w:r w:rsidRPr="00BE4C2D">
        <w:t xml:space="preserve">Part of the protection against sex discrimination </w:t>
      </w:r>
      <w:r>
        <w:t xml:space="preserve">provided by </w:t>
      </w:r>
      <w:r w:rsidRPr="00BE4C2D">
        <w:t>the Act is a contractual right for women and men to have equal pay for equal work.</w:t>
      </w:r>
      <w:r>
        <w:t xml:space="preserve"> </w:t>
      </w:r>
      <w:r w:rsidRPr="00BE4C2D">
        <w:t xml:space="preserve">The Act entitles </w:t>
      </w:r>
      <w:r>
        <w:t xml:space="preserve">male and female </w:t>
      </w:r>
      <w:r w:rsidRPr="00BE4C2D">
        <w:t>employees to equality in their pay and other terms of employment</w:t>
      </w:r>
      <w:r>
        <w:t xml:space="preserve"> (such as bonuses, holiday entitlement, company cars, pensions contributions and any other benefits) if they are</w:t>
      </w:r>
      <w:r w:rsidRPr="00BE4C2D">
        <w:t xml:space="preserve"> doing equal work for the same employer</w:t>
      </w:r>
      <w:r>
        <w:t>.</w:t>
      </w:r>
      <w:r w:rsidRPr="00BE4C2D">
        <w:t xml:space="preserve"> </w:t>
      </w:r>
      <w:r>
        <w:t>T</w:t>
      </w:r>
      <w:r w:rsidRPr="00BE4C2D">
        <w:t>his is</w:t>
      </w:r>
      <w:r>
        <w:t xml:space="preserve"> known as ‘equality of terms’. </w:t>
      </w:r>
      <w:r w:rsidRPr="00BE4C2D">
        <w:t xml:space="preserve">It does so by providing that a sex equality clause is </w:t>
      </w:r>
      <w:r>
        <w:t>incorporated</w:t>
      </w:r>
      <w:r w:rsidRPr="00BE4C2D">
        <w:t xml:space="preserve"> into contracts of employment, ensuring that women’s contractual terms are no less favoura</w:t>
      </w:r>
      <w:r>
        <w:t xml:space="preserve">ble than men’s, and vice versa. </w:t>
      </w:r>
    </w:p>
    <w:p w:rsidR="00F467DD" w:rsidRPr="00BE4C2D" w:rsidRDefault="00F467DD" w:rsidP="00A13D1B">
      <w:pPr>
        <w:pStyle w:val="Parabeforeanother"/>
        <w:rPr>
          <w:b/>
        </w:rPr>
      </w:pPr>
      <w:r w:rsidRPr="00BE4C2D">
        <w:t xml:space="preserve">The </w:t>
      </w:r>
      <w:r>
        <w:t xml:space="preserve">Public Sector Equality Duty (PSED) </w:t>
      </w:r>
      <w:r w:rsidRPr="00BE4C2D">
        <w:rPr>
          <w:lang w:val="en" w:eastAsia="en-GB"/>
        </w:rPr>
        <w:t xml:space="preserve">was created under the Equality Act 2010. </w:t>
      </w:r>
      <w:r>
        <w:rPr>
          <w:lang w:val="en" w:eastAsia="en-GB"/>
        </w:rPr>
        <w:t>It</w:t>
      </w:r>
      <w:r w:rsidRPr="00BE4C2D">
        <w:rPr>
          <w:lang w:val="en" w:eastAsia="en-GB"/>
        </w:rPr>
        <w:t xml:space="preserve"> consists of a general equality duty, with three main aims (set out in section 149 of the Equality Act 2010)</w:t>
      </w:r>
      <w:r>
        <w:rPr>
          <w:lang w:val="en" w:eastAsia="en-GB"/>
        </w:rPr>
        <w:t>,</w:t>
      </w:r>
      <w:r w:rsidRPr="00BE4C2D">
        <w:rPr>
          <w:lang w:val="en" w:eastAsia="en-GB"/>
        </w:rPr>
        <w:t xml:space="preserve"> and specific duties. T</w:t>
      </w:r>
      <w:r w:rsidRPr="00BE4C2D">
        <w:t>he general duty applies to England, Scotland and Wales,</w:t>
      </w:r>
      <w:r>
        <w:t xml:space="preserve"> but</w:t>
      </w:r>
      <w:r w:rsidRPr="00BE4C2D">
        <w:t xml:space="preserve"> the specific duties are devolved to the Scottish Parliament </w:t>
      </w:r>
      <w:r w:rsidRPr="00BE4C2D">
        <w:lastRenderedPageBreak/>
        <w:t>and the Welsh Assembly</w:t>
      </w:r>
      <w:r>
        <w:t>,</w:t>
      </w:r>
      <w:r w:rsidRPr="00BE4C2D">
        <w:t xml:space="preserve"> resulting in different obligations on public bodies relating to equal pay. </w:t>
      </w:r>
    </w:p>
    <w:p w:rsidR="00F467DD" w:rsidRPr="00C242BC" w:rsidRDefault="00F467DD" w:rsidP="00A13D1B">
      <w:pPr>
        <w:pStyle w:val="Parabeforeanother"/>
      </w:pPr>
      <w:r w:rsidRPr="00C242BC">
        <w:t>In England there is no specific duty relating to equal pay</w:t>
      </w:r>
      <w:r>
        <w:t xml:space="preserve"> (although there is a general duty to eliminate unlawful discrimination, advance equality of opportunity and foster good relations)</w:t>
      </w:r>
      <w:r w:rsidRPr="00C242BC">
        <w:t xml:space="preserve">. </w:t>
      </w:r>
      <w:r>
        <w:t>However, the UK</w:t>
      </w:r>
      <w:r w:rsidRPr="00C242BC">
        <w:rPr>
          <w:lang w:val="en"/>
        </w:rPr>
        <w:t xml:space="preserve"> </w:t>
      </w:r>
      <w:r>
        <w:rPr>
          <w:lang w:val="en"/>
        </w:rPr>
        <w:t>G</w:t>
      </w:r>
      <w:r w:rsidRPr="00C242BC">
        <w:rPr>
          <w:lang w:val="en"/>
        </w:rPr>
        <w:t>overnment announced that it intends to introduce mandatory gender pay gap reporting for the public sector in England</w:t>
      </w:r>
      <w:r>
        <w:rPr>
          <w:lang w:val="en"/>
        </w:rPr>
        <w:t xml:space="preserve"> through</w:t>
      </w:r>
      <w:r>
        <w:rPr>
          <w:lang w:val="en-US"/>
        </w:rPr>
        <w:t xml:space="preserve"> separate legislation.</w:t>
      </w:r>
      <w:r>
        <w:rPr>
          <w:rStyle w:val="FootnoteReference"/>
          <w:lang w:val="en-US"/>
        </w:rPr>
        <w:footnoteReference w:id="5"/>
      </w:r>
      <w:r w:rsidRPr="00C242BC">
        <w:rPr>
          <w:lang w:val="en"/>
        </w:rPr>
        <w:t xml:space="preserve"> </w:t>
      </w:r>
    </w:p>
    <w:p w:rsidR="00F467DD" w:rsidRDefault="00F467DD" w:rsidP="00A13D1B">
      <w:pPr>
        <w:pStyle w:val="Parabeforeanother"/>
      </w:pPr>
      <w:r>
        <w:t xml:space="preserve">In Scotland, the specific duties require a listed authority to publish pay gap information every two years on the percentage difference, among its employees, between men and women’s average hourly pay (excluding overtime). A listed authority is also required to publish a </w:t>
      </w:r>
      <w:r w:rsidRPr="00A13D1B">
        <w:t>statement</w:t>
      </w:r>
      <w:r>
        <w:t xml:space="preserve"> on equal pay every four years. An equal pay statement has to include an authority’s equal pay policy together with details of both horizontal and vertical occupational segregation – i.e. the concentration of men and women in particular occupations and at particular grades. No publication is necessary if the authority has not had 20 (lowered in 2016 from 150) employees at any point since these regulations came into force or since publication was last due.</w:t>
      </w:r>
    </w:p>
    <w:p w:rsidR="00F467DD" w:rsidRDefault="00F467DD" w:rsidP="00A13D1B">
      <w:pPr>
        <w:pStyle w:val="Parabeforeanother"/>
      </w:pPr>
      <w:r>
        <w:t>The Commission conducted a review of compliance with the Scottish Specific Duties in 2013, which found that</w:t>
      </w:r>
      <w:r w:rsidR="008E1D1B">
        <w:t xml:space="preserve"> 95% of public authorities required to publish their gender pay gap did so. Similarly, 96% of public authorities required to publish an Equal Pay Statement did so</w:t>
      </w:r>
      <w:r>
        <w:t xml:space="preserve"> (EHRC Scotland, 2013). </w:t>
      </w:r>
    </w:p>
    <w:p w:rsidR="00F467DD" w:rsidRPr="008759F8" w:rsidRDefault="00F467DD" w:rsidP="00A13D1B">
      <w:pPr>
        <w:pStyle w:val="Parabeforenewsection"/>
      </w:pPr>
      <w:r w:rsidRPr="0081659E">
        <w:t>In Wales, public sector bodies are required to have ‘due regard to the need to have ‘equality objectives that address the causes of any differences between the pay of any employee who has a protected characteristic and an employee who does not, where either….the difference in pay is related to the employee's protected characteristic, or it appears to be reasonably likely…that the difference is related to the employee's protec</w:t>
      </w:r>
      <w:r w:rsidR="007B3973">
        <w:t xml:space="preserve">ted characteristic’ (EHRC, 2014, p. </w:t>
      </w:r>
      <w:r w:rsidRPr="0081659E">
        <w:t>95</w:t>
      </w:r>
      <w:r w:rsidRPr="008759F8">
        <w:t>)</w:t>
      </w:r>
      <w:r w:rsidRPr="00CD3E69">
        <w:t>.</w:t>
      </w:r>
      <w:r w:rsidRPr="00CD3E69">
        <w:rPr>
          <w:rStyle w:val="FootnoteReference"/>
        </w:rPr>
        <w:footnoteReference w:id="6"/>
      </w:r>
      <w:r w:rsidRPr="00CD3E69">
        <w:t xml:space="preserve"> </w:t>
      </w:r>
      <w:r>
        <w:t xml:space="preserve">The Commission monitored compliance with the duty and examined the higher education sector in Wales. They found that the Welsh Specific Duties have been helpful in getting </w:t>
      </w:r>
      <w:r>
        <w:lastRenderedPageBreak/>
        <w:t>university leaders to place a greater emphasis on equality issues Most universities reported some progress in narrowing gender pay differences, and are gathering and analysing payroll and human resources data to identify and understand the causes of the pay gap in their institution (EHRC Wales, 2014).</w:t>
      </w:r>
    </w:p>
    <w:p w:rsidR="00F467DD" w:rsidRPr="00914520" w:rsidRDefault="00F467DD" w:rsidP="00961E92">
      <w:pPr>
        <w:pStyle w:val="Title-sectionsorange"/>
        <w:rPr>
          <w:lang w:val="en"/>
        </w:rPr>
      </w:pPr>
      <w:bookmarkStart w:id="21" w:name="_Toc474306844"/>
      <w:bookmarkStart w:id="22" w:name="_Toc490135088"/>
      <w:r w:rsidRPr="00961E92">
        <w:rPr>
          <w:color w:val="auto"/>
          <w:lang w:val="en"/>
        </w:rPr>
        <w:t>2.3</w:t>
      </w:r>
      <w:r w:rsidR="00961E92">
        <w:rPr>
          <w:color w:val="auto"/>
          <w:lang w:val="en"/>
        </w:rPr>
        <w:tab/>
      </w:r>
      <w:r w:rsidRPr="00914520">
        <w:rPr>
          <w:lang w:val="en"/>
        </w:rPr>
        <w:t>Interventions to address the gender pay gap</w:t>
      </w:r>
      <w:bookmarkEnd w:id="21"/>
      <w:bookmarkEnd w:id="22"/>
      <w:r w:rsidRPr="00914520">
        <w:rPr>
          <w:lang w:val="en"/>
        </w:rPr>
        <w:t xml:space="preserve"> </w:t>
      </w:r>
    </w:p>
    <w:p w:rsidR="00F467DD" w:rsidRDefault="00F467DD" w:rsidP="00B05452">
      <w:pPr>
        <w:pStyle w:val="Title-subsections"/>
        <w:outlineLvl w:val="2"/>
      </w:pPr>
      <w:r>
        <w:t>2.3.1 Equal pay audits</w:t>
      </w:r>
    </w:p>
    <w:p w:rsidR="00F467DD" w:rsidRPr="00914520" w:rsidRDefault="00F467DD" w:rsidP="00961E92">
      <w:pPr>
        <w:pStyle w:val="Parabeforeanother"/>
      </w:pPr>
      <w:r w:rsidRPr="00D34C08">
        <w:t>An equal pay audit is a process of comparing the pay of employees carrying out equal work in</w:t>
      </w:r>
      <w:r>
        <w:t xml:space="preserve"> </w:t>
      </w:r>
      <w:r w:rsidRPr="00D34C08">
        <w:t>order to highlight any differences, considering the reason(s) for those differences, making</w:t>
      </w:r>
      <w:r>
        <w:t xml:space="preserve"> action </w:t>
      </w:r>
      <w:r w:rsidRPr="00D34C08">
        <w:t>plans to rectify any</w:t>
      </w:r>
      <w:r>
        <w:t xml:space="preserve"> that are</w:t>
      </w:r>
      <w:r w:rsidRPr="00D34C08">
        <w:t xml:space="preserve"> unlawful</w:t>
      </w:r>
      <w:r>
        <w:t>,</w:t>
      </w:r>
      <w:r w:rsidRPr="00D34C08">
        <w:t xml:space="preserve"> </w:t>
      </w:r>
      <w:r>
        <w:t xml:space="preserve"> and then monitoring progress and improvements.</w:t>
      </w:r>
    </w:p>
    <w:p w:rsidR="00F467DD" w:rsidRDefault="00F467DD" w:rsidP="00961E92">
      <w:pPr>
        <w:pStyle w:val="Parabeforeanother"/>
      </w:pPr>
      <w:r w:rsidRPr="00D34C08">
        <w:t>The Equality Act 2010 (Equal Pay Audits) Regulations</w:t>
      </w:r>
      <w:r>
        <w:t xml:space="preserve"> 2014</w:t>
      </w:r>
      <w:r>
        <w:rPr>
          <w:rStyle w:val="FootnoteReference"/>
        </w:rPr>
        <w:footnoteReference w:id="7"/>
      </w:r>
      <w:r>
        <w:t xml:space="preserve"> stipulate that when an organisation loses an equal pay case it must carry out an equal pay audit. While it is too soon to assess the effectiveness of this legislation, qualitative research by Incomes Data Services (IDS, 2012)</w:t>
      </w:r>
      <w:r>
        <w:rPr>
          <w:rStyle w:val="FootnoteReference"/>
        </w:rPr>
        <w:footnoteReference w:id="8"/>
      </w:r>
      <w:r>
        <w:t xml:space="preserve"> allows us to consider the potential effectiveness of placing audit requirements on an employer who is found to have discriminated on pay. As part of the </w:t>
      </w:r>
      <w:r w:rsidRPr="00961E92">
        <w:t>Modern</w:t>
      </w:r>
      <w:r w:rsidRPr="00D34C08">
        <w:t xml:space="preserve"> Workplaces </w:t>
      </w:r>
      <w:r>
        <w:t>C</w:t>
      </w:r>
      <w:r w:rsidRPr="00D34C08">
        <w:t>onsultation</w:t>
      </w:r>
      <w:r>
        <w:t>,</w:t>
      </w:r>
      <w:r>
        <w:rPr>
          <w:rStyle w:val="FootnoteReference"/>
        </w:rPr>
        <w:footnoteReference w:id="9"/>
      </w:r>
      <w:r w:rsidRPr="00D34C08">
        <w:t xml:space="preserve"> IDS examined</w:t>
      </w:r>
      <w:r>
        <w:t xml:space="preserve"> a sample of equal pay claims brought to tribunals. The purpose was to analyse whether or not an equal pay audit order might have been useful to ensure pay inequality did not continue. The research found that in several cases there was good reason to think that an equal pay audit would have helped mitigate the risk of future discrimination (IDS, 2012). </w:t>
      </w:r>
    </w:p>
    <w:p w:rsidR="00F467DD" w:rsidRDefault="00F467DD" w:rsidP="00961E92">
      <w:pPr>
        <w:pStyle w:val="Parabeforenewsubsection"/>
      </w:pPr>
      <w:r>
        <w:t>A public sector workshop participant expressed the view that they are more common in the public sector than the private sector, but even then, the quality of equal pay audits is typically poor.</w:t>
      </w:r>
    </w:p>
    <w:p w:rsidR="00F467DD" w:rsidRDefault="00F467DD" w:rsidP="00B05452">
      <w:pPr>
        <w:pStyle w:val="Title-subsections"/>
        <w:outlineLvl w:val="2"/>
      </w:pPr>
      <w:r>
        <w:t xml:space="preserve">2.3.2 </w:t>
      </w:r>
      <w:r w:rsidRPr="00FF604F">
        <w:t>Reporting and publishing employers’ gender pay gaps</w:t>
      </w:r>
    </w:p>
    <w:p w:rsidR="00F467DD" w:rsidRDefault="00F467DD" w:rsidP="00961E92">
      <w:pPr>
        <w:pStyle w:val="Parabeforeanother"/>
      </w:pPr>
      <w:r>
        <w:t xml:space="preserve">In its Equality Strategy 2010, the Government committed to developing a voluntary approach to gender pay gap reporting in the private and voluntary sectors. The prevalence of pay gap reporting was </w:t>
      </w:r>
      <w:r w:rsidRPr="00961E92">
        <w:t>reviewed</w:t>
      </w:r>
      <w:r>
        <w:t xml:space="preserve"> annually to assess whether the voluntary approach was successful and to determine if ‘alternatives are required, </w:t>
      </w:r>
      <w:r>
        <w:lastRenderedPageBreak/>
        <w:t xml:space="preserve">including using a mandatory approach through Section 78 of the Equality Act 2010’ (GEO, 2011; EHRC, 2015b; GEO, 2012a). </w:t>
      </w:r>
    </w:p>
    <w:p w:rsidR="00F467DD" w:rsidRDefault="00F467DD" w:rsidP="00961E92">
      <w:pPr>
        <w:pStyle w:val="Parabeforeanother"/>
      </w:pPr>
      <w:r>
        <w:t xml:space="preserve">IFF Research (2015) examined the extent to which private and non-profit employers with 150 or more staff collect, report and </w:t>
      </w:r>
      <w:r w:rsidRPr="00961E92">
        <w:t>publish</w:t>
      </w:r>
      <w:r>
        <w:t xml:space="preserve"> data on pay by gender.</w:t>
      </w:r>
      <w:r>
        <w:rPr>
          <w:rStyle w:val="FootnoteReference"/>
        </w:rPr>
        <w:footnoteReference w:id="10"/>
      </w:r>
      <w:r>
        <w:t xml:space="preserve"> Dewson </w:t>
      </w:r>
      <w:r w:rsidRPr="006E4262">
        <w:rPr>
          <w:i/>
        </w:rPr>
        <w:t>et al</w:t>
      </w:r>
      <w:r>
        <w:t>. (2011)</w:t>
      </w:r>
      <w:r>
        <w:rPr>
          <w:rStyle w:val="FootnoteReference"/>
        </w:rPr>
        <w:footnoteReference w:id="11"/>
      </w:r>
      <w:r>
        <w:t xml:space="preserve"> investigated the same with employers of 150–249 staff, and Adams </w:t>
      </w:r>
      <w:r w:rsidRPr="006E4262">
        <w:rPr>
          <w:i/>
        </w:rPr>
        <w:t>et al</w:t>
      </w:r>
      <w:r>
        <w:t>. (2010)</w:t>
      </w:r>
      <w:r>
        <w:rPr>
          <w:rStyle w:val="FootnoteReference"/>
        </w:rPr>
        <w:footnoteReference w:id="12"/>
      </w:r>
      <w:r>
        <w:t xml:space="preserve"> undertook similar research with employers of 250 staff or more. </w:t>
      </w:r>
    </w:p>
    <w:p w:rsidR="00F467DD" w:rsidRDefault="00F467DD" w:rsidP="00961E92">
      <w:pPr>
        <w:pStyle w:val="Parabeforeanother"/>
      </w:pPr>
      <w:r>
        <w:t xml:space="preserve">Interestingly, all three studies found that the most common reason for not conducting a gender pay gap review was not a lack of data, </w:t>
      </w:r>
      <w:r w:rsidRPr="00961E92">
        <w:t>knowledge</w:t>
      </w:r>
      <w:r>
        <w:t xml:space="preserve"> or skills to undertake an analysis, but that organisations thought they already provided equal pay (89% for those with 150 or more staff; 80% for medium-sized employers; and 85% for large employers). This research suggests that employers seem to confuse equal pay with the gender pay gap. Workshop participants confirmed that many employers did not understand the difference between the gender pay gap and equal pay. In addition, Dewson </w:t>
      </w:r>
      <w:r w:rsidRPr="006E4262">
        <w:rPr>
          <w:i/>
        </w:rPr>
        <w:t>et al</w:t>
      </w:r>
      <w:r>
        <w:t xml:space="preserve">. (2011, p. 36) note that ‘overcoming the belief among employers that pay reviews and equality reporting are not relevant to their organisation, because they believe they already provide equal pay, presents a real challenge’. </w:t>
      </w:r>
    </w:p>
    <w:p w:rsidR="00F467DD" w:rsidRDefault="00F467DD" w:rsidP="00961E92">
      <w:pPr>
        <w:pStyle w:val="Parabeforeanother"/>
      </w:pPr>
      <w:r>
        <w:t>The Government’s ‘</w:t>
      </w:r>
      <w:r w:rsidRPr="006E4262">
        <w:t>Think, Act, Report</w:t>
      </w:r>
      <w:r>
        <w:t xml:space="preserve">’ initiative, launched in 2011, supported the voluntary approach. A business-led initiative, it set out a voluntary framework for gender pay gap reporting and aimed to drive a </w:t>
      </w:r>
      <w:r w:rsidRPr="00961E92">
        <w:t>cultural</w:t>
      </w:r>
      <w:r>
        <w:t xml:space="preserve"> change towards greater transparency and sharing best practice. Over 290 companies have signed up to the campaign, covering over 2.5 million employees. The IFF Research report</w:t>
      </w:r>
      <w:r w:rsidRPr="002D5765">
        <w:t xml:space="preserve"> </w:t>
      </w:r>
      <w:r>
        <w:t>‘</w:t>
      </w:r>
      <w:r w:rsidRPr="006427B8">
        <w:t>Company Reporting: Gender Pay Data</w:t>
      </w:r>
      <w:r>
        <w:t>’ (2015) highlighted that 16% of employers with 150 or more staff had heard of the ‘</w:t>
      </w:r>
      <w:r w:rsidRPr="006E4262">
        <w:t>Think, Act, Report</w:t>
      </w:r>
      <w:r>
        <w:t>’</w:t>
      </w:r>
      <w:r w:rsidRPr="00FC0A21">
        <w:t xml:space="preserve"> </w:t>
      </w:r>
      <w:r>
        <w:t>initiative and the proportions generally increased with the size of the organisation.</w:t>
      </w:r>
      <w:r>
        <w:rPr>
          <w:rStyle w:val="FootnoteReference"/>
        </w:rPr>
        <w:footnoteReference w:id="13"/>
      </w:r>
      <w:r>
        <w:t xml:space="preserve"> However, overall only 5% of the employers who had heard of the initiative had signed up to it</w:t>
      </w:r>
      <w:r w:rsidR="00C708D6">
        <w:t xml:space="preserve">, </w:t>
      </w:r>
      <w:r w:rsidR="008E1D1B" w:rsidRPr="008E1D1B">
        <w:t xml:space="preserve">equivalent to 1% of all employers covered in the survey. The two main reasons for not signing up to it among those that knew of it were believing that they had no issue, with all staff treated equally and it simply not being a priority for the organisation </w:t>
      </w:r>
      <w:r>
        <w:t xml:space="preserve">(IFF Research, 2015). </w:t>
      </w:r>
    </w:p>
    <w:p w:rsidR="00F467DD" w:rsidRDefault="00F467DD" w:rsidP="00961E92">
      <w:pPr>
        <w:pStyle w:val="Parabeforenewsubsection"/>
      </w:pPr>
      <w:r>
        <w:lastRenderedPageBreak/>
        <w:t xml:space="preserve">In summary, voluntary approaches to gender pay gap reporting have met with limited success. Employers often have misguided assumptions about the equality of their pay structures, and fail to prioritise the issue. This means they take no voluntary action to reduce the gender pay gap. </w:t>
      </w:r>
    </w:p>
    <w:p w:rsidR="00F467DD" w:rsidRDefault="007B3973" w:rsidP="00B05452">
      <w:pPr>
        <w:pStyle w:val="Title-subsections"/>
        <w:outlineLvl w:val="2"/>
      </w:pPr>
      <w:r>
        <w:t xml:space="preserve">2.3.3 </w:t>
      </w:r>
      <w:r w:rsidR="00F467DD" w:rsidRPr="005F4C5C">
        <w:t xml:space="preserve">The </w:t>
      </w:r>
      <w:r w:rsidR="00F467DD">
        <w:t xml:space="preserve">move </w:t>
      </w:r>
      <w:r w:rsidR="00F467DD" w:rsidRPr="005F4C5C">
        <w:t>to compulsory gender pay gap reporting</w:t>
      </w:r>
    </w:p>
    <w:p w:rsidR="00F467DD" w:rsidRDefault="00F467DD" w:rsidP="00961E92">
      <w:pPr>
        <w:pStyle w:val="Parabeforeanother"/>
      </w:pPr>
      <w:r>
        <w:t xml:space="preserve">In the light of slow progress in relation to voluntary gender pay reporting, in 2015 the UK Government decided to enact Section 78 of the Equality Act 2010. This requires private sector organisations with 250 or more employees to publish information on their gender pay gap. </w:t>
      </w:r>
    </w:p>
    <w:p w:rsidR="00F467DD" w:rsidRDefault="00F467DD" w:rsidP="00961E92">
      <w:pPr>
        <w:pStyle w:val="Parabeforeanother"/>
      </w:pPr>
      <w:r>
        <w:t>The Fawcett Society reported that 59% of employees would still be unaffected by this requirement. Of the 4.7 million businesses in the UK, only about 6,700 have more than 250 employees (cited in Gow and Middlemiss, 2011). The Fawcett Society recommends that reporting requirement should be extended to organisations with over 50 employees (Ibid.).</w:t>
      </w:r>
    </w:p>
    <w:p w:rsidR="00F467DD" w:rsidRDefault="00F467DD" w:rsidP="00961E92">
      <w:pPr>
        <w:pStyle w:val="Parabeforebulletss"/>
      </w:pPr>
      <w:r>
        <w:t xml:space="preserve">This would mirror the approach </w:t>
      </w:r>
      <w:r w:rsidRPr="00961E92">
        <w:t>taken</w:t>
      </w:r>
      <w:r>
        <w:t xml:space="preserve"> by some other European countries: </w:t>
      </w:r>
    </w:p>
    <w:p w:rsidR="00F467DD" w:rsidRDefault="00F467DD" w:rsidP="00F467DD">
      <w:pPr>
        <w:pStyle w:val="Bullet-followedbyothers"/>
        <w:ind w:left="720" w:hanging="360"/>
      </w:pPr>
      <w:r>
        <w:t>In</w:t>
      </w:r>
      <w:r w:rsidRPr="00B92B91">
        <w:rPr>
          <w:b/>
        </w:rPr>
        <w:t xml:space="preserve"> Sweden</w:t>
      </w:r>
      <w:r>
        <w:t>, businesses with 25 or more employees must conduct an equality action plan every three years, which has contributed to a gender pay gap of only 3% for women working in male-dominated occupations (Gow and Middlemiss, 2011; GEO, 2015).</w:t>
      </w:r>
    </w:p>
    <w:p w:rsidR="00F467DD" w:rsidRDefault="00F467DD" w:rsidP="00F467DD">
      <w:pPr>
        <w:pStyle w:val="Bullet-followedbyothers"/>
        <w:ind w:left="720" w:hanging="360"/>
      </w:pPr>
      <w:r>
        <w:t xml:space="preserve">In </w:t>
      </w:r>
      <w:r w:rsidRPr="00B92B91">
        <w:rPr>
          <w:b/>
        </w:rPr>
        <w:t>Austria</w:t>
      </w:r>
      <w:r>
        <w:t>,</w:t>
      </w:r>
      <w:r w:rsidRPr="00B92B91">
        <w:rPr>
          <w:b/>
        </w:rPr>
        <w:t xml:space="preserve"> </w:t>
      </w:r>
      <w:r>
        <w:t>companies with more than 150 employees must provide gender pay gap information every other year to employees, detailing the pay gap for each occupational group or pay grade (GEO, 2015).</w:t>
      </w:r>
    </w:p>
    <w:p w:rsidR="00F467DD" w:rsidRDefault="00F467DD" w:rsidP="00F467DD">
      <w:pPr>
        <w:pStyle w:val="Bullet-followedbyothers"/>
        <w:ind w:left="720" w:hanging="360"/>
      </w:pPr>
      <w:r>
        <w:t xml:space="preserve">In </w:t>
      </w:r>
      <w:r w:rsidRPr="00B92B91">
        <w:rPr>
          <w:b/>
        </w:rPr>
        <w:t>Italy</w:t>
      </w:r>
      <w:r w:rsidRPr="00DE6355">
        <w:t>,</w:t>
      </w:r>
      <w:r w:rsidRPr="00B92B91">
        <w:rPr>
          <w:b/>
        </w:rPr>
        <w:t xml:space="preserve"> </w:t>
      </w:r>
      <w:r>
        <w:t xml:space="preserve">companies with more than 100 employees are obliged to report on and prevent gender pay gaps (Eurofound, 2010, p. 15). </w:t>
      </w:r>
    </w:p>
    <w:p w:rsidR="00F467DD" w:rsidRDefault="00F467DD" w:rsidP="00F467DD">
      <w:pPr>
        <w:pStyle w:val="Bullet-followedbyothers"/>
        <w:ind w:left="720" w:hanging="360"/>
      </w:pPr>
      <w:r>
        <w:t xml:space="preserve">In </w:t>
      </w:r>
      <w:r w:rsidRPr="00DA610D">
        <w:rPr>
          <w:b/>
        </w:rPr>
        <w:t>Finland</w:t>
      </w:r>
      <w:r>
        <w:t xml:space="preserve">, the Equality Act requires employers with more than 30 staff to produce an equality plan to share with employees every other year. This plan must include a pay survey, reporting the gender pay gap within job roles and pay grades (GEO, 2015). </w:t>
      </w:r>
    </w:p>
    <w:p w:rsidR="00F467DD" w:rsidRPr="00EE6CF8" w:rsidRDefault="00F467DD" w:rsidP="00F467DD">
      <w:pPr>
        <w:pStyle w:val="Bullet-followedbyothers"/>
        <w:ind w:left="720" w:hanging="360"/>
      </w:pPr>
      <w:r w:rsidRPr="00EE6CF8">
        <w:t xml:space="preserve">In </w:t>
      </w:r>
      <w:r w:rsidRPr="00DA610D">
        <w:rPr>
          <w:b/>
        </w:rPr>
        <w:t>Denmark</w:t>
      </w:r>
      <w:r w:rsidRPr="00EE6CF8">
        <w:t xml:space="preserve">, companies </w:t>
      </w:r>
      <w:r>
        <w:t xml:space="preserve">are required </w:t>
      </w:r>
      <w:r w:rsidRPr="00EE6CF8">
        <w:t>to conduct a gender audit to compare salaries of women and men and publish annual statistics, which must then be the subject of discussion between management and employees</w:t>
      </w:r>
      <w:r>
        <w:t xml:space="preserve">. </w:t>
      </w:r>
      <w:r w:rsidRPr="00EE6CF8">
        <w:t>This duty was recently extended to all companies with 10 or more employees, where at least three are men and three are women</w:t>
      </w:r>
      <w:r>
        <w:t xml:space="preserve"> (Eversheds, 2015). </w:t>
      </w:r>
    </w:p>
    <w:p w:rsidR="00F467DD" w:rsidRDefault="00F467DD" w:rsidP="00F467DD">
      <w:pPr>
        <w:pStyle w:val="Bullet-followedbyothers"/>
        <w:ind w:left="720" w:hanging="360"/>
        <w:rPr>
          <w:rFonts w:cs="Arial"/>
        </w:rPr>
      </w:pPr>
      <w:r w:rsidRPr="00EE6CF8">
        <w:t xml:space="preserve">In </w:t>
      </w:r>
      <w:r w:rsidRPr="0036164D">
        <w:rPr>
          <w:b/>
        </w:rPr>
        <w:t>France</w:t>
      </w:r>
      <w:r w:rsidRPr="00EE6CF8">
        <w:t xml:space="preserve">, companies with more than 50 employees are required to negotiate a collective agreement with measures aimed at closing the gender pay gap, or </w:t>
      </w:r>
      <w:r w:rsidRPr="00EE6CF8">
        <w:lastRenderedPageBreak/>
        <w:t>draw up an annual gender pay action plan based on an analysis of inequality in their workplaces</w:t>
      </w:r>
      <w:r w:rsidRPr="0036164D" w:rsidDel="00E24437">
        <w:rPr>
          <w:rStyle w:val="EndnoteReference"/>
          <w:rFonts w:cs="Arial"/>
          <w:sz w:val="28"/>
          <w:szCs w:val="28"/>
        </w:rPr>
        <w:t xml:space="preserve"> </w:t>
      </w:r>
      <w:r w:rsidRPr="005F4C5C">
        <w:rPr>
          <w:rFonts w:cs="Arial"/>
        </w:rPr>
        <w:t>(Eversheds, 2015)</w:t>
      </w:r>
      <w:r>
        <w:rPr>
          <w:rFonts w:cs="Arial"/>
        </w:rPr>
        <w:t>.</w:t>
      </w:r>
    </w:p>
    <w:p w:rsidR="00F467DD" w:rsidRDefault="00F467DD" w:rsidP="00F467DD">
      <w:pPr>
        <w:pStyle w:val="Bullet-followedbyothers"/>
        <w:numPr>
          <w:ilvl w:val="0"/>
          <w:numId w:val="0"/>
        </w:numPr>
        <w:rPr>
          <w:b/>
        </w:rPr>
      </w:pPr>
    </w:p>
    <w:p w:rsidR="00F467DD" w:rsidRPr="00E71073" w:rsidRDefault="007B3973" w:rsidP="00B05452">
      <w:pPr>
        <w:pStyle w:val="Title-subsections"/>
        <w:outlineLvl w:val="2"/>
      </w:pPr>
      <w:r>
        <w:t xml:space="preserve">2.3.4 </w:t>
      </w:r>
      <w:r w:rsidR="00F467DD" w:rsidRPr="00E71073">
        <w:t>The value of gender pay gap reporting: the view from the workshops</w:t>
      </w:r>
    </w:p>
    <w:p w:rsidR="00F467DD" w:rsidRDefault="00F467DD" w:rsidP="00961E92">
      <w:pPr>
        <w:pStyle w:val="Parabeforeanother"/>
      </w:pPr>
      <w:r>
        <w:t xml:space="preserve">Some participants recognised that the voluntary approach to gender pay gap reporting had not worked and felt that making this requirement compulsory would ensure that it was not lost amid other competing priorities. </w:t>
      </w:r>
    </w:p>
    <w:p w:rsidR="00F467DD" w:rsidRDefault="00F467DD" w:rsidP="00F467DD">
      <w:pPr>
        <w:pStyle w:val="Parabeforeanother"/>
      </w:pPr>
      <w:r>
        <w:t>Some participants recognised the importance of employers being given the opportunity to provide a narrative to explain a pay gap. This ensures there is no misinterpretation of a pay gap as evidence of unequal pay. If a gender pay gap is found, employers ought to set out the causes and actions they intend to take to tackle systemic issues. The participants felt that employers have no excuse not to investigate the pay gap and tackle any gaps they find.</w:t>
      </w:r>
    </w:p>
    <w:p w:rsidR="00F467DD" w:rsidRDefault="00F467DD" w:rsidP="00F467DD">
      <w:pPr>
        <w:pStyle w:val="Parabeforeanother"/>
      </w:pPr>
      <w:r>
        <w:t xml:space="preserve">Some workshop participants worried that gender pay gap reporting could be onerous and smaller organisations may not have the resources required. Others disagreed, claiming that reporting was not a particularly heavy administrative or financial burden with modern financial and IT systems. Most of the organisations that participated in the workshop had pay data they could analyse and the process could be much simpler in small organisations than in multinational corporations. </w:t>
      </w:r>
    </w:p>
    <w:p w:rsidR="00F467DD" w:rsidRDefault="00F467DD" w:rsidP="00F467DD">
      <w:pPr>
        <w:pStyle w:val="Parabeforeanother"/>
      </w:pPr>
      <w:r>
        <w:t xml:space="preserve">There was consensus that the bigger issues for employers are: first, what the data actually shows, beyond a single pay gap figure; second, what action the employers take to tackle causes; and, third, the financial costs of closing pay gaps, if this is feasible. Some employers were worried about encouraging equal pay claims if the pay gap was disclosed and found to be caused by unequal pay. </w:t>
      </w:r>
    </w:p>
    <w:p w:rsidR="00F467DD" w:rsidRDefault="00F467DD" w:rsidP="00961E92">
      <w:pPr>
        <w:pStyle w:val="Parabeforenewsection"/>
      </w:pPr>
      <w:r>
        <w:t xml:space="preserve">There was a call for a standardised method for reporting the gender pay gap, assistance for employers to interpret pay data and guidance for taking action where necessary. </w:t>
      </w:r>
    </w:p>
    <w:p w:rsidR="00CD23F8" w:rsidRDefault="00CD23F8">
      <w:pPr>
        <w:spacing w:after="200" w:line="276" w:lineRule="auto"/>
        <w:rPr>
          <w:rFonts w:eastAsia="Times New Roman"/>
          <w:b/>
          <w:bCs/>
          <w:color w:val="ED8B00"/>
          <w:sz w:val="28"/>
          <w:szCs w:val="26"/>
        </w:rPr>
      </w:pPr>
      <w:bookmarkStart w:id="23" w:name="_Toc474306845"/>
      <w:r>
        <w:br w:type="page"/>
      </w:r>
    </w:p>
    <w:p w:rsidR="00F467DD" w:rsidRDefault="007B3973" w:rsidP="00961E92">
      <w:pPr>
        <w:pStyle w:val="Title-sectionsorange"/>
      </w:pPr>
      <w:bookmarkStart w:id="24" w:name="_Toc490135089"/>
      <w:r w:rsidRPr="007B3973">
        <w:rPr>
          <w:color w:val="auto"/>
        </w:rPr>
        <w:lastRenderedPageBreak/>
        <w:t xml:space="preserve">2.4 </w:t>
      </w:r>
      <w:r w:rsidR="00B05452">
        <w:t>Other national policy i</w:t>
      </w:r>
      <w:r w:rsidR="00F467DD">
        <w:t>nterventions</w:t>
      </w:r>
      <w:bookmarkEnd w:id="23"/>
      <w:bookmarkEnd w:id="24"/>
      <w:r w:rsidR="00F467DD">
        <w:t xml:space="preserve"> </w:t>
      </w:r>
    </w:p>
    <w:p w:rsidR="00F467DD" w:rsidRDefault="007B3973" w:rsidP="00B05452">
      <w:pPr>
        <w:pStyle w:val="Title-subsections"/>
        <w:outlineLvl w:val="2"/>
      </w:pPr>
      <w:r>
        <w:t xml:space="preserve">2.4.1 </w:t>
      </w:r>
      <w:r w:rsidR="00F467DD">
        <w:t>The National Minimum Wage</w:t>
      </w:r>
    </w:p>
    <w:p w:rsidR="00F467DD" w:rsidRDefault="00F467DD" w:rsidP="00F467DD">
      <w:pPr>
        <w:pStyle w:val="Parabeforeanother"/>
      </w:pPr>
      <w:r>
        <w:t xml:space="preserve">The National Minimum Wage (NMW) was introduced in 1999 and evidence from the Low Pay Commission shows that it has benefited low paid workers (Phimister and Theodossiou, 2009).  </w:t>
      </w:r>
    </w:p>
    <w:p w:rsidR="00F467DD" w:rsidRDefault="00F467DD" w:rsidP="00F467DD">
      <w:pPr>
        <w:pStyle w:val="Parabeforeanother"/>
      </w:pPr>
      <w:r>
        <w:t xml:space="preserve">Literature suggests that the NMW would go some way to closing the gender pay gap at the bottom of earnings distribution and improve the position of part-time women (Azmat, 2015; Manning and Petrongolo, 2008). Recent evidence from the Low Pay Commission (LPC) states that the gender pay gap has fallen since the introduction of the NMW and has almost halved at the lowest decile from 12.9% in 1998 to 5.5% in 2014 (LPC, 2015). Metcalf (2008) suggested that it </w:t>
      </w:r>
      <w:r w:rsidRPr="005F4C5C">
        <w:t>is</w:t>
      </w:r>
      <w:r w:rsidRPr="00FC0A21">
        <w:rPr>
          <w:i/>
        </w:rPr>
        <w:t xml:space="preserve"> </w:t>
      </w:r>
      <w:r>
        <w:t>‘</w:t>
      </w:r>
      <w:r w:rsidRPr="00783190">
        <w:t>plausible that the NMW made a significant contribution to this compression of the pay gap</w:t>
      </w:r>
      <w:r>
        <w:t>’</w:t>
      </w:r>
      <w:r w:rsidRPr="00783190">
        <w:t xml:space="preserve"> (2008</w:t>
      </w:r>
      <w:r>
        <w:t xml:space="preserve">, p. </w:t>
      </w:r>
      <w:r w:rsidRPr="00783190">
        <w:t>492).</w:t>
      </w:r>
    </w:p>
    <w:p w:rsidR="00F467DD" w:rsidRDefault="00F467DD" w:rsidP="00F467DD">
      <w:pPr>
        <w:pStyle w:val="Parabeforeanother"/>
      </w:pPr>
      <w:r>
        <w:t>The analysis used by Manning and Petrongolo shows that the introduction of the NMW had a small effect on the part-time pay gap of about 1 percentage point. This is attributed to the NMW being set at a ‘modest level’; Manning and Petrongolo argue that ‘</w:t>
      </w:r>
      <w:r w:rsidRPr="00783190">
        <w:t>unless the NMW is set at a considerably higher level it is not going to have a large effect on the part-time pay penalty</w:t>
      </w:r>
      <w:r>
        <w:t>’</w:t>
      </w:r>
      <w:r w:rsidRPr="00783190">
        <w:t xml:space="preserve"> (Manning and Petrongolo, 2008</w:t>
      </w:r>
      <w:r>
        <w:t xml:space="preserve">, p. </w:t>
      </w:r>
      <w:r w:rsidRPr="00783190">
        <w:t xml:space="preserve">45). </w:t>
      </w:r>
    </w:p>
    <w:p w:rsidR="00F467DD" w:rsidRDefault="00F467DD" w:rsidP="00F467DD">
      <w:pPr>
        <w:pStyle w:val="Parabeforeanother"/>
      </w:pPr>
      <w:r>
        <w:t>The UK Government’s new National Living Wage became law on 1 April 2016. Workers aged 25 or over and not in the first year of an apprenticeship are entitled to at least £7.20 per hour.</w:t>
      </w:r>
      <w:r>
        <w:rPr>
          <w:rStyle w:val="FootnoteReference"/>
        </w:rPr>
        <w:footnoteReference w:id="14"/>
      </w:r>
    </w:p>
    <w:p w:rsidR="00F467DD" w:rsidRDefault="00F467DD" w:rsidP="00F467DD">
      <w:pPr>
        <w:pStyle w:val="Parabeforeanother"/>
      </w:pPr>
      <w:r>
        <w:t xml:space="preserve">The </w:t>
      </w:r>
      <w:r w:rsidRPr="00783190">
        <w:t xml:space="preserve">National Living Wage </w:t>
      </w:r>
      <w:r>
        <w:t>should</w:t>
      </w:r>
      <w:r w:rsidRPr="00783190">
        <w:t xml:space="preserve"> not to be confused with the Living Wage</w:t>
      </w:r>
      <w:r>
        <w:t>. The Living Wage is a voluntary benchmark which is set annually by the Living Wage Foundation</w:t>
      </w:r>
      <w:r>
        <w:rPr>
          <w:rStyle w:val="FootnoteReference"/>
        </w:rPr>
        <w:footnoteReference w:id="15"/>
      </w:r>
      <w:r>
        <w:t>, based on independent research into the UK’s Minimum Income Standard. The Living Wage tends to be higher than the National Minimum Wage. In 2016, the Living Wage was £8.25 an hour for the UK and £9.40 for London.</w:t>
      </w:r>
      <w:r w:rsidRPr="008F7EF3">
        <w:t> </w:t>
      </w:r>
    </w:p>
    <w:p w:rsidR="00F467DD" w:rsidRDefault="00F467DD" w:rsidP="00F467DD">
      <w:pPr>
        <w:pStyle w:val="Parabeforenewsubsection"/>
      </w:pPr>
      <w:r>
        <w:t xml:space="preserve">In 2014, the Fawcett Society examined whether raising the National Minimum Wage to the level of the Living Wage would make a difference to the gender pay gap. While this would raise the pay of almost 1 million more women than men (2.96 million women and 2.03 million men), the gender pay gap would only reduce by 0.8% (Fawcett Society, 2014). This is because most women who are affected work part-time (1.8 million); whereas most men who are affected work full-time (1.36 million). The very small reduction also reflects the lack of women in senior posts at the higher </w:t>
      </w:r>
      <w:r>
        <w:lastRenderedPageBreak/>
        <w:t xml:space="preserve">end of the earnings distribution. The Fawcett Society argue that, while interventions tackling low pay can be effective, these need to be supported by interventions to increase the quality of part-time work and remove barriers to career progression for part-time workers (Fawcett Society, 2014). </w:t>
      </w:r>
    </w:p>
    <w:p w:rsidR="00F467DD" w:rsidRDefault="007B3973" w:rsidP="00B05452">
      <w:pPr>
        <w:pStyle w:val="Title-subsections"/>
        <w:outlineLvl w:val="2"/>
      </w:pPr>
      <w:r>
        <w:t xml:space="preserve">2.4.2 </w:t>
      </w:r>
      <w:r w:rsidR="00F467DD">
        <w:t xml:space="preserve">Shared Parental Leave </w:t>
      </w:r>
    </w:p>
    <w:p w:rsidR="00F467DD" w:rsidRDefault="00F467DD" w:rsidP="00F467DD">
      <w:pPr>
        <w:pStyle w:val="Parabeforeanother"/>
      </w:pPr>
      <w:r>
        <w:t>Shared parental leave aims to improve women’s position in the labour market by supporting a more equal sharing of childcare responsibilities. Parents may be eligible for Shared Parental Leave and Statutory Shared Parental Pay for children born or adopted after 5 April 2015.</w:t>
      </w:r>
      <w:r>
        <w:rPr>
          <w:rStyle w:val="FootnoteReference"/>
        </w:rPr>
        <w:footnoteReference w:id="16"/>
      </w:r>
      <w:r>
        <w:t xml:space="preserve"> The policy intention of Shared Parental Leave is that both parents retain a strong link to the labour market and remain in work. A more even sharing of part-time work would most likely have a positive impact on the gender pay gap (BIS, 2013). </w:t>
      </w:r>
    </w:p>
    <w:p w:rsidR="00F467DD" w:rsidRDefault="00F467DD" w:rsidP="00F467DD">
      <w:pPr>
        <w:pStyle w:val="Parabeforeanother"/>
      </w:pPr>
      <w:r>
        <w:t>In the impact assessment of the policy, the expected take-up of shared leave was low, ranging from 2% to 8% (BIS, 2013). Research by the National Childbirth Trust, based on interviews with over 2,000 men and women, found that almost a third of the men interviewed (30%) would not consider sharing parental leave with their partner</w:t>
      </w:r>
      <w:r w:rsidR="00EB4E8D">
        <w:t>. Of those</w:t>
      </w:r>
      <w:r>
        <w:t>, almost half (45%) stat</w:t>
      </w:r>
      <w:r w:rsidR="00EB4E8D">
        <w:t>ed</w:t>
      </w:r>
      <w:r>
        <w:t xml:space="preserve"> that the poor remuneration of parental leave was the key barrier (NCT, 2014). </w:t>
      </w:r>
    </w:p>
    <w:p w:rsidR="00F467DD" w:rsidRDefault="00F467DD" w:rsidP="00F467DD">
      <w:pPr>
        <w:pStyle w:val="Parabeforeanother"/>
      </w:pPr>
      <w:r>
        <w:t xml:space="preserve">Furthermore, recent practitioner research by legal firm Hogan Lovells and My Family Care (an organisation providing family-friendly work solutions), based on a small sample of 70 organisations, found that only three of these companies had seen a significant uptake of shared parental leave since it came into effect in April 2015. This small survey found the biggest barrier to take-up was a cultural perception that extended time off would be career limiting for a father </w:t>
      </w:r>
      <w:r w:rsidRPr="003B2D48">
        <w:t xml:space="preserve">(cited in </w:t>
      </w:r>
      <w:r>
        <w:t xml:space="preserve">Sanghani, 2015) </w:t>
      </w:r>
    </w:p>
    <w:p w:rsidR="00F467DD" w:rsidRDefault="00F467DD" w:rsidP="00F467DD">
      <w:pPr>
        <w:pStyle w:val="Parabeforeanother"/>
      </w:pPr>
      <w:r w:rsidRPr="003B2D48">
        <w:t xml:space="preserve">While many employers provide maternity </w:t>
      </w:r>
      <w:r>
        <w:t xml:space="preserve">pay at a higher rate than </w:t>
      </w:r>
      <w:r w:rsidRPr="003B2D48">
        <w:t xml:space="preserve">the statutory requirement, few have enhanced </w:t>
      </w:r>
      <w:r>
        <w:t xml:space="preserve">provisions for paternity leave. This means there is normally a </w:t>
      </w:r>
      <w:r w:rsidRPr="003B2D48">
        <w:t xml:space="preserve">financial penalty </w:t>
      </w:r>
      <w:r>
        <w:t xml:space="preserve">if couples wish to </w:t>
      </w:r>
      <w:r w:rsidRPr="003B2D48">
        <w:t>shar</w:t>
      </w:r>
      <w:r>
        <w:t>e</w:t>
      </w:r>
      <w:r w:rsidRPr="003B2D48">
        <w:t xml:space="preserve"> childcare more equally. Drawing some broad conclusions from these indicative studies, it </w:t>
      </w:r>
      <w:r>
        <w:t xml:space="preserve">can be </w:t>
      </w:r>
      <w:r w:rsidRPr="003B2D48">
        <w:t>suggested that new legislation in supporting women’s return to the labour market with associated career and pay benefits may be limited</w:t>
      </w:r>
      <w:r>
        <w:t xml:space="preserve"> in </w:t>
      </w:r>
      <w:r w:rsidRPr="003B2D48">
        <w:t>effectiveness.</w:t>
      </w:r>
    </w:p>
    <w:p w:rsidR="00F467DD" w:rsidRDefault="00F467DD" w:rsidP="00961E92">
      <w:pPr>
        <w:pStyle w:val="Parabeforebulletss"/>
      </w:pPr>
      <w:r>
        <w:lastRenderedPageBreak/>
        <w:t xml:space="preserve">Plantenga and Remery (2005) found that there are four main determinants of take-up rates of parental leave by fathers, based on an analysis of 30 European and Canadian parental leave arrangements. These four determinants are: </w:t>
      </w:r>
    </w:p>
    <w:p w:rsidR="00F467DD" w:rsidRDefault="00F467DD" w:rsidP="00961E92">
      <w:pPr>
        <w:pStyle w:val="Bullet-followedbyothers"/>
      </w:pPr>
      <w:r>
        <w:t>the payment level</w:t>
      </w:r>
    </w:p>
    <w:p w:rsidR="00F467DD" w:rsidRDefault="00F467DD" w:rsidP="00961E92">
      <w:pPr>
        <w:pStyle w:val="Bullet-followedbyothers"/>
      </w:pPr>
      <w:r>
        <w:t>organisational and social culture</w:t>
      </w:r>
    </w:p>
    <w:p w:rsidR="00F467DD" w:rsidRDefault="00F467DD" w:rsidP="00961E92">
      <w:pPr>
        <w:pStyle w:val="Bullet-followedbyothers"/>
      </w:pPr>
      <w:r>
        <w:t xml:space="preserve">programme flexibility </w:t>
      </w:r>
    </w:p>
    <w:p w:rsidR="00F467DD" w:rsidRDefault="00F467DD" w:rsidP="00961E92">
      <w:pPr>
        <w:pStyle w:val="Bullet-lastingroup"/>
      </w:pPr>
      <w:r>
        <w:t>labour market (in terms of employer attitudes and perceived career advancement) (cited in BIS, 2013)</w:t>
      </w:r>
    </w:p>
    <w:p w:rsidR="00F467DD" w:rsidRDefault="00F467DD" w:rsidP="00961E92">
      <w:pPr>
        <w:pStyle w:val="Parabeforetextbox"/>
      </w:pPr>
      <w:r>
        <w:t>The research</w:t>
      </w:r>
      <w:r w:rsidRPr="003B2D48">
        <w:t xml:space="preserve"> found that</w:t>
      </w:r>
      <w:r>
        <w:t>:</w:t>
      </w:r>
      <w:r w:rsidRPr="003B2D48">
        <w:t xml:space="preserve"> </w:t>
      </w:r>
    </w:p>
    <w:p w:rsidR="00F467DD" w:rsidRPr="003B2D48" w:rsidRDefault="00F467DD" w:rsidP="00F467DD">
      <w:pPr>
        <w:pStyle w:val="Parabeforeanother"/>
        <w:ind w:left="567"/>
      </w:pPr>
      <w:r w:rsidRPr="003B2D48">
        <w:t>the highest take-up rates are apparent in the countries that have a high rate of income replacement, shown to be the Scandinavian countries of Sweden, Norway, Iceland and Denmark. Conversely those countries with low rates of income replacement tend to show much lower take-up rates by fathers where generous amount</w:t>
      </w:r>
      <w:r>
        <w:t>s</w:t>
      </w:r>
      <w:r w:rsidRPr="003B2D48">
        <w:t xml:space="preserve"> of leave are available</w:t>
      </w:r>
      <w:r>
        <w:t>.</w:t>
      </w:r>
      <w:r w:rsidRPr="003B2D48">
        <w:t xml:space="preserve"> (BIS, 2013</w:t>
      </w:r>
      <w:r>
        <w:t xml:space="preserve">, p. </w:t>
      </w:r>
      <w:r w:rsidRPr="003B2D48">
        <w:t>29)</w:t>
      </w:r>
    </w:p>
    <w:p w:rsidR="00F467DD" w:rsidRDefault="00F467DD" w:rsidP="00F467DD">
      <w:pPr>
        <w:pStyle w:val="Parabeforeanother"/>
      </w:pPr>
      <w:r>
        <w:t>Some international evidence finds positive change occurring in the provision of statutory leave for fathers</w:t>
      </w:r>
      <w:r w:rsidRPr="002F1FCE">
        <w:t xml:space="preserve">. </w:t>
      </w:r>
      <w:r w:rsidRPr="00EA4F88">
        <w:t>In countries where a specific entitlement is provided for fathers, the proportion of fathers taking leave has increased</w:t>
      </w:r>
      <w:r>
        <w:rPr>
          <w:sz w:val="22"/>
          <w:szCs w:val="22"/>
        </w:rPr>
        <w:t xml:space="preserve">. </w:t>
      </w:r>
      <w:r>
        <w:t xml:space="preserve">For example, in Norway, the proportion of men taking some parental leave increased from 4% to 89% since the introduction of a one-month father’s leave quota (Moss, 2012, cited in BIS, 2013). In Sweden, the proportion of leave days taken by men doubled between 1997 and 2004 with the introduction and extension of a father’s leave quota (Ibid.). In Quebec, the proportion of fathers taking paternity/parental leave increased from 56% (in 2006) to 82% (in 2008) following reform providing a longer period of time off for fathers and higher wage replacement (Ibid.). This compares with 12% of fathers taking leave across the rest of Canada where there is no paid paternity leave and a poorer parental leave offering (Ibid.). </w:t>
      </w:r>
    </w:p>
    <w:p w:rsidR="00F467DD" w:rsidRDefault="00F467DD" w:rsidP="00F467DD">
      <w:pPr>
        <w:pStyle w:val="Parabeforeanother"/>
      </w:pPr>
      <w:r>
        <w:t xml:space="preserve">These evaluations point to a positive impact on father’s take-up of parental leave policies that include ring-fenced, add-on leave with higher wage replacement. </w:t>
      </w:r>
    </w:p>
    <w:p w:rsidR="00F467DD" w:rsidRDefault="00F467DD" w:rsidP="00A44B90">
      <w:pPr>
        <w:pStyle w:val="Parabeforenewsubsection"/>
      </w:pPr>
      <w:r>
        <w:t>In 2007, the German federal government introduced a monthly parental leave allowance in an attempt to reduce the adverse financial effects of pregnancy and maternity on women, and to increase take-up of parental leave for men (</w:t>
      </w:r>
      <w:r w:rsidRPr="001C48AD">
        <w:rPr>
          <w:i/>
        </w:rPr>
        <w:t>Elterngeld</w:t>
      </w:r>
      <w:r>
        <w:t xml:space="preserve">; literally, </w:t>
      </w:r>
      <w:r w:rsidRPr="00A80CC7">
        <w:t>‘</w:t>
      </w:r>
      <w:r w:rsidRPr="005F4C5C">
        <w:rPr>
          <w:iCs/>
          <w:lang w:val="en"/>
        </w:rPr>
        <w:t>parents</w:t>
      </w:r>
      <w:r>
        <w:rPr>
          <w:iCs/>
          <w:lang w:val="en"/>
        </w:rPr>
        <w:t>’</w:t>
      </w:r>
      <w:r w:rsidRPr="005F4C5C">
        <w:rPr>
          <w:iCs/>
          <w:lang w:val="en"/>
        </w:rPr>
        <w:t xml:space="preserve"> money’</w:t>
      </w:r>
      <w:r>
        <w:t xml:space="preserve">) (Eurofound, 2010). As a result, the proportion of fathers taking leave rose from 3.3% in 2006 to 20% in 2010 (Moss, 2012, cited in BIS, </w:t>
      </w:r>
      <w:r>
        <w:lastRenderedPageBreak/>
        <w:t>2013). An evaluation</w:t>
      </w:r>
      <w:r w:rsidRPr="008C1714">
        <w:t xml:space="preserve"> </w:t>
      </w:r>
      <w:r>
        <w:t>of the Elterngeld conducted in 2008</w:t>
      </w:r>
      <w:r>
        <w:rPr>
          <w:rStyle w:val="FootnoteReference"/>
        </w:rPr>
        <w:footnoteReference w:id="17"/>
      </w:r>
      <w:r>
        <w:t xml:space="preserve"> also found that, one and a half years after the birth of their baby, mothers who received parental allowance were also more likely to be employed than before the Elterngeld was introduced (43% versus 38%) (Vogler-Ludwig and Giernalczyk, 2009). It can be concluded that this parental allowance is facilitating re-entry into the labour market for mothers and also encouraging fathers to provide a greater share of childcare (Ibid.). </w:t>
      </w:r>
    </w:p>
    <w:p w:rsidR="00CD23F8" w:rsidRDefault="007B3973" w:rsidP="00B05452">
      <w:pPr>
        <w:pStyle w:val="Parabeforeanother"/>
        <w:outlineLvl w:val="2"/>
        <w:rPr>
          <w:b/>
        </w:rPr>
      </w:pPr>
      <w:r>
        <w:rPr>
          <w:b/>
        </w:rPr>
        <w:t xml:space="preserve">2.4.3 </w:t>
      </w:r>
      <w:r w:rsidR="00F467DD" w:rsidRPr="00A92B5E">
        <w:rPr>
          <w:b/>
        </w:rPr>
        <w:t>The right to request flexible working</w:t>
      </w:r>
    </w:p>
    <w:p w:rsidR="00F467DD" w:rsidRDefault="00F467DD" w:rsidP="00A44B90">
      <w:pPr>
        <w:pStyle w:val="Parabeforeanother"/>
      </w:pPr>
      <w:r>
        <w:t xml:space="preserve">The UK </w:t>
      </w:r>
      <w:r w:rsidRPr="00A92B5E">
        <w:t>Government extended the right to request</w:t>
      </w:r>
      <w:r>
        <w:t xml:space="preserve"> flexible working</w:t>
      </w:r>
      <w:r w:rsidRPr="00A92B5E">
        <w:t xml:space="preserve"> to all employees with </w:t>
      </w:r>
      <w:r>
        <w:t xml:space="preserve">at least </w:t>
      </w:r>
      <w:r w:rsidRPr="00A92B5E">
        <w:t>26 weeks</w:t>
      </w:r>
      <w:r>
        <w:t>’</w:t>
      </w:r>
      <w:r w:rsidRPr="00A92B5E">
        <w:t xml:space="preserve"> service from June 2014. </w:t>
      </w:r>
      <w:r>
        <w:t xml:space="preserve">Under the British Household Panel Survey (BHPS), flexible working hours include part-time working or temporary work, with measures of flexible weekly working hours including flexi-time; annualised hours contracts; term-time working; job sharing; a nine-day fortnight; a four-and-a-half day week; or a zero-hours contract (Woods, 2011). </w:t>
      </w:r>
    </w:p>
    <w:p w:rsidR="00F467DD" w:rsidRDefault="00F467DD" w:rsidP="00A44B90">
      <w:pPr>
        <w:pStyle w:val="Parabeforeanother"/>
      </w:pPr>
      <w:r w:rsidRPr="00CD7B30">
        <w:t xml:space="preserve">Before the right to request was extended to all employees, </w:t>
      </w:r>
      <w:r w:rsidRPr="00637B96">
        <w:t xml:space="preserve">CIPD research </w:t>
      </w:r>
      <w:r w:rsidRPr="00CD7B30">
        <w:t>found that</w:t>
      </w:r>
      <w:r>
        <w:t>,</w:t>
      </w:r>
      <w:r w:rsidRPr="00CD7B30">
        <w:t xml:space="preserve"> out of 218,100 employment tribunal claims in 2010/11, </w:t>
      </w:r>
      <w:r>
        <w:t>only</w:t>
      </w:r>
      <w:r w:rsidRPr="00CD7B30">
        <w:t xml:space="preserve"> 277 alleged that employers had failed to observe flexible working regulations</w:t>
      </w:r>
      <w:r>
        <w:t>;</w:t>
      </w:r>
      <w:r w:rsidRPr="00CD7B30">
        <w:t xml:space="preserve"> </w:t>
      </w:r>
      <w:r>
        <w:t xml:space="preserve">most </w:t>
      </w:r>
      <w:r w:rsidRPr="00CD7B30">
        <w:t>of these claims were successfully conciliated or settled out of court</w:t>
      </w:r>
      <w:r>
        <w:t>;</w:t>
      </w:r>
      <w:r w:rsidRPr="00CD7B30">
        <w:t xml:space="preserve"> and, of the 4</w:t>
      </w:r>
      <w:r>
        <w:t>8 that reached tribunal, just 10</w:t>
      </w:r>
      <w:r w:rsidRPr="00CD7B30">
        <w:t xml:space="preserve"> were successful (cited by Woods, 2011). These figures may suggest that the right to request is an effective intervention which has not placed undue burdens on employers (at least before the recent extension of the regulations) (Ibid.). </w:t>
      </w:r>
    </w:p>
    <w:p w:rsidR="00F467DD" w:rsidRPr="00CD7B30" w:rsidRDefault="00F467DD" w:rsidP="00A44B90">
      <w:pPr>
        <w:pStyle w:val="Parabeforeanother"/>
      </w:pPr>
      <w:r>
        <w:t xml:space="preserve">BIS and EHRC research on </w:t>
      </w:r>
      <w:r w:rsidRPr="00CD7B30">
        <w:t>pregnancy and maternity</w:t>
      </w:r>
      <w:r>
        <w:t>-related discrimination</w:t>
      </w:r>
      <w:r w:rsidRPr="00CD7B30">
        <w:t xml:space="preserve"> </w:t>
      </w:r>
      <w:r>
        <w:t xml:space="preserve">(BIS, EHRC, </w:t>
      </w:r>
      <w:r w:rsidRPr="00CD7B30">
        <w:t>2015</w:t>
      </w:r>
      <w:r>
        <w:t xml:space="preserve">) found that </w:t>
      </w:r>
      <w:r w:rsidRPr="00CD7B30">
        <w:t xml:space="preserve">88% </w:t>
      </w:r>
      <w:r>
        <w:t xml:space="preserve">of </w:t>
      </w:r>
      <w:r w:rsidRPr="00CD7B30">
        <w:t>employers felt that the right to request flexible working was reasonable</w:t>
      </w:r>
      <w:r>
        <w:t>,</w:t>
      </w:r>
      <w:r w:rsidRPr="00CD7B30">
        <w:t xml:space="preserve"> </w:t>
      </w:r>
      <w:r>
        <w:t>and</w:t>
      </w:r>
      <w:r w:rsidRPr="00CD7B30">
        <w:t xml:space="preserve"> 6%</w:t>
      </w:r>
      <w:r>
        <w:t xml:space="preserve"> of employers</w:t>
      </w:r>
      <w:r w:rsidRPr="00CD7B30">
        <w:t xml:space="preserve"> </w:t>
      </w:r>
      <w:r>
        <w:t xml:space="preserve">felt that the right </w:t>
      </w:r>
      <w:r w:rsidRPr="00CD7B30">
        <w:t>was unreasonable. Two thirds (67%) of employers found the right to request flexible working easy to facilitate. Mothers reported that most flexible working requests were granted,</w:t>
      </w:r>
      <w:r>
        <w:t xml:space="preserve"> but</w:t>
      </w:r>
      <w:r w:rsidRPr="00CD7B30">
        <w:t xml:space="preserve"> half</w:t>
      </w:r>
      <w:r>
        <w:t xml:space="preserve"> (51%)</w:t>
      </w:r>
      <w:r w:rsidRPr="00CD7B30">
        <w:t xml:space="preserve"> of </w:t>
      </w:r>
      <w:r>
        <w:t>those</w:t>
      </w:r>
      <w:r w:rsidRPr="00CD7B30">
        <w:t xml:space="preserve"> </w:t>
      </w:r>
      <w:r>
        <w:t>whose</w:t>
      </w:r>
      <w:r w:rsidRPr="00CD7B30">
        <w:t xml:space="preserve"> request for flexible working </w:t>
      </w:r>
      <w:r>
        <w:t xml:space="preserve">had been </w:t>
      </w:r>
      <w:r w:rsidRPr="00CD7B30">
        <w:t xml:space="preserve">approved said they experienced negative consequences. </w:t>
      </w:r>
    </w:p>
    <w:p w:rsidR="00F467DD" w:rsidRDefault="00F467DD" w:rsidP="00A44B90">
      <w:pPr>
        <w:pStyle w:val="Parabeforeanother"/>
      </w:pPr>
      <w:r>
        <w:t>A research</w:t>
      </w:r>
      <w:r w:rsidRPr="001F0472">
        <w:t xml:space="preserve"> </w:t>
      </w:r>
      <w:r>
        <w:t xml:space="preserve">project entitled ‘Women Adding Value to the Economy’ (WAVE) reported that part-time work is </w:t>
      </w:r>
      <w:r w:rsidRPr="00A44B90">
        <w:t>associated</w:t>
      </w:r>
      <w:r>
        <w:t xml:space="preserve"> with ‘feminised occupations’ that are often characterised by low pay (Parken </w:t>
      </w:r>
      <w:r w:rsidRPr="00854C19">
        <w:rPr>
          <w:i/>
        </w:rPr>
        <w:t>et al</w:t>
      </w:r>
      <w:r>
        <w:t xml:space="preserve">., 2014). Conversely, Olsen </w:t>
      </w:r>
      <w:r w:rsidRPr="00854C19">
        <w:rPr>
          <w:i/>
        </w:rPr>
        <w:t>et al</w:t>
      </w:r>
      <w:r>
        <w:t>. (2010)</w:t>
      </w:r>
      <w:r>
        <w:rPr>
          <w:rStyle w:val="FootnoteReference"/>
        </w:rPr>
        <w:footnoteReference w:id="18"/>
      </w:r>
      <w:r>
        <w:t xml:space="preserve"> found that working flexibility did not contribute to lower wages, with term-time </w:t>
      </w:r>
      <w:r>
        <w:lastRenderedPageBreak/>
        <w:t xml:space="preserve">working being the only form of working-hours flexibility that had a significant effect on wages; the effect on pay was small but statistically significant (a reduction of 7%). These findings highlight the need to further consider the pattern of caring responsibilities to enable women with young children to stay in work (Olsen </w:t>
      </w:r>
      <w:r w:rsidRPr="00854C19">
        <w:rPr>
          <w:i/>
        </w:rPr>
        <w:t>et al</w:t>
      </w:r>
      <w:r>
        <w:t xml:space="preserve">., 2010). </w:t>
      </w:r>
    </w:p>
    <w:p w:rsidR="00F467DD" w:rsidRPr="00BC14AE" w:rsidRDefault="00F467DD" w:rsidP="00A44B90">
      <w:pPr>
        <w:pStyle w:val="Parabeforenewsection"/>
      </w:pPr>
      <w:r w:rsidRPr="005F4C5C">
        <w:t xml:space="preserve">Finding ways to open up flexible and part-time work opportunities across all jobs, including those at senior management levels, is recognised as an important strategy </w:t>
      </w:r>
      <w:r>
        <w:t>to retain women</w:t>
      </w:r>
      <w:r w:rsidRPr="005F4C5C">
        <w:t>, sup</w:t>
      </w:r>
      <w:r>
        <w:t>port career progression, improve rewards and ultimately reduce</w:t>
      </w:r>
      <w:r w:rsidRPr="005F4C5C">
        <w:t xml:space="preserve"> the gender pay gap. Workshop participants </w:t>
      </w:r>
      <w:r>
        <w:t>also highlighted</w:t>
      </w:r>
      <w:r w:rsidRPr="005F4C5C">
        <w:t xml:space="preserve"> the importance of flexible working for improving women’s employment opportunities and pay. </w:t>
      </w:r>
    </w:p>
    <w:p w:rsidR="00F467DD" w:rsidRPr="000F2A1C" w:rsidRDefault="007B3973" w:rsidP="00A44B90">
      <w:pPr>
        <w:pStyle w:val="Title-sectionsorange"/>
      </w:pPr>
      <w:bookmarkStart w:id="25" w:name="_Toc474306846"/>
      <w:bookmarkStart w:id="26" w:name="_Toc490135090"/>
      <w:r>
        <w:rPr>
          <w:color w:val="auto"/>
        </w:rPr>
        <w:t>2.5</w:t>
      </w:r>
      <w:r w:rsidR="00F467DD" w:rsidRPr="000F2A1C">
        <w:tab/>
        <w:t>Employer interventions</w:t>
      </w:r>
      <w:bookmarkEnd w:id="25"/>
      <w:bookmarkEnd w:id="26"/>
    </w:p>
    <w:p w:rsidR="00F467DD" w:rsidRDefault="00F467DD" w:rsidP="00F467DD">
      <w:pPr>
        <w:pStyle w:val="Parabeforenewsubsection"/>
      </w:pPr>
      <w:r>
        <w:t xml:space="preserve">In the remainder of this section, employer-led initiatives are discussed drawing on findings from the literature review and workshops. </w:t>
      </w:r>
    </w:p>
    <w:p w:rsidR="00F467DD" w:rsidRDefault="007B3973" w:rsidP="00B05452">
      <w:pPr>
        <w:pStyle w:val="Title-subsections"/>
        <w:outlineLvl w:val="2"/>
      </w:pPr>
      <w:r>
        <w:t xml:space="preserve">2.5.1 </w:t>
      </w:r>
      <w:r w:rsidR="00F467DD">
        <w:t xml:space="preserve">Improving representation of women and tackling bias in recruitment processes and starting salaries </w:t>
      </w:r>
    </w:p>
    <w:p w:rsidR="00F467DD" w:rsidRDefault="00F467DD" w:rsidP="00F467DD">
      <w:pPr>
        <w:pStyle w:val="Parabeforeanother"/>
      </w:pPr>
      <w:r>
        <w:t>Women Adding Value to the Economy (WAVE) research</w:t>
      </w:r>
      <w:r>
        <w:rPr>
          <w:rStyle w:val="FootnoteReference"/>
        </w:rPr>
        <w:footnoteReference w:id="19"/>
      </w:r>
      <w:r>
        <w:t xml:space="preserve"> found that, even where employers operate best practice in pay systems and job </w:t>
      </w:r>
      <w:r w:rsidRPr="000F2A1C">
        <w:t>evaluation</w:t>
      </w:r>
      <w:r>
        <w:t>,</w:t>
      </w:r>
      <w:r w:rsidRPr="000F2A1C">
        <w:t xml:space="preserve"> </w:t>
      </w:r>
      <w:r>
        <w:t>‘</w:t>
      </w:r>
      <w:r w:rsidRPr="000F2A1C">
        <w:t>the gender segregation in society and economy can be pulled into and reproduced within employment structures within organisations</w:t>
      </w:r>
      <w:r>
        <w:t>’ (Parken, 2015, p. 9).</w:t>
      </w:r>
    </w:p>
    <w:p w:rsidR="00F467DD" w:rsidRDefault="00F467DD" w:rsidP="00F467DD">
      <w:pPr>
        <w:pStyle w:val="Parabeforeanother"/>
      </w:pPr>
      <w:r>
        <w:t>The WAVE programme identified that the uneven distribution of jobs between men and women is key to the ‘maintenance of gender disparities’ (Parken, 2015, p. 9); in some occupations and industries, gender bias against women limits those short-listed for interview, and has an impact on recruitment decisions (Menino, 2013), which contributes to the gender pay gap. This suggests that multi-stakeholder and multiple-initiative interventions such as WAVE may have an important role to play in tackling pay gaps.</w:t>
      </w:r>
    </w:p>
    <w:p w:rsidR="00F467DD" w:rsidRPr="000F2A1C" w:rsidRDefault="00F467DD" w:rsidP="00A44B90">
      <w:pPr>
        <w:pStyle w:val="Parabeforeanother"/>
        <w:rPr>
          <w:lang w:eastAsia="en-GB"/>
        </w:rPr>
      </w:pPr>
      <w:r>
        <w:rPr>
          <w:lang w:eastAsia="en-GB"/>
        </w:rPr>
        <w:t xml:space="preserve">A study examining recruitment processes, including decisions made about starting salaries (Isaac </w:t>
      </w:r>
      <w:r w:rsidRPr="00B24709">
        <w:rPr>
          <w:i/>
          <w:lang w:eastAsia="en-GB"/>
        </w:rPr>
        <w:t>et al</w:t>
      </w:r>
      <w:r>
        <w:rPr>
          <w:lang w:eastAsia="en-GB"/>
        </w:rPr>
        <w:t xml:space="preserve">., 2009), found </w:t>
      </w:r>
      <w:r w:rsidRPr="00F83A63">
        <w:rPr>
          <w:lang w:eastAsia="en-GB"/>
        </w:rPr>
        <w:t xml:space="preserve">negative bias against women </w:t>
      </w:r>
      <w:r>
        <w:rPr>
          <w:lang w:eastAsia="en-GB"/>
        </w:rPr>
        <w:t>interviewed for</w:t>
      </w:r>
      <w:r w:rsidRPr="00F83A63">
        <w:rPr>
          <w:lang w:eastAsia="en-GB"/>
        </w:rPr>
        <w:t xml:space="preserve"> </w:t>
      </w:r>
      <w:r w:rsidRPr="00F83A63">
        <w:rPr>
          <w:lang w:eastAsia="en-GB"/>
        </w:rPr>
        <w:lastRenderedPageBreak/>
        <w:t>positions traditionally or predominantly held by men</w:t>
      </w:r>
      <w:r>
        <w:rPr>
          <w:lang w:eastAsia="en-GB"/>
        </w:rPr>
        <w:t>. Fewer</w:t>
      </w:r>
      <w:r w:rsidRPr="00F83A63">
        <w:rPr>
          <w:lang w:eastAsia="en-GB"/>
        </w:rPr>
        <w:t xml:space="preserve"> women</w:t>
      </w:r>
      <w:r>
        <w:rPr>
          <w:lang w:eastAsia="en-GB"/>
        </w:rPr>
        <w:t xml:space="preserve"> were</w:t>
      </w:r>
      <w:r w:rsidRPr="00F83A63">
        <w:rPr>
          <w:lang w:eastAsia="en-GB"/>
        </w:rPr>
        <w:t xml:space="preserve"> granted inte</w:t>
      </w:r>
      <w:r>
        <w:rPr>
          <w:lang w:eastAsia="en-GB"/>
        </w:rPr>
        <w:t>r</w:t>
      </w:r>
      <w:r w:rsidRPr="00F83A63">
        <w:rPr>
          <w:lang w:eastAsia="en-GB"/>
        </w:rPr>
        <w:t>views</w:t>
      </w:r>
      <w:r>
        <w:rPr>
          <w:lang w:eastAsia="en-GB"/>
        </w:rPr>
        <w:t xml:space="preserve"> </w:t>
      </w:r>
      <w:r w:rsidRPr="00F83A63">
        <w:rPr>
          <w:lang w:eastAsia="en-GB"/>
        </w:rPr>
        <w:t xml:space="preserve">or recommended for </w:t>
      </w:r>
      <w:r>
        <w:rPr>
          <w:lang w:eastAsia="en-GB"/>
        </w:rPr>
        <w:t xml:space="preserve">recruitment, and women were </w:t>
      </w:r>
      <w:r>
        <w:t xml:space="preserve">consistently assigned </w:t>
      </w:r>
      <w:r w:rsidRPr="008909C2">
        <w:t>lower salaries</w:t>
      </w:r>
      <w:r>
        <w:t>.</w:t>
      </w:r>
      <w:r w:rsidRPr="00F83A63">
        <w:rPr>
          <w:lang w:eastAsia="en-GB"/>
        </w:rPr>
        <w:t xml:space="preserve"> </w:t>
      </w:r>
      <w:r>
        <w:rPr>
          <w:lang w:eastAsia="en-GB"/>
        </w:rPr>
        <w:t>Similarly, an</w:t>
      </w:r>
      <w:r w:rsidRPr="000F2A1C">
        <w:rPr>
          <w:lang w:eastAsia="en-GB"/>
        </w:rPr>
        <w:t xml:space="preserve"> experimen</w:t>
      </w:r>
      <w:r>
        <w:rPr>
          <w:lang w:eastAsia="en-GB"/>
        </w:rPr>
        <w:t xml:space="preserve">tal study demonstrated that there was a ‘motherhood penalty’ </w:t>
      </w:r>
      <w:r w:rsidRPr="000F2A1C">
        <w:rPr>
          <w:lang w:eastAsia="en-GB"/>
        </w:rPr>
        <w:t>in hiring decisions</w:t>
      </w:r>
      <w:r>
        <w:rPr>
          <w:lang w:eastAsia="en-GB"/>
        </w:rPr>
        <w:t>. This</w:t>
      </w:r>
      <w:r w:rsidRPr="000F2A1C">
        <w:rPr>
          <w:lang w:eastAsia="en-GB"/>
        </w:rPr>
        <w:t xml:space="preserve"> persisted even when women with children </w:t>
      </w:r>
      <w:r>
        <w:rPr>
          <w:lang w:eastAsia="en-GB"/>
        </w:rPr>
        <w:t xml:space="preserve">provided clear evidence of being </w:t>
      </w:r>
      <w:r w:rsidRPr="000F2A1C">
        <w:rPr>
          <w:lang w:eastAsia="en-GB"/>
        </w:rPr>
        <w:t xml:space="preserve">committed and competent in their previous jobs. </w:t>
      </w:r>
      <w:r>
        <w:rPr>
          <w:lang w:eastAsia="en-GB"/>
        </w:rPr>
        <w:t>F</w:t>
      </w:r>
      <w:r w:rsidRPr="000F2A1C">
        <w:rPr>
          <w:lang w:eastAsia="en-GB"/>
        </w:rPr>
        <w:t xml:space="preserve">emale study participants </w:t>
      </w:r>
      <w:r>
        <w:rPr>
          <w:lang w:eastAsia="en-GB"/>
        </w:rPr>
        <w:t>viewed</w:t>
      </w:r>
      <w:r w:rsidRPr="000F2A1C">
        <w:rPr>
          <w:lang w:eastAsia="en-GB"/>
        </w:rPr>
        <w:t xml:space="preserve"> highly successful mothers as less warm, less likeable and more hostile</w:t>
      </w:r>
      <w:r>
        <w:rPr>
          <w:lang w:eastAsia="en-GB"/>
        </w:rPr>
        <w:t xml:space="preserve"> (Benard and Correll, 2010). </w:t>
      </w:r>
    </w:p>
    <w:p w:rsidR="00A44B90" w:rsidRDefault="00F467DD" w:rsidP="00F467DD">
      <w:pPr>
        <w:pStyle w:val="Parabeforeanother"/>
      </w:pPr>
      <w:r>
        <w:t>Gender-blind screening – in which the applicant’s name is removed during a screening process – was found to have a positive impact on the number of women recruited (Menino, 2013; Bertrand and Duflo, 2016).</w:t>
      </w:r>
    </w:p>
    <w:p w:rsidR="00A44B90" w:rsidRDefault="00F467DD" w:rsidP="00F467DD">
      <w:pPr>
        <w:pStyle w:val="Parabeforeanother"/>
      </w:pPr>
      <w:r>
        <w:t xml:space="preserve">During one of the workshops, a private sector employer commented that, in a male-dominated industry, enabling women to get onto the short-list in an organisation is a challenge; senior managers will typically recruit people who they think ‘look like us’. Having a diverse evaluation panel in the recruitment process can help to tackle unconscious bias (Menino, 2013). </w:t>
      </w:r>
    </w:p>
    <w:p w:rsidR="00F467DD" w:rsidRDefault="00F467DD" w:rsidP="00F467DD">
      <w:pPr>
        <w:pStyle w:val="Parabeforeanother"/>
      </w:pPr>
      <w:r>
        <w:t>At the point of recruitment, interventions around controlling starting salaries for new recruits () and limiting line manager discretion in this area may have an impact on th</w:t>
      </w:r>
      <w:r w:rsidR="007F3EAD">
        <w:t>e gender pay gap (Menino, 2013)</w:t>
      </w:r>
      <w:r>
        <w:t xml:space="preserve">. In April 2015, Reddit, a US-based Internet news company, announced it would prohibit salary negotiations for new recruits and existing employees to try to close the gender pay gap and ensure fair and consistent salaries. Reddit acknowledged that women tended not to negotiate starting salaries, which left women at a disadvantage (Sammer, 2015). </w:t>
      </w:r>
    </w:p>
    <w:p w:rsidR="00F467DD" w:rsidRDefault="00F467DD" w:rsidP="00A44B90">
      <w:pPr>
        <w:pStyle w:val="Parabeforenewsubsection"/>
      </w:pPr>
      <w:r>
        <w:t>However, a ban on salary negotiation is not universally accepted as an effective way to tackle the gender pay gap. In a competitive market, the recruitment and retention of high-performing employees may suffer if these individuals are unable to negotiate their pay. Salary negotiation bans are only likely to be effective in closing the gap if they are accompanied by specified salaries for particular posts (Sammer, 2015).</w:t>
      </w:r>
    </w:p>
    <w:p w:rsidR="00F467DD" w:rsidRDefault="007B3973" w:rsidP="00B05452">
      <w:pPr>
        <w:pStyle w:val="Title-subsections"/>
        <w:outlineLvl w:val="2"/>
        <w:rPr>
          <w:lang w:val="en"/>
        </w:rPr>
      </w:pPr>
      <w:r>
        <w:rPr>
          <w:lang w:val="en"/>
        </w:rPr>
        <w:t xml:space="preserve">2.5.2 </w:t>
      </w:r>
      <w:r w:rsidR="00F467DD">
        <w:rPr>
          <w:lang w:val="en"/>
        </w:rPr>
        <w:t>Performance-</w:t>
      </w:r>
      <w:r w:rsidR="00F467DD" w:rsidRPr="005F4C5C">
        <w:rPr>
          <w:lang w:val="en"/>
        </w:rPr>
        <w:t>related pay and bonuses</w:t>
      </w:r>
    </w:p>
    <w:p w:rsidR="00F467DD" w:rsidRPr="00B30AEA" w:rsidRDefault="00F467DD" w:rsidP="00A44B90">
      <w:pPr>
        <w:pStyle w:val="Parabeforeanother"/>
        <w:rPr>
          <w:lang w:val="en"/>
        </w:rPr>
      </w:pPr>
      <w:r w:rsidRPr="00B30AEA">
        <w:rPr>
          <w:lang w:val="en"/>
        </w:rPr>
        <w:t>Studies conducted across a variety of work settings and spanning nearly 30 years found that</w:t>
      </w:r>
      <w:r>
        <w:rPr>
          <w:lang w:val="en"/>
        </w:rPr>
        <w:t>, i</w:t>
      </w:r>
      <w:r w:rsidRPr="00B30AEA">
        <w:rPr>
          <w:lang w:val="en"/>
        </w:rPr>
        <w:t>n highly prestigious occupations</w:t>
      </w:r>
      <w:r>
        <w:rPr>
          <w:lang w:val="en"/>
        </w:rPr>
        <w:t>,</w:t>
      </w:r>
      <w:r w:rsidRPr="00B30AEA">
        <w:rPr>
          <w:lang w:val="en"/>
        </w:rPr>
        <w:t xml:space="preserve"> women performed </w:t>
      </w:r>
      <w:r>
        <w:rPr>
          <w:lang w:val="en"/>
        </w:rPr>
        <w:t>as effectively as men</w:t>
      </w:r>
      <w:r w:rsidRPr="00B30AEA">
        <w:rPr>
          <w:lang w:val="en"/>
        </w:rPr>
        <w:t xml:space="preserve"> but were rewarded </w:t>
      </w:r>
      <w:r>
        <w:rPr>
          <w:lang w:val="en"/>
        </w:rPr>
        <w:t>less</w:t>
      </w:r>
      <w:r w:rsidRPr="00B30AEA">
        <w:rPr>
          <w:lang w:val="en"/>
        </w:rPr>
        <w:t xml:space="preserve"> (Joshi </w:t>
      </w:r>
      <w:r w:rsidRPr="00B30AEA">
        <w:rPr>
          <w:i/>
          <w:lang w:val="en"/>
        </w:rPr>
        <w:t>et al</w:t>
      </w:r>
      <w:r>
        <w:rPr>
          <w:lang w:val="en"/>
        </w:rPr>
        <w:t>.</w:t>
      </w:r>
      <w:r w:rsidRPr="00B30AEA">
        <w:rPr>
          <w:lang w:val="en"/>
        </w:rPr>
        <w:t xml:space="preserve">, 2015). </w:t>
      </w:r>
    </w:p>
    <w:p w:rsidR="00F467DD" w:rsidRDefault="00F467DD" w:rsidP="00A44B90">
      <w:pPr>
        <w:pStyle w:val="Parabeforeanother"/>
      </w:pPr>
      <w:r>
        <w:t>A</w:t>
      </w:r>
      <w:r w:rsidRPr="00F83A63">
        <w:t xml:space="preserve"> study of the financial services sector </w:t>
      </w:r>
      <w:r>
        <w:t xml:space="preserve">(EHRC, 2009) </w:t>
      </w:r>
      <w:r w:rsidRPr="00F83A63">
        <w:t>found evidence of gender bias in the distribution of bonuses and performance-related</w:t>
      </w:r>
      <w:r w:rsidRPr="00F83A63">
        <w:rPr>
          <w:color w:val="0000FF"/>
        </w:rPr>
        <w:t xml:space="preserve"> </w:t>
      </w:r>
      <w:r>
        <w:t>pay even after controlling for the varied gender mix in different occupational groups. In more than half of 42</w:t>
      </w:r>
      <w:r w:rsidRPr="00F83A63">
        <w:t xml:space="preserve"> cases</w:t>
      </w:r>
      <w:r>
        <w:t xml:space="preserve">, </w:t>
      </w:r>
      <w:r w:rsidRPr="00F83A63">
        <w:t xml:space="preserve">the </w:t>
      </w:r>
      <w:r>
        <w:t xml:space="preserve">gender </w:t>
      </w:r>
      <w:r w:rsidRPr="00F83A63">
        <w:t>gap for discretionary performance-related</w:t>
      </w:r>
      <w:r w:rsidRPr="00F83A63">
        <w:rPr>
          <w:color w:val="0000FF"/>
        </w:rPr>
        <w:t xml:space="preserve"> </w:t>
      </w:r>
      <w:r w:rsidRPr="00F83A63">
        <w:t>pay</w:t>
      </w:r>
      <w:r>
        <w:t xml:space="preserve"> was</w:t>
      </w:r>
      <w:r w:rsidRPr="00F83A63">
        <w:t xml:space="preserve"> </w:t>
      </w:r>
      <w:r>
        <w:t xml:space="preserve">in the range of </w:t>
      </w:r>
      <w:r w:rsidRPr="00F83A63">
        <w:t>45</w:t>
      </w:r>
      <w:r>
        <w:t>–</w:t>
      </w:r>
      <w:r w:rsidRPr="00F83A63">
        <w:lastRenderedPageBreak/>
        <w:t>80</w:t>
      </w:r>
      <w:r>
        <w:t xml:space="preserve">%. Job evaluation was only used in a minority of cases. In these instances, </w:t>
      </w:r>
      <w:r w:rsidRPr="00F83A63">
        <w:t>a positive association was found with a lower gender pay gap in both basic pay</w:t>
      </w:r>
      <w:r>
        <w:t xml:space="preserve"> </w:t>
      </w:r>
      <w:r w:rsidRPr="00F83A63">
        <w:t>and total earnings</w:t>
      </w:r>
      <w:r>
        <w:t>.</w:t>
      </w:r>
    </w:p>
    <w:p w:rsidR="00F467DD" w:rsidRDefault="00F467DD" w:rsidP="00A44B90">
      <w:pPr>
        <w:pStyle w:val="Parabeforeanother"/>
      </w:pPr>
      <w:r w:rsidRPr="00F60D89">
        <w:t xml:space="preserve">A study of employees in a </w:t>
      </w:r>
      <w:r>
        <w:t xml:space="preserve">large </w:t>
      </w:r>
      <w:r w:rsidRPr="00F60D89">
        <w:t>financial sector firm</w:t>
      </w:r>
      <w:r>
        <w:t xml:space="preserve"> (Elvira and Graham, 2002; </w:t>
      </w:r>
      <w:r w:rsidRPr="008D31A6">
        <w:t>Reskin</w:t>
      </w:r>
      <w:r>
        <w:t xml:space="preserve"> </w:t>
      </w:r>
      <w:r w:rsidRPr="008D31A6">
        <w:t>and Branch McBrier</w:t>
      </w:r>
      <w:r>
        <w:t>,</w:t>
      </w:r>
      <w:r w:rsidRPr="008D31A6">
        <w:t xml:space="preserve"> 2000)</w:t>
      </w:r>
      <w:r w:rsidRPr="00F60D89">
        <w:t xml:space="preserve"> found that there was a larger gender pay gap in bonuses and variable pay</w:t>
      </w:r>
      <w:r>
        <w:t xml:space="preserve"> (which were not subject to formal rules) </w:t>
      </w:r>
      <w:r w:rsidRPr="00F60D89">
        <w:t>than in base salary or merit</w:t>
      </w:r>
      <w:r>
        <w:t>-based</w:t>
      </w:r>
      <w:r w:rsidRPr="00F60D89">
        <w:t xml:space="preserve"> </w:t>
      </w:r>
      <w:r>
        <w:t>pay rises (which were subject to rules)</w:t>
      </w:r>
      <w:r w:rsidRPr="00F60D89">
        <w:t>.</w:t>
      </w:r>
    </w:p>
    <w:p w:rsidR="00F467DD" w:rsidRPr="00E67182" w:rsidRDefault="00F467DD" w:rsidP="00A44B90">
      <w:pPr>
        <w:pStyle w:val="Parabeforenewsubsection"/>
      </w:pPr>
      <w:r>
        <w:t xml:space="preserve">Collective evaluations of employees can reduce unconscious bias by ensuring that staff are evaluated against the same criteria and not against one another (Bohnet </w:t>
      </w:r>
      <w:r>
        <w:rPr>
          <w:i/>
        </w:rPr>
        <w:t>et al</w:t>
      </w:r>
      <w:r>
        <w:t xml:space="preserve">., 2016). Conducting comparative promotion reviews, through which promotion cycles are standardised and candidates are collectively evaluated, has been shown to reduce gender bias and stereotyping by ensuring men and women are evaluated against the same criteria (Ibid.). In addition, establishing accepted criteria for performance assessments helps ensure managers do not make decisions about performance based on their own biases and stereotyping (Menino, 2013). Performance criteria that have an explicit link to pay determination are an intervention which may, in turn, help narrow the gender pay gap (Ibid.). </w:t>
      </w:r>
    </w:p>
    <w:p w:rsidR="00F467DD" w:rsidRDefault="007B3973" w:rsidP="00B05452">
      <w:pPr>
        <w:pStyle w:val="Title-subsections"/>
        <w:outlineLvl w:val="2"/>
      </w:pPr>
      <w:r>
        <w:t xml:space="preserve">2.5.3 </w:t>
      </w:r>
      <w:r w:rsidR="00F467DD">
        <w:t>Support for ‘maternity returners’</w:t>
      </w:r>
    </w:p>
    <w:p w:rsidR="00F467DD" w:rsidRDefault="00F467DD" w:rsidP="00F467DD">
      <w:pPr>
        <w:pStyle w:val="Parabeforeanother"/>
      </w:pPr>
      <w:r>
        <w:t>Women taking time out of the labour market to have children and a lack of quality part-time work contribute to the gender pay gap (GEO, 2015). Government policy initiatives such as shared parental leave, the extension of the right to request flexible working, tax-free childcare, and free early education places for three- and four-year olds have</w:t>
      </w:r>
      <w:r w:rsidR="00CB39D8">
        <w:t xml:space="preserve"> attempted to</w:t>
      </w:r>
      <w:r>
        <w:t xml:space="preserve"> support women’s return to work after having children (GEO, 2015). </w:t>
      </w:r>
    </w:p>
    <w:p w:rsidR="00F467DD" w:rsidRDefault="00F467DD" w:rsidP="00F467DD">
      <w:pPr>
        <w:pStyle w:val="Parabeforeanother"/>
      </w:pPr>
      <w:r>
        <w:t xml:space="preserve">Some employers are enhancing provisions for maternity returners to increase the retention rates of women. </w:t>
      </w:r>
      <w:r w:rsidR="00B17071">
        <w:t xml:space="preserve">One </w:t>
      </w:r>
      <w:r w:rsidR="007F3EAD">
        <w:t>case study involves</w:t>
      </w:r>
      <w:r>
        <w:t xml:space="preserve"> the legal firm, Eversheds</w:t>
      </w:r>
      <w:r w:rsidR="00B17071">
        <w:t>,</w:t>
      </w:r>
      <w:r>
        <w:t xml:space="preserve"> </w:t>
      </w:r>
      <w:r w:rsidR="00B17071">
        <w:t xml:space="preserve">which </w:t>
      </w:r>
      <w:r>
        <w:t>offers an enhanced maternity package</w:t>
      </w:r>
      <w:r w:rsidR="00373AB8">
        <w:t xml:space="preserve">. This </w:t>
      </w:r>
      <w:r>
        <w:t>includ</w:t>
      </w:r>
      <w:r w:rsidR="00373AB8">
        <w:t>es</w:t>
      </w:r>
      <w:r>
        <w:t xml:space="preserve"> greater support for returners in the form of a transition period, with shorter hours, reduced days, and mentoring and unconscious bias training across the business to support managers (Eversheds, 2012). </w:t>
      </w:r>
    </w:p>
    <w:p w:rsidR="00F467DD" w:rsidRPr="005F4C5C" w:rsidRDefault="00F467DD" w:rsidP="00F467DD">
      <w:pPr>
        <w:pStyle w:val="Parabeforeanother"/>
      </w:pPr>
      <w:r>
        <w:t xml:space="preserve">Another example of enhancing provisions for maternity returners is the policy of an investment bank offering a paid, ten-week return to work programme since 2008. This programme is aimed at women who have been out of the workforce for two or more years and provides training, mentoring and networking opportunities. Over 120 people have attended and more than half of these have returned to work full-time </w:t>
      </w:r>
      <w:r>
        <w:lastRenderedPageBreak/>
        <w:t xml:space="preserve">(Sullivan, 2015). A further example is a consultancy firm offering maternity coaching and support for maternity returners and their managers, a programme which aims to build confidence and provide mentoring. The programme also offers 150 hours of free back-up childcare provision (Ibid.). </w:t>
      </w:r>
    </w:p>
    <w:p w:rsidR="00F467DD" w:rsidRDefault="00F467DD" w:rsidP="00F467DD">
      <w:pPr>
        <w:pStyle w:val="Parabeforeanother"/>
      </w:pPr>
      <w:r>
        <w:t xml:space="preserve">Workshops participants felt that managers often lack the skills or awareness to communicate properly with those away on maternity leave and, as a result, those who have been away for as long as a year can feel very isolated. The participants believed that managers needed appropriate training about managing women’s return to work after maternity leave. </w:t>
      </w:r>
    </w:p>
    <w:p w:rsidR="00F467DD" w:rsidRDefault="00F467DD" w:rsidP="00F467DD">
      <w:pPr>
        <w:pStyle w:val="Parabeforenewsubsection"/>
      </w:pPr>
      <w:r w:rsidRPr="00982D20">
        <w:t xml:space="preserve">There are </w:t>
      </w:r>
      <w:r w:rsidRPr="00385C7D">
        <w:t>leading employers who are</w:t>
      </w:r>
      <w:r w:rsidRPr="006676BE">
        <w:t xml:space="preserve"> very effective at managing women’s return to work after maternity leave</w:t>
      </w:r>
      <w:r w:rsidRPr="00982D20">
        <w:t xml:space="preserve">. These employers ensure that flexible working is available and display excellent post-maternity retention rates. However, the impact of these programmes on pay and career progression is much less well-documented </w:t>
      </w:r>
      <w:r w:rsidRPr="00373AB8">
        <w:t>(GEO, 2011).</w:t>
      </w:r>
      <w:r>
        <w:t xml:space="preserve"> </w:t>
      </w:r>
    </w:p>
    <w:p w:rsidR="00F467DD" w:rsidRDefault="007B3973" w:rsidP="00B05452">
      <w:pPr>
        <w:pStyle w:val="Heading-subsections"/>
        <w:outlineLvl w:val="2"/>
      </w:pPr>
      <w:r>
        <w:t xml:space="preserve">2.5.4 </w:t>
      </w:r>
      <w:r w:rsidR="00F467DD">
        <w:t>Training and performance management</w:t>
      </w:r>
    </w:p>
    <w:p w:rsidR="00F467DD" w:rsidRPr="00417B34" w:rsidRDefault="00F467DD" w:rsidP="00A44B90">
      <w:pPr>
        <w:pStyle w:val="Parabeforeanother"/>
      </w:pPr>
      <w:r>
        <w:t xml:space="preserve">Providing more training to women as an intervention to tackle </w:t>
      </w:r>
      <w:r w:rsidRPr="00417B34">
        <w:t>the gender pay gap can be viewed from two perspectives. First, undertaking training whil</w:t>
      </w:r>
      <w:r>
        <w:t>e</w:t>
      </w:r>
      <w:r w:rsidRPr="00417B34">
        <w:t xml:space="preserve"> employed is known to help facilitate career progression (Olsen </w:t>
      </w:r>
      <w:r w:rsidRPr="00C75D33">
        <w:rPr>
          <w:i/>
        </w:rPr>
        <w:t>et al</w:t>
      </w:r>
      <w:r>
        <w:t>.</w:t>
      </w:r>
      <w:r w:rsidRPr="00417B34">
        <w:t>, 2010)</w:t>
      </w:r>
      <w:r>
        <w:t>.</w:t>
      </w:r>
      <w:r w:rsidRPr="00417B34">
        <w:t xml:space="preserve"> Second, training for those who </w:t>
      </w:r>
      <w:r>
        <w:t>review staff performance</w:t>
      </w:r>
      <w:r w:rsidRPr="00417B34">
        <w:t xml:space="preserve"> and </w:t>
      </w:r>
      <w:r>
        <w:t xml:space="preserve">make </w:t>
      </w:r>
      <w:r w:rsidRPr="00417B34">
        <w:t>decisions</w:t>
      </w:r>
      <w:r>
        <w:t xml:space="preserve"> about promotion</w:t>
      </w:r>
      <w:r w:rsidRPr="00417B34">
        <w:t xml:space="preserve"> can contribute to closing the gap</w:t>
      </w:r>
      <w:r>
        <w:t>,</w:t>
      </w:r>
      <w:r w:rsidRPr="00417B34">
        <w:t xml:space="preserve"> if it makes them aware of the biases which place people at a disadvantage in the performance management process. </w:t>
      </w:r>
    </w:p>
    <w:p w:rsidR="00F467DD" w:rsidRDefault="00F467DD" w:rsidP="00F467DD">
      <w:pPr>
        <w:pStyle w:val="Parabeforeanother"/>
      </w:pPr>
      <w:r>
        <w:t xml:space="preserve">Olsen </w:t>
      </w:r>
      <w:r w:rsidRPr="00C75D33">
        <w:rPr>
          <w:i/>
        </w:rPr>
        <w:t>et al</w:t>
      </w:r>
      <w:r>
        <w:t xml:space="preserve">. (2010), through quantitative analysis of the British Household Panel Survey (2004 to 2007), found that training (formal study, on-site training and other training paid for by employers) was more common among women than men. Training was also associated with 6% higher hourly wages. Olsen </w:t>
      </w:r>
      <w:r w:rsidRPr="00C75D33">
        <w:rPr>
          <w:i/>
        </w:rPr>
        <w:t>et al</w:t>
      </w:r>
      <w:r>
        <w:t>. conclude that, given the impact of part-time working on hourly earnings, encouraging training within part-time jobs may offset the negative impact of part-time work on pay (Ibid.).</w:t>
      </w:r>
    </w:p>
    <w:p w:rsidR="00F467DD" w:rsidRDefault="00F467DD" w:rsidP="00A44B90">
      <w:pPr>
        <w:pStyle w:val="Parabeforenewsubsection"/>
      </w:pPr>
      <w:r>
        <w:t xml:space="preserve">Some organisations also provide unconscious bias training to managers who have a role in the performance management process, which has the potential to improve the pay gap across all equality strands. For example, a key element of the diversity policy of a professional services firm is to monitor staff appraisals and promotions by gender to ensure fairness. After analysing the results of staff appraisals they have offered ‘unconscious bias’ training to ensure managers making appraisal and promotion decisions are aware of the biases which can place some people at a </w:t>
      </w:r>
      <w:r w:rsidRPr="00385C7D">
        <w:t xml:space="preserve">disadvantage </w:t>
      </w:r>
      <w:r w:rsidRPr="00373AB8">
        <w:t xml:space="preserve">(GEO, 2011). </w:t>
      </w:r>
    </w:p>
    <w:p w:rsidR="00F467DD" w:rsidRDefault="007B3973" w:rsidP="00B05452">
      <w:pPr>
        <w:pStyle w:val="Title-subsections"/>
        <w:outlineLvl w:val="2"/>
      </w:pPr>
      <w:r>
        <w:lastRenderedPageBreak/>
        <w:t xml:space="preserve">2.5.5 </w:t>
      </w:r>
      <w:r w:rsidR="00F467DD">
        <w:t>Senior representation</w:t>
      </w:r>
    </w:p>
    <w:p w:rsidR="00F467DD" w:rsidRDefault="00F467DD" w:rsidP="00F467DD">
      <w:pPr>
        <w:pStyle w:val="Parabeforeanother"/>
      </w:pPr>
      <w:r>
        <w:t xml:space="preserve">Interventions aimed at increasing the representation of women at senior levels and in higher paid roles and occupations are likely to reduce the gender pay gap both within organisations and at a national level. Some employers support women to develop their talents through formal leadership programmes or mentoring, and support suitably qualified women to move into executive or board level positions (Menino, 2013). </w:t>
      </w:r>
    </w:p>
    <w:p w:rsidR="00F467DD" w:rsidRPr="00B30AEA" w:rsidRDefault="00F467DD" w:rsidP="00F467DD">
      <w:pPr>
        <w:pStyle w:val="Parabeforeanother"/>
      </w:pPr>
      <w:r w:rsidRPr="00B30AEA">
        <w:t>In 2016</w:t>
      </w:r>
      <w:r>
        <w:t>,</w:t>
      </w:r>
      <w:r w:rsidRPr="00B30AEA">
        <w:t xml:space="preserve"> the </w:t>
      </w:r>
      <w:r>
        <w:t xml:space="preserve">Commission </w:t>
      </w:r>
      <w:r w:rsidRPr="00B30AEA">
        <w:t xml:space="preserve">published the findings of </w:t>
      </w:r>
      <w:r>
        <w:t>its i</w:t>
      </w:r>
      <w:r w:rsidRPr="00B30AEA">
        <w:t>nquiry into</w:t>
      </w:r>
      <w:r>
        <w:t xml:space="preserve"> the</w:t>
      </w:r>
      <w:r w:rsidRPr="00B30AEA">
        <w:t xml:space="preserve"> </w:t>
      </w:r>
      <w:r>
        <w:t>recruitment of women onto FTSE b</w:t>
      </w:r>
      <w:r w:rsidRPr="00B30AEA">
        <w:t xml:space="preserve">oards. </w:t>
      </w:r>
      <w:r>
        <w:t>The Commission</w:t>
      </w:r>
      <w:r w:rsidRPr="00B30AEA">
        <w:t xml:space="preserve"> found that 45</w:t>
      </w:r>
      <w:r>
        <w:t xml:space="preserve">% </w:t>
      </w:r>
      <w:r w:rsidRPr="00B30AEA">
        <w:t>of FTSE 100 companies and 61</w:t>
      </w:r>
      <w:r>
        <w:t xml:space="preserve">% </w:t>
      </w:r>
      <w:r w:rsidRPr="00B30AEA">
        <w:t>of individual FTSE 350 companies had not reached the 25% target for women board members. Men outnumbered women in senior positions</w:t>
      </w:r>
      <w:r>
        <w:t xml:space="preserve"> </w:t>
      </w:r>
      <w:r w:rsidRPr="00B30AEA">
        <w:t>(senior management or executive committee positions) in the FTSE 350 by a ratio of around 4:1. T</w:t>
      </w:r>
      <w:r w:rsidRPr="00B30AEA">
        <w:rPr>
          <w:lang w:val="en"/>
        </w:rPr>
        <w:t>he inquiry critici</w:t>
      </w:r>
      <w:r>
        <w:rPr>
          <w:lang w:val="en"/>
        </w:rPr>
        <w:t>s</w:t>
      </w:r>
      <w:r w:rsidRPr="00B30AEA">
        <w:rPr>
          <w:lang w:val="en"/>
        </w:rPr>
        <w:t>ed an ‘inexcusable and unacceptable’ variation in companies’ performance</w:t>
      </w:r>
      <w:r>
        <w:rPr>
          <w:lang w:val="en"/>
        </w:rPr>
        <w:t xml:space="preserve"> regarding the employment of women in senior roles,</w:t>
      </w:r>
      <w:r w:rsidRPr="00B30AEA">
        <w:rPr>
          <w:lang w:val="en"/>
        </w:rPr>
        <w:t xml:space="preserve"> and recommended improvements in appointment practices and an increased focus on initiatives to develop</w:t>
      </w:r>
      <w:r>
        <w:rPr>
          <w:lang w:val="en"/>
        </w:rPr>
        <w:t xml:space="preserve"> women’s talents </w:t>
      </w:r>
      <w:r w:rsidRPr="00B30AEA">
        <w:rPr>
          <w:lang w:val="en"/>
        </w:rPr>
        <w:t>(EHRC, 2016b)</w:t>
      </w:r>
      <w:r>
        <w:rPr>
          <w:lang w:val="en"/>
        </w:rPr>
        <w:t>.</w:t>
      </w:r>
    </w:p>
    <w:p w:rsidR="00F467DD" w:rsidRDefault="00F467DD" w:rsidP="00CB39D8">
      <w:pPr>
        <w:pStyle w:val="Parabeforenewsubsection"/>
        <w:spacing w:after="160"/>
      </w:pPr>
      <w:r>
        <w:t>The workshop discussions regarded talent management and development as a key action to tackle the gender pay gap and achieve greater equality at senior levels. It was also reported that, at middle-to-senior management levels where ‘team fit’ is highly prioritised, it is common to see subtle bias occurring in recruitment.</w:t>
      </w:r>
    </w:p>
    <w:p w:rsidR="00F467DD" w:rsidRDefault="00F467DD" w:rsidP="007E3AF9">
      <w:pPr>
        <w:pStyle w:val="Parabeforenewsection"/>
      </w:pPr>
      <w:r>
        <w:t xml:space="preserve">A Swedish study examined whether the presence of female managers in an organisation narrowed the gender pay gap. The study found an association between higher numbers of female managers and smaller gender pay gaps. The research also found that organisations with more female managers pay their non-managerial female staff more highly (Hensvik, 2014). In another study cited by Hensvik (2014), based on a large representative sample from Portugal, female earnings increased when organisations appointed a female manager. A third study also cited by Hensvik (2014) found that, in female-led firms, the earnings of female executives were higher and women were more likely to be among the highest-paid executives. </w:t>
      </w:r>
    </w:p>
    <w:p w:rsidR="00CD23F8" w:rsidRDefault="00CD23F8" w:rsidP="00F467DD">
      <w:pPr>
        <w:spacing w:after="200" w:line="276" w:lineRule="auto"/>
        <w:sectPr w:rsidR="00CD23F8" w:rsidSect="00127902">
          <w:headerReference w:type="default" r:id="rId17"/>
          <w:pgSz w:w="11906" w:h="16838" w:code="9"/>
          <w:pgMar w:top="1440" w:right="1440" w:bottom="1440" w:left="1440" w:header="709" w:footer="709" w:gutter="0"/>
          <w:pgNumType w:start="12"/>
          <w:cols w:space="708"/>
          <w:docGrid w:linePitch="360"/>
        </w:sectPr>
      </w:pPr>
    </w:p>
    <w:p w:rsidR="00F467DD" w:rsidRDefault="00F467DD" w:rsidP="007E3AF9">
      <w:pPr>
        <w:pStyle w:val="Title-chapterorange"/>
      </w:pPr>
      <w:bookmarkStart w:id="27" w:name="_Toc474306847"/>
      <w:bookmarkStart w:id="28" w:name="_Toc490135091"/>
      <w:r w:rsidRPr="007E3AF9">
        <w:rPr>
          <w:color w:val="auto"/>
        </w:rPr>
        <w:lastRenderedPageBreak/>
        <w:t>3</w:t>
      </w:r>
      <w:r w:rsidR="007E3AF9">
        <w:rPr>
          <w:color w:val="auto"/>
        </w:rPr>
        <w:t xml:space="preserve"> | </w:t>
      </w:r>
      <w:r>
        <w:t>The d</w:t>
      </w:r>
      <w:r w:rsidRPr="00B92B91">
        <w:t>isability pay gap</w:t>
      </w:r>
      <w:bookmarkEnd w:id="27"/>
      <w:bookmarkEnd w:id="28"/>
      <w:r>
        <w:br/>
      </w:r>
    </w:p>
    <w:p w:rsidR="00F467DD" w:rsidRDefault="00F467DD" w:rsidP="007E3AF9">
      <w:pPr>
        <w:pStyle w:val="Title-sectionsorange"/>
      </w:pPr>
      <w:bookmarkStart w:id="29" w:name="_Toc474306848"/>
      <w:bookmarkStart w:id="30" w:name="_Toc490135092"/>
      <w:r w:rsidRPr="00054304">
        <w:rPr>
          <w:color w:val="auto"/>
        </w:rPr>
        <w:t>3.1</w:t>
      </w:r>
      <w:r>
        <w:tab/>
      </w:r>
      <w:r w:rsidRPr="00B92B91">
        <w:t>Introduction</w:t>
      </w:r>
      <w:bookmarkEnd w:id="29"/>
      <w:bookmarkEnd w:id="30"/>
    </w:p>
    <w:p w:rsidR="00F467DD" w:rsidRPr="00017037" w:rsidRDefault="00F467DD" w:rsidP="00F467DD">
      <w:pPr>
        <w:pStyle w:val="Parabeforeanother"/>
      </w:pPr>
      <w:r>
        <w:t>The Equality Act 2010 defines a disabled person as ‘</w:t>
      </w:r>
      <w:r w:rsidRPr="00017037">
        <w:t>a person with a physical or mental impairment which has a substantial and long-term adverse effect on his/her ability to carry out normal day-to-day activities</w:t>
      </w:r>
      <w:r>
        <w:t>’</w:t>
      </w:r>
      <w:r w:rsidRPr="00017037">
        <w:t>.</w:t>
      </w:r>
    </w:p>
    <w:p w:rsidR="00F467DD" w:rsidRPr="00017037" w:rsidRDefault="00F467DD" w:rsidP="00F467DD">
      <w:pPr>
        <w:pStyle w:val="Parabeforeanother"/>
      </w:pPr>
      <w:r w:rsidRPr="00017037">
        <w:t xml:space="preserve">Disability is more broadly defined in the </w:t>
      </w:r>
      <w:r>
        <w:t>report ‘</w:t>
      </w:r>
      <w:r w:rsidRPr="00017037">
        <w:t>Improving the Life Chances of Disabled</w:t>
      </w:r>
      <w:r>
        <w:t xml:space="preserve"> People’ as ‘</w:t>
      </w:r>
      <w:r w:rsidRPr="00017037">
        <w:t>disadvantage experienced by an individual resulting from barriers to independent living or educational, employment or other opportunities that impact on people with impairments and/or ill health</w:t>
      </w:r>
      <w:r>
        <w:t>’</w:t>
      </w:r>
      <w:r w:rsidRPr="00017037">
        <w:t xml:space="preserve"> (PMSU, 2005</w:t>
      </w:r>
      <w:r>
        <w:t xml:space="preserve">, p. </w:t>
      </w:r>
      <w:r w:rsidRPr="00017037">
        <w:t xml:space="preserve">8). </w:t>
      </w:r>
    </w:p>
    <w:p w:rsidR="00F467DD" w:rsidRPr="007F3EAD" w:rsidRDefault="00F467DD" w:rsidP="00F467DD">
      <w:pPr>
        <w:pStyle w:val="Parabeforeanother"/>
      </w:pPr>
      <w:r w:rsidRPr="00017037">
        <w:t>This</w:t>
      </w:r>
      <w:r>
        <w:t xml:space="preserve"> second</w:t>
      </w:r>
      <w:r w:rsidRPr="00017037">
        <w:t xml:space="preserve"> definition acknowledges that there are different types of barriers faced by disabled people</w:t>
      </w:r>
      <w:r>
        <w:t>,</w:t>
      </w:r>
      <w:r w:rsidRPr="00017037">
        <w:t xml:space="preserve"> including </w:t>
      </w:r>
      <w:r>
        <w:t xml:space="preserve">discriminatory </w:t>
      </w:r>
      <w:r w:rsidRPr="00017037">
        <w:t xml:space="preserve">attitudes, </w:t>
      </w:r>
      <w:r>
        <w:t xml:space="preserve">unhelpful </w:t>
      </w:r>
      <w:r w:rsidRPr="00017037">
        <w:t xml:space="preserve">policy and physical </w:t>
      </w:r>
      <w:r>
        <w:t>obstructions</w:t>
      </w:r>
      <w:r w:rsidRPr="00017037">
        <w:t xml:space="preserve"> </w:t>
      </w:r>
      <w:r w:rsidRPr="000D2E32">
        <w:t xml:space="preserve">(Riddell </w:t>
      </w:r>
      <w:r w:rsidRPr="000D2E32">
        <w:rPr>
          <w:i/>
        </w:rPr>
        <w:t>et al</w:t>
      </w:r>
      <w:r w:rsidRPr="000D2E32">
        <w:t>., 2010; PMSU, 2005),</w:t>
      </w:r>
      <w:r w:rsidRPr="00017037">
        <w:t xml:space="preserve"> the cumulative effect of which is to marginalise disabled people (PMSU, 2005). </w:t>
      </w:r>
      <w:r>
        <w:t xml:space="preserve">Using the broadest definition of disability, one in five of the working age population is </w:t>
      </w:r>
      <w:r w:rsidRPr="007F3EAD">
        <w:t xml:space="preserve">disabled (PMSU, 2005; Meager and Higgins, 2011) and the employment rate for disabled people is 30% lower than it is for non-disabled people (Selvanera and Whippy, 2015). In the period October to December 2015, 46.7% of disabled people aged 16 to 64 were in work; however, </w:t>
      </w:r>
      <w:r w:rsidRPr="007F3EAD">
        <w:rPr>
          <w:rFonts w:ascii="Helvetica Neue" w:hAnsi="Helvetica Neue"/>
          <w:lang w:val="en"/>
        </w:rPr>
        <w:t>the gap between the employment rate of disabled people and the rest of the population was 33.6</w:t>
      </w:r>
      <w:r w:rsidR="00373AB8" w:rsidRPr="007F3EAD">
        <w:rPr>
          <w:rFonts w:ascii="Helvetica Neue" w:hAnsi="Helvetica Neue"/>
          <w:lang w:val="en"/>
        </w:rPr>
        <w:t xml:space="preserve"> percentage points</w:t>
      </w:r>
      <w:r w:rsidRPr="007F3EAD">
        <w:rPr>
          <w:rFonts w:ascii="Helvetica Neue" w:hAnsi="Helvetica Neue"/>
          <w:lang w:val="en"/>
        </w:rPr>
        <w:t xml:space="preserve"> (Scope, 2016)</w:t>
      </w:r>
      <w:r w:rsidRPr="007F3EAD">
        <w:t>.</w:t>
      </w:r>
    </w:p>
    <w:p w:rsidR="00F467DD" w:rsidRDefault="00F467DD" w:rsidP="00F467DD">
      <w:pPr>
        <w:pStyle w:val="Parabeforebulletss"/>
      </w:pPr>
      <w:r w:rsidRPr="007F3EAD">
        <w:t xml:space="preserve">Labour market disadvantage varies significantly by type of impairment and is especially high for those with mental health conditions or learning disabilities, who tend to have lower qualifications and lower incomes than other disabled </w:t>
      </w:r>
      <w:r>
        <w:t>people</w:t>
      </w:r>
      <w:r w:rsidR="00CB39D8">
        <w:t xml:space="preserve"> and people with long-term health conditions</w:t>
      </w:r>
      <w:r>
        <w:t xml:space="preserve"> (PMSU, 2005; Meager and Higgins, 2011). Figures released by the Office for National Statistics in 2011 showed that employment rates among disabled people </w:t>
      </w:r>
      <w:r w:rsidR="00CB39D8">
        <w:t xml:space="preserve">and people with long-term health conditions </w:t>
      </w:r>
      <w:r>
        <w:t>were lowest for people with:</w:t>
      </w:r>
    </w:p>
    <w:p w:rsidR="00F467DD" w:rsidRDefault="00F467DD" w:rsidP="00F467DD">
      <w:pPr>
        <w:pStyle w:val="Bullet-followedbyothers"/>
        <w:ind w:left="720" w:hanging="360"/>
      </w:pPr>
      <w:r>
        <w:t>severe learning difficulties (12.0%)</w:t>
      </w:r>
    </w:p>
    <w:p w:rsidR="00F467DD" w:rsidRDefault="00F467DD" w:rsidP="00F467DD">
      <w:pPr>
        <w:pStyle w:val="Bullet-followedbyothers"/>
        <w:ind w:left="720" w:hanging="360"/>
      </w:pPr>
      <w:r>
        <w:t>mental illnesses or nervous disorders (14.2%)</w:t>
      </w:r>
    </w:p>
    <w:p w:rsidR="00F467DD" w:rsidRDefault="00F467DD" w:rsidP="00F467DD">
      <w:pPr>
        <w:pStyle w:val="Bullet-lastingroup"/>
        <w:ind w:left="720" w:hanging="360"/>
      </w:pPr>
      <w:r>
        <w:lastRenderedPageBreak/>
        <w:t xml:space="preserve">depression or anxiety (27.2%). (ONS, 2011) </w:t>
      </w:r>
    </w:p>
    <w:p w:rsidR="00F467DD" w:rsidRDefault="00F467DD" w:rsidP="00F467DD">
      <w:pPr>
        <w:pStyle w:val="Parabeforebulletss"/>
      </w:pPr>
      <w:r>
        <w:t>Employment rates among disabled people were highest for people with:</w:t>
      </w:r>
    </w:p>
    <w:p w:rsidR="00F467DD" w:rsidRDefault="00F467DD" w:rsidP="00F467DD">
      <w:pPr>
        <w:pStyle w:val="Bullet-followedbyothers"/>
        <w:ind w:left="720" w:hanging="360"/>
      </w:pPr>
      <w:r>
        <w:t>skin conditions, disfigurements or allergies (71.9%)</w:t>
      </w:r>
    </w:p>
    <w:p w:rsidR="00F467DD" w:rsidRDefault="00F467DD" w:rsidP="00F467DD">
      <w:pPr>
        <w:pStyle w:val="Bullet-followedbyothers"/>
        <w:ind w:left="720" w:hanging="360"/>
      </w:pPr>
      <w:r>
        <w:t xml:space="preserve">diabetes (61.5%) </w:t>
      </w:r>
    </w:p>
    <w:p w:rsidR="007F3EAD" w:rsidRDefault="00F467DD" w:rsidP="00F467DD">
      <w:pPr>
        <w:pStyle w:val="Bullet-lastingroup"/>
        <w:ind w:left="720" w:hanging="360"/>
      </w:pPr>
      <w:r>
        <w:t xml:space="preserve">heart, blood pressure or circulatory problems (57.8%). </w:t>
      </w:r>
    </w:p>
    <w:p w:rsidR="00F467DD" w:rsidRDefault="00F467DD" w:rsidP="007F3EAD">
      <w:pPr>
        <w:pStyle w:val="Bullet-lastingroup"/>
        <w:numPr>
          <w:ilvl w:val="0"/>
          <w:numId w:val="0"/>
        </w:numPr>
        <w:ind w:left="360"/>
      </w:pPr>
      <w:r>
        <w:t>(ONS, 2011)</w:t>
      </w:r>
    </w:p>
    <w:p w:rsidR="00F467DD" w:rsidRDefault="00F467DD" w:rsidP="007E3AF9">
      <w:pPr>
        <w:pStyle w:val="Parabeforeanother"/>
      </w:pPr>
      <w:r>
        <w:t xml:space="preserve">Disabled people can experience multiple forms of labour market disadvantage. More than 40% of disabled people are low-skilled, about 25% of disabled people of working age are over 50 years old, and about 10% are from ethnic minority groups (PMSU, 2005). </w:t>
      </w:r>
    </w:p>
    <w:p w:rsidR="00F467DD" w:rsidRDefault="00F467DD" w:rsidP="007E3AF9">
      <w:pPr>
        <w:pStyle w:val="Parabeforeanother"/>
      </w:pPr>
      <w:r>
        <w:t xml:space="preserve">A Government Equalities Office (GEO) and </w:t>
      </w:r>
      <w:r>
        <w:rPr>
          <w:rFonts w:ascii="FSAlbert" w:eastAsiaTheme="minorHAnsi" w:hAnsi="FSAlbert" w:cs="FSAlbert"/>
        </w:rPr>
        <w:t>Centre for Analysis of Social Exclusion</w:t>
      </w:r>
      <w:r>
        <w:t xml:space="preserve"> report on inequality in the UK showed a pay gap of 20% (at the median for hourly earnings) between disabled and non-disabled men, and 12% between disabled women and non-disabled women (Hills </w:t>
      </w:r>
      <w:r w:rsidRPr="006A12AD">
        <w:rPr>
          <w:i/>
        </w:rPr>
        <w:t>et al</w:t>
      </w:r>
      <w:r>
        <w:t xml:space="preserve">., 2010). </w:t>
      </w:r>
    </w:p>
    <w:p w:rsidR="00F467DD" w:rsidRDefault="00F467DD" w:rsidP="007E3AF9">
      <w:pPr>
        <w:pStyle w:val="Parabeforeanother"/>
      </w:pPr>
      <w:r>
        <w:t xml:space="preserve">The EHRC (2016) identified different pay gaps among people with different impairments. </w:t>
      </w:r>
      <w:r w:rsidRPr="006F62CA">
        <w:t xml:space="preserve">The pay gaps for people with mental impairments </w:t>
      </w:r>
      <w:r>
        <w:t>are high; for example, the</w:t>
      </w:r>
      <w:r w:rsidRPr="006F62CA">
        <w:t xml:space="preserve"> pay gap for men with learning difficulties </w:t>
      </w:r>
      <w:r>
        <w:t>is</w:t>
      </w:r>
      <w:r w:rsidRPr="006F62CA">
        <w:t xml:space="preserve"> 62%. This includes people with dyslexia and autism spectrum disorder.</w:t>
      </w:r>
      <w:r>
        <w:t xml:space="preserve"> Men with a physical impairment have</w:t>
      </w:r>
      <w:r w:rsidRPr="006F62CA">
        <w:t xml:space="preserve"> pay gaps </w:t>
      </w:r>
      <w:r>
        <w:t xml:space="preserve">from </w:t>
      </w:r>
      <w:r w:rsidRPr="006F62CA">
        <w:t>15% (</w:t>
      </w:r>
      <w:r>
        <w:t xml:space="preserve">for those with </w:t>
      </w:r>
      <w:r w:rsidRPr="006F62CA">
        <w:t>stomach, liver or kidney problems) to 28% (</w:t>
      </w:r>
      <w:r>
        <w:t xml:space="preserve">for those with </w:t>
      </w:r>
      <w:r w:rsidRPr="006F62CA">
        <w:t>visual impairments). The difference between non-disabled women</w:t>
      </w:r>
      <w:r>
        <w:t>’</w:t>
      </w:r>
      <w:r w:rsidRPr="006F62CA">
        <w:t xml:space="preserve">s pay and the pay of physically disabled women ranges from 8% to 18%.  </w:t>
      </w:r>
    </w:p>
    <w:p w:rsidR="00F467DD" w:rsidRDefault="00F467DD" w:rsidP="007E3AF9">
      <w:pPr>
        <w:pStyle w:val="Parabeforeanother"/>
      </w:pPr>
      <w:r>
        <w:t>Some, but not all, of the pay gap can be explained by differences in personal</w:t>
      </w:r>
      <w:r w:rsidR="009D41F9">
        <w:t xml:space="preserve"> characteristics</w:t>
      </w:r>
      <w:r>
        <w:t xml:space="preserve">, such as educational attainment. The GEO and </w:t>
      </w:r>
      <w:r>
        <w:rPr>
          <w:rFonts w:ascii="FSAlbert" w:eastAsiaTheme="minorHAnsi" w:hAnsi="FSAlbert" w:cs="FSAlbert"/>
        </w:rPr>
        <w:t xml:space="preserve">Centre for Analysis of Social Exclusion </w:t>
      </w:r>
      <w:r>
        <w:t xml:space="preserve">report (Hills </w:t>
      </w:r>
      <w:r w:rsidRPr="00C36385">
        <w:rPr>
          <w:i/>
        </w:rPr>
        <w:t>et al</w:t>
      </w:r>
      <w:r>
        <w:t>, 2010)  stated that the disability employment ‘penalty’ (the difference between the employment probabilities of disabled and non-disabled people, after controlling for other relevant characteristics) has steadily grown over the last 25 years, with disabled people with few or no qualifications the most significantly affected.</w:t>
      </w:r>
    </w:p>
    <w:p w:rsidR="00F467DD" w:rsidRDefault="00F467DD" w:rsidP="007E3AF9">
      <w:pPr>
        <w:pStyle w:val="Parabeforeanother"/>
      </w:pPr>
      <w:r>
        <w:t xml:space="preserve">In the mid-1970s, more than three-quarters of disabled people with few or no qualifications were in employment, but this proportion fell to just over a third by the period 2001–3 (Riddell </w:t>
      </w:r>
      <w:r w:rsidRPr="0012381B">
        <w:rPr>
          <w:i/>
        </w:rPr>
        <w:t>et al</w:t>
      </w:r>
      <w:r>
        <w:t xml:space="preserve">., 2010). Evidence from Berthoud (2011, cited in Meager and Higgins, 2011) also showed that the disability employment penalty increased from 17% in 1987 to 28% in 2000, and it has not reduced since then (Ibid.). </w:t>
      </w:r>
    </w:p>
    <w:p w:rsidR="00F467DD" w:rsidRPr="00017037" w:rsidRDefault="00F467DD" w:rsidP="00F467DD">
      <w:pPr>
        <w:pStyle w:val="Parabeforeanother"/>
      </w:pPr>
      <w:r>
        <w:lastRenderedPageBreak/>
        <w:t>An important factor in the pay gap for disabled people, as for women, is their concentration in part-time work and in less well-paid occupations (Longhi et al, 2009)</w:t>
      </w:r>
      <w:r w:rsidR="00A032EA">
        <w:t>.</w:t>
      </w:r>
      <w:r>
        <w:t xml:space="preserve"> Longhi and Platt</w:t>
      </w:r>
      <w:r w:rsidRPr="00017037">
        <w:t xml:space="preserve"> argue that </w:t>
      </w:r>
      <w:r>
        <w:t>‘</w:t>
      </w:r>
      <w:r w:rsidRPr="00017037">
        <w:t>labour market discrimination is potentially more relevant to limiting access to employment and to particular types of occupation than for pay within occupations</w:t>
      </w:r>
      <w:r>
        <w:t>’</w:t>
      </w:r>
      <w:r w:rsidRPr="00017037">
        <w:t xml:space="preserve"> (cited in </w:t>
      </w:r>
      <w:r>
        <w:t xml:space="preserve">Hills </w:t>
      </w:r>
      <w:r w:rsidRPr="0012381B">
        <w:rPr>
          <w:i/>
        </w:rPr>
        <w:t>et al</w:t>
      </w:r>
      <w:r>
        <w:t xml:space="preserve">., 2010, p. </w:t>
      </w:r>
      <w:r w:rsidRPr="00017037">
        <w:t xml:space="preserve">231). </w:t>
      </w:r>
    </w:p>
    <w:p w:rsidR="00F467DD" w:rsidRDefault="00F467DD" w:rsidP="00F467DD">
      <w:pPr>
        <w:pStyle w:val="Parabeforeanother"/>
      </w:pPr>
      <w:r w:rsidRPr="00AA553E">
        <w:t xml:space="preserve">In the literature on disability, </w:t>
      </w:r>
      <w:r>
        <w:t>several</w:t>
      </w:r>
      <w:r w:rsidRPr="00AA553E">
        <w:t xml:space="preserve"> commentators suggest that</w:t>
      </w:r>
      <w:r>
        <w:t>,</w:t>
      </w:r>
      <w:r w:rsidRPr="00AA553E">
        <w:t xml:space="preserve"> despite anti-discrimination legislation and welfare-to-work policy instruments, limited progress has been made in improving the labour market position of disabled people (Meager and Higgins, 2011). Shah (2005) note that UK legislation has tended to </w:t>
      </w:r>
      <w:r>
        <w:t>‘</w:t>
      </w:r>
      <w:r w:rsidRPr="00AA553E">
        <w:t>depend on a measure of homogeneity within disabled groups of employees in order to produce effective remedies</w:t>
      </w:r>
      <w:r>
        <w:t>’</w:t>
      </w:r>
      <w:r w:rsidRPr="00AA553E">
        <w:t xml:space="preserve"> (Shah, 2005</w:t>
      </w:r>
      <w:r>
        <w:t>, p.</w:t>
      </w:r>
      <w:r w:rsidRPr="00AA553E">
        <w:t xml:space="preserve"> 10)</w:t>
      </w:r>
      <w:r>
        <w:t>. T</w:t>
      </w:r>
      <w:r w:rsidRPr="00AA553E">
        <w:t>his can present challenges</w:t>
      </w:r>
      <w:r>
        <w:t>, because</w:t>
      </w:r>
      <w:r w:rsidRPr="00AA553E">
        <w:t xml:space="preserve"> disabled people are a </w:t>
      </w:r>
      <w:r>
        <w:t>‘</w:t>
      </w:r>
      <w:r w:rsidRPr="00AA553E">
        <w:t>heterogeneous group with different needs according to the type and severity of their impairment</w:t>
      </w:r>
      <w:r>
        <w:t>’</w:t>
      </w:r>
      <w:r w:rsidRPr="00AA553E">
        <w:t xml:space="preserve"> (Shah, 2005</w:t>
      </w:r>
      <w:r>
        <w:t>,</w:t>
      </w:r>
      <w:r w:rsidRPr="00AA553E">
        <w:t xml:space="preserve"> </w:t>
      </w:r>
      <w:r>
        <w:t xml:space="preserve">p. </w:t>
      </w:r>
      <w:r w:rsidRPr="00AA553E">
        <w:t>10)</w:t>
      </w:r>
      <w:r>
        <w:t>. As such, t</w:t>
      </w:r>
      <w:r w:rsidRPr="00AA553E">
        <w:t>here cannot be a ‘one size fits all’ approach</w:t>
      </w:r>
      <w:r>
        <w:t xml:space="preserve"> to improving the labour market position of disabled people</w:t>
      </w:r>
      <w:r w:rsidRPr="00AA553E">
        <w:t xml:space="preserve"> (Longhi and Platt, 2008).</w:t>
      </w:r>
    </w:p>
    <w:p w:rsidR="00F467DD" w:rsidRDefault="00F467DD" w:rsidP="00F467DD">
      <w:pPr>
        <w:pStyle w:val="Parabeforeanother"/>
      </w:pPr>
      <w:r>
        <w:t xml:space="preserve">While the gender pay gap literature is extensive, there is less research into the disability pay gap. Much of the research into the disability pay gap focuses on barriers to disabled people finding and keeping work, and overall employment rates. Little research has directly considered the disability pay gap, especially in relation to specific interventions to reduce it.  </w:t>
      </w:r>
    </w:p>
    <w:p w:rsidR="00F467DD" w:rsidRDefault="00F467DD" w:rsidP="00F467DD">
      <w:pPr>
        <w:pStyle w:val="Parabeforeanother"/>
      </w:pPr>
      <w:r>
        <w:t>There was an acknowledgement in the workshops that much of the current UK Government policy and employer focus is on helping people with disabilities into employment, rather than closing their pay gaps once in work. Most workshop participants felt that this was the correct emphasis for now, but many were also alarmed at the initial data presented on the scale of pay gaps once disabled people were in employment.</w:t>
      </w:r>
    </w:p>
    <w:p w:rsidR="00F467DD" w:rsidRDefault="00F467DD" w:rsidP="00F467DD">
      <w:pPr>
        <w:pStyle w:val="Parabeforeanother"/>
      </w:pPr>
      <w:r>
        <w:t xml:space="preserve">There is, however, a larger body of literature around broader legislative, policy and employer interventions which, in turn, will have an impact on the disability pay gap. We consider these interventions in the following section. </w:t>
      </w:r>
    </w:p>
    <w:p w:rsidR="00F467DD" w:rsidRDefault="00F467DD" w:rsidP="007E3AF9">
      <w:pPr>
        <w:pStyle w:val="Parabeforenewsection"/>
      </w:pPr>
      <w:r>
        <w:t xml:space="preserve">We first consider the interventions linked to improving disabled people’s access to employment; then we turn to interventions aimed at influencing pay levels for disabled employees. </w:t>
      </w:r>
    </w:p>
    <w:p w:rsidR="00F467DD" w:rsidRPr="00556DF2" w:rsidRDefault="00F467DD" w:rsidP="00054304">
      <w:pPr>
        <w:pStyle w:val="Title-sectionsorange"/>
        <w:ind w:left="720" w:hanging="720"/>
      </w:pPr>
      <w:bookmarkStart w:id="31" w:name="_Toc474306849"/>
      <w:bookmarkStart w:id="32" w:name="_Toc490135093"/>
      <w:r w:rsidRPr="00707C78">
        <w:rPr>
          <w:color w:val="auto"/>
        </w:rPr>
        <w:lastRenderedPageBreak/>
        <w:t>3.2</w:t>
      </w:r>
      <w:r w:rsidRPr="00556DF2">
        <w:tab/>
        <w:t>Legal requirements to support access to employment for disabled people</w:t>
      </w:r>
      <w:bookmarkEnd w:id="31"/>
      <w:bookmarkEnd w:id="32"/>
    </w:p>
    <w:p w:rsidR="00F467DD" w:rsidRDefault="00F467DD" w:rsidP="00707C78">
      <w:pPr>
        <w:pStyle w:val="Parabeforenewsubsection"/>
      </w:pPr>
      <w:r>
        <w:t xml:space="preserve">The Equality Act 2010 makes it unlawful to discriminate against disabled people who are seeking, or in, employment and places a duty on employers to make reasonable adjustments for disabled people to support them in employment. </w:t>
      </w:r>
    </w:p>
    <w:p w:rsidR="00F467DD" w:rsidRDefault="00B05452" w:rsidP="00B05452">
      <w:pPr>
        <w:pStyle w:val="Title-subsections"/>
        <w:outlineLvl w:val="2"/>
      </w:pPr>
      <w:r>
        <w:t xml:space="preserve">3.2.1 </w:t>
      </w:r>
      <w:r w:rsidR="00F467DD">
        <w:t xml:space="preserve">Reasonable adjustments </w:t>
      </w:r>
    </w:p>
    <w:p w:rsidR="00F467DD" w:rsidRDefault="00F467DD" w:rsidP="00F467DD">
      <w:pPr>
        <w:pStyle w:val="Parabeforeanother"/>
      </w:pPr>
      <w:r>
        <w:t>The Business Disability Forum found that almost all employers (96%) now report having a process in place for making reasonable adjustments (Selvanera and Whippy, 2015). However, less than a fifth of employers have written policies on reasonable adjustments (Selvanera and Whippy, 2015).</w:t>
      </w:r>
    </w:p>
    <w:p w:rsidR="00F467DD" w:rsidRDefault="00F467DD" w:rsidP="00707C78">
      <w:pPr>
        <w:pStyle w:val="Parabeforeanother"/>
      </w:pPr>
      <w:r>
        <w:t xml:space="preserve">Interviews with employers conducted before the Disability Discrimination Act 2005 by Goldstone and Meager (2002, cited in Riddell </w:t>
      </w:r>
      <w:r w:rsidRPr="009C3091">
        <w:rPr>
          <w:i/>
        </w:rPr>
        <w:t>et al</w:t>
      </w:r>
      <w:r>
        <w:t xml:space="preserve">., 2010) showed that employers found it easier to make reasonable adjustments for new recruits with disabilities rather than for existing employees who acquire a disability. Law </w:t>
      </w:r>
      <w:r w:rsidRPr="009C3091">
        <w:rPr>
          <w:i/>
        </w:rPr>
        <w:t>et al</w:t>
      </w:r>
      <w:r>
        <w:t xml:space="preserve">. (2007, cited in Riddell </w:t>
      </w:r>
      <w:r w:rsidRPr="009C3091">
        <w:rPr>
          <w:i/>
        </w:rPr>
        <w:t>et al</w:t>
      </w:r>
      <w:r>
        <w:t xml:space="preserve">., 2010) noted the importance of an employer’s understanding of the adjustments required by their disabled employees in retaining disabled staff. </w:t>
      </w:r>
    </w:p>
    <w:p w:rsidR="00F467DD" w:rsidRDefault="00F467DD" w:rsidP="00707C78">
      <w:pPr>
        <w:pStyle w:val="Parabeforenewsubsection"/>
      </w:pPr>
      <w:r>
        <w:t xml:space="preserve">Meager and Higgins (2011) observed that the expectation of many employers is that adjustments will be ‘costly and burdensome’, but disabled employees reported that the most important way to enable participation was by modifying or reducing   working hours. Similarly, Grewal </w:t>
      </w:r>
      <w:r w:rsidRPr="009C3091">
        <w:rPr>
          <w:i/>
        </w:rPr>
        <w:t>et al</w:t>
      </w:r>
      <w:r>
        <w:t>. (2002, cited in Meager and Higgins, 2011) found that just under half of disabled workers had a form of working time adjustment, the most common being flexi-time (19%), and just under a quarter of all disabled workers with special working arrangements (24%) said they could not do their job without them. However, there was a perception among some employers that flexible working above a certain job grade was not feasible</w:t>
      </w:r>
      <w:r w:rsidR="00B837B1">
        <w:t>. It was thought that c</w:t>
      </w:r>
      <w:r>
        <w:t>hanging this perception</w:t>
      </w:r>
      <w:r w:rsidR="00B837B1">
        <w:t xml:space="preserve">, so that employers were more accepting of flexible working, </w:t>
      </w:r>
      <w:r>
        <w:t xml:space="preserve">would have a significant </w:t>
      </w:r>
      <w:r w:rsidR="00B837B1">
        <w:t xml:space="preserve">positive </w:t>
      </w:r>
      <w:r>
        <w:t>impact on the pay gap of disabled employees and women who face barriers in accessing higher-paid grades.</w:t>
      </w:r>
    </w:p>
    <w:p w:rsidR="00F467DD" w:rsidRDefault="00B05452" w:rsidP="00B05452">
      <w:pPr>
        <w:pStyle w:val="Title-subsections"/>
        <w:outlineLvl w:val="2"/>
      </w:pPr>
      <w:r>
        <w:t xml:space="preserve">3.2.2 </w:t>
      </w:r>
      <w:r w:rsidR="00F467DD">
        <w:t>Companies Act 2006</w:t>
      </w:r>
    </w:p>
    <w:p w:rsidR="00F467DD" w:rsidRDefault="00F467DD" w:rsidP="00707C78">
      <w:pPr>
        <w:pStyle w:val="Parabeforeanother"/>
      </w:pPr>
      <w:r>
        <w:t xml:space="preserve">Disclosure about disabled people’s employment circumstances is a requirement for large companies under the Large and Medium-sized Companies and Groups (Accounts and Reports) Regulations 2008, part of the Companies Act 2006. This requires companies, in their Directors’ Reports, to provide information about the </w:t>
      </w:r>
      <w:r>
        <w:lastRenderedPageBreak/>
        <w:t xml:space="preserve">employment, training, career development and promotion of disabled people. The regulations apply to companies who employ more than 250 people. </w:t>
      </w:r>
    </w:p>
    <w:p w:rsidR="00F467DD" w:rsidRDefault="00F467DD" w:rsidP="00707C78">
      <w:pPr>
        <w:pStyle w:val="Parabeforebulletss"/>
      </w:pPr>
      <w:r>
        <w:t>A brief examination of the Directors’ Reports of large companies for the purposes of this literature review found that such disclosure is commonly in the form of a simple statement relating to the company’s equality policies. For example:</w:t>
      </w:r>
    </w:p>
    <w:p w:rsidR="00F467DD" w:rsidRDefault="00F467DD" w:rsidP="00F467DD">
      <w:pPr>
        <w:pStyle w:val="Bullet-followedbyothers"/>
        <w:ind w:left="720" w:hanging="360"/>
      </w:pPr>
      <w:r>
        <w:t xml:space="preserve">John Lewis Directors’ Report: </w:t>
      </w:r>
      <w:r w:rsidRPr="009C3091">
        <w:t>‘The Partnership recruits people with disabilities to suitable vacancies on merit. Where disability occurs during the period of employment, every effort is made to continue to provide suitable employment with the provision of appropriate training</w:t>
      </w:r>
      <w:r>
        <w:t xml:space="preserve">’ (John Lewis, 2014, p. 78). </w:t>
      </w:r>
    </w:p>
    <w:p w:rsidR="00F467DD" w:rsidRDefault="00F467DD" w:rsidP="00054304">
      <w:pPr>
        <w:pStyle w:val="Bullet-lastingroup"/>
        <w:spacing w:after="420"/>
        <w:ind w:left="714" w:hanging="357"/>
      </w:pPr>
      <w:r>
        <w:t>Debenhams Directors’ Report</w:t>
      </w:r>
      <w:r w:rsidR="000465FA">
        <w:t>:</w:t>
      </w:r>
      <w:r>
        <w:t xml:space="preserve"> ‘</w:t>
      </w:r>
      <w:r w:rsidRPr="009C3091">
        <w:t>The Company seeks wherever possible to make reasonable adjustments to ensure that an employee who becomes disabled during the course of his or her employment is able to continue working effectively. This includes: providing equipment or altering working arrangements; providing additional training; re-allocating on a temporary or permanent basis some of the employee’s duties to other members of staff; transferring the employee to a suitable alternative role; and adjusting working times. Any such adjustment will be monitored and reviewed on a regular basis to ensure it continues to be effective</w:t>
      </w:r>
      <w:r>
        <w:t>’</w:t>
      </w:r>
      <w:r w:rsidRPr="005A49AD">
        <w:t xml:space="preserve"> </w:t>
      </w:r>
      <w:r>
        <w:t>(Debenhams, 2014, p. 80).</w:t>
      </w:r>
    </w:p>
    <w:p w:rsidR="00F467DD" w:rsidRDefault="00B05452" w:rsidP="00B05452">
      <w:pPr>
        <w:pStyle w:val="Title-subsections"/>
        <w:outlineLvl w:val="2"/>
      </w:pPr>
      <w:r>
        <w:t xml:space="preserve">3.2.3 </w:t>
      </w:r>
      <w:r w:rsidR="00F467DD">
        <w:t>Access to Work</w:t>
      </w:r>
    </w:p>
    <w:p w:rsidR="00F467DD" w:rsidRDefault="00F467DD" w:rsidP="00F467DD">
      <w:pPr>
        <w:pStyle w:val="Parabeforeanother"/>
      </w:pPr>
      <w:r>
        <w:t xml:space="preserve">‘Access to Work’ (AtW) was introduced by the UK Government in 1994, and aims to support disabled workers by providing a grant (capped at £40,800 from 1 October 2015) to pay for practical support with overcoming work-related obstacles (Bell and Heitmueller, 2009; Gov.uk, 2015). This support may include equipment adaptions or special equipment; support workers; travel to work grants; and communication assistance at job interviews, etc. </w:t>
      </w:r>
    </w:p>
    <w:p w:rsidR="00F467DD" w:rsidRDefault="00F467DD" w:rsidP="00F467DD">
      <w:pPr>
        <w:pStyle w:val="Parabeforeanother"/>
      </w:pPr>
      <w:r>
        <w:t xml:space="preserve">More than 110,000 disabled people have accessed the AtW programme since its introduction (Selvanera and Whippy 2015). In 2014, more than 35,000 people benefitted from the programme, and this number increased the following year (DWP, 2015). </w:t>
      </w:r>
    </w:p>
    <w:p w:rsidR="00F467DD" w:rsidRDefault="00F467DD" w:rsidP="00F467DD">
      <w:pPr>
        <w:pStyle w:val="Parabeforeanother"/>
      </w:pPr>
      <w:r>
        <w:t xml:space="preserve">A qualitative evaluation of the AtW scheme on behalf of the DWP in 2009 (Dewson </w:t>
      </w:r>
      <w:r w:rsidRPr="009C3091">
        <w:rPr>
          <w:i/>
        </w:rPr>
        <w:t>et al</w:t>
      </w:r>
      <w:r>
        <w:t>., 2009)</w:t>
      </w:r>
      <w:r>
        <w:rPr>
          <w:rStyle w:val="FootnoteReference"/>
        </w:rPr>
        <w:footnoteReference w:id="20"/>
      </w:r>
      <w:r>
        <w:t xml:space="preserve"> revealed that employers were far more knowledgeable about their employees’ disabilities because of the AtW assessment, and had raised awareness </w:t>
      </w:r>
      <w:r>
        <w:lastRenderedPageBreak/>
        <w:t xml:space="preserve">of the ways in which they could support their disabled employees. AtW also increased productivity, improved staff retention rates, improved employee well-being and, in a few cases, helped recruit disabled people. </w:t>
      </w:r>
    </w:p>
    <w:p w:rsidR="00F467DD" w:rsidRDefault="00F467DD" w:rsidP="00F467DD">
      <w:pPr>
        <w:pStyle w:val="Parabeforenewsubsection"/>
      </w:pPr>
      <w:r>
        <w:t xml:space="preserve">Overall, the evaluation found that AtW had a positive impact for its clients in terms of reducing sickness absence and absenteeism, supporting people to stay in work after acquiring a disability, reducing work-related expenses for disabled people and improving general well-being (Dewson </w:t>
      </w:r>
      <w:r w:rsidRPr="009C3091">
        <w:rPr>
          <w:i/>
        </w:rPr>
        <w:t>et al</w:t>
      </w:r>
      <w:r>
        <w:t>., 2009).</w:t>
      </w:r>
    </w:p>
    <w:p w:rsidR="00F467DD" w:rsidRDefault="00B05452" w:rsidP="00B05452">
      <w:pPr>
        <w:pStyle w:val="Title-subsections"/>
        <w:outlineLvl w:val="2"/>
      </w:pPr>
      <w:r>
        <w:t xml:space="preserve">3.2.4 </w:t>
      </w:r>
      <w:r w:rsidR="00F467DD">
        <w:t>Positive about Disabled People ‘Two Ticks’ symbol</w:t>
      </w:r>
    </w:p>
    <w:p w:rsidR="00F467DD" w:rsidRDefault="00F467DD" w:rsidP="00F467DD">
      <w:pPr>
        <w:pStyle w:val="Parabeforebulletss"/>
      </w:pPr>
      <w:r>
        <w:t>The Two Ticks Positive about Disabled People symbol</w:t>
      </w:r>
      <w:r>
        <w:rPr>
          <w:rStyle w:val="FootnoteReference"/>
        </w:rPr>
        <w:footnoteReference w:id="21"/>
      </w:r>
      <w:r>
        <w:t xml:space="preserve"> was launched in 1990 and is awarded by Jobcentre Plus to employers who have made voluntary commitments to employ, retain and develop disabled people. Employers displaying the symbol commit to the following:</w:t>
      </w:r>
    </w:p>
    <w:p w:rsidR="00F467DD" w:rsidRDefault="00F467DD" w:rsidP="00F467DD">
      <w:pPr>
        <w:pStyle w:val="Numberedlist"/>
      </w:pPr>
      <w:r>
        <w:t>1.</w:t>
      </w:r>
      <w:r>
        <w:tab/>
        <w:t>To interview all disabled applicants who meet the minimum criteria for a job vacancy and to consider them on their abilities.</w:t>
      </w:r>
    </w:p>
    <w:p w:rsidR="00F467DD" w:rsidRDefault="00F467DD" w:rsidP="00F467DD">
      <w:pPr>
        <w:pStyle w:val="Numberedlist"/>
      </w:pPr>
      <w:r>
        <w:t>2.</w:t>
      </w:r>
      <w:r>
        <w:tab/>
        <w:t>To discuss with disabled employees, at any time but at least once a year, what both parties can do to make sure disabled employees can develop and use their abilities.</w:t>
      </w:r>
    </w:p>
    <w:p w:rsidR="00F467DD" w:rsidRDefault="00F467DD" w:rsidP="00F467DD">
      <w:pPr>
        <w:pStyle w:val="Numberedlist"/>
      </w:pPr>
      <w:r>
        <w:t>3.</w:t>
      </w:r>
      <w:r>
        <w:tab/>
        <w:t>To make every effort when employees become disabled to make sure they stay in employment.</w:t>
      </w:r>
    </w:p>
    <w:p w:rsidR="00F467DD" w:rsidRDefault="00F467DD" w:rsidP="00F467DD">
      <w:pPr>
        <w:pStyle w:val="Numberedlist"/>
      </w:pPr>
      <w:r>
        <w:t>4.</w:t>
      </w:r>
      <w:r>
        <w:tab/>
        <w:t>To act to ensure that all employees develop the appropriate level of disability awareness.</w:t>
      </w:r>
    </w:p>
    <w:p w:rsidR="007F3EAD" w:rsidRDefault="00F467DD" w:rsidP="00F467DD">
      <w:pPr>
        <w:pStyle w:val="Numberedlist"/>
      </w:pPr>
      <w:r>
        <w:t>5.</w:t>
      </w:r>
      <w:r>
        <w:tab/>
        <w:t xml:space="preserve">To review these commitments each year and assess what has been achieved, plan ways to improve on them and let employees and Jobcentre Plus know about progress and plans for the future. </w:t>
      </w:r>
    </w:p>
    <w:p w:rsidR="00F467DD" w:rsidRDefault="00F467DD" w:rsidP="007F3EAD">
      <w:pPr>
        <w:pStyle w:val="Numberedlist"/>
        <w:ind w:left="0" w:firstLine="0"/>
      </w:pPr>
      <w:r>
        <w:t>(</w:t>
      </w:r>
      <w:hyperlink r:id="rId18" w:history="1">
        <w:r>
          <w:rPr>
            <w:rStyle w:val="Hyperlink"/>
          </w:rPr>
          <w:t>Gov.uk,</w:t>
        </w:r>
      </w:hyperlink>
      <w:r>
        <w:rPr>
          <w:rStyle w:val="Hyperlink"/>
        </w:rPr>
        <w:t xml:space="preserve"> 2016)</w:t>
      </w:r>
    </w:p>
    <w:p w:rsidR="00F467DD" w:rsidRDefault="00F467DD" w:rsidP="00F467DD">
      <w:pPr>
        <w:pStyle w:val="Numberedlist"/>
      </w:pPr>
    </w:p>
    <w:p w:rsidR="00F467DD" w:rsidRDefault="00F467DD" w:rsidP="00056057">
      <w:pPr>
        <w:pStyle w:val="Parabeforeanother"/>
        <w:jc w:val="both"/>
      </w:pPr>
      <w:r>
        <w:t xml:space="preserve">The Two Ticks symbol is widely used (Hoque </w:t>
      </w:r>
      <w:r w:rsidRPr="009C3091">
        <w:rPr>
          <w:i/>
        </w:rPr>
        <w:t>et al</w:t>
      </w:r>
      <w:r w:rsidR="00056057">
        <w:t xml:space="preserve">., 2014), with 8,387 employers </w:t>
      </w:r>
      <w:r>
        <w:t>be</w:t>
      </w:r>
      <w:r w:rsidR="000465FA">
        <w:t xml:space="preserve">ing awarded the symbol between </w:t>
      </w:r>
      <w:r>
        <w:t>1990 and</w:t>
      </w:r>
      <w:r w:rsidR="00056057">
        <w:t xml:space="preserve"> </w:t>
      </w:r>
      <w:r>
        <w:t xml:space="preserve">2012 (DWP, 2012, cited in Hoque </w:t>
      </w:r>
      <w:r w:rsidRPr="009C3091">
        <w:rPr>
          <w:i/>
        </w:rPr>
        <w:t>et al</w:t>
      </w:r>
      <w:r>
        <w:t>., 2014).</w:t>
      </w:r>
    </w:p>
    <w:p w:rsidR="00F467DD" w:rsidRDefault="00F467DD" w:rsidP="00056057">
      <w:pPr>
        <w:pStyle w:val="Parabeforeanother"/>
      </w:pPr>
      <w:r>
        <w:t xml:space="preserve">In the absence of formal monitoring, some limited research has examined the impact of the Two Ticks symbol on employer practice. Woodhams and Corby (2007, cited in Hoque </w:t>
      </w:r>
      <w:r w:rsidRPr="009C3091">
        <w:rPr>
          <w:i/>
        </w:rPr>
        <w:t>et al</w:t>
      </w:r>
      <w:r>
        <w:t xml:space="preserve">., 2014) found the proportion of disabled employees is higher in workplaces signed up to the Two Ticks commitment. However, a Trades Union Congress study (2009, cited in Hoque </w:t>
      </w:r>
      <w:r w:rsidRPr="009C3091">
        <w:rPr>
          <w:i/>
        </w:rPr>
        <w:t>et al</w:t>
      </w:r>
      <w:r>
        <w:t xml:space="preserve">., 2014) found only limited adherence to </w:t>
      </w:r>
      <w:r>
        <w:lastRenderedPageBreak/>
        <w:t xml:space="preserve">the five Two Ticks commitments and employer support for, and dialogue with, workplace ‘Disability Champions’. In addition, little evidence was found that the commitments were more widely observed, or that support for Disability Champions was any greater, among Two Ticks employers compared with those that were not part of the scheme. Hoque and Noon go so far as to suggest that, based on this evidence, the </w:t>
      </w:r>
      <w:r w:rsidRPr="007A4D41">
        <w:t xml:space="preserve">symbol </w:t>
      </w:r>
      <w:r>
        <w:t>‘</w:t>
      </w:r>
      <w:r w:rsidRPr="007A4D41">
        <w:t>may often comprise little more than an empty shell</w:t>
      </w:r>
      <w:r>
        <w:t xml:space="preserve">’ (2004, cited in Hoque </w:t>
      </w:r>
      <w:r w:rsidRPr="0095332E">
        <w:rPr>
          <w:i/>
        </w:rPr>
        <w:t>et al</w:t>
      </w:r>
      <w:r w:rsidRPr="0095332E">
        <w:t>.</w:t>
      </w:r>
      <w:r>
        <w:t>, 2014, p. 447).</w:t>
      </w:r>
    </w:p>
    <w:p w:rsidR="00F467DD" w:rsidRPr="00EC5665" w:rsidRDefault="00F467DD" w:rsidP="00056057">
      <w:pPr>
        <w:pStyle w:val="Parabeforenewsubsection"/>
      </w:pPr>
      <w:r w:rsidRPr="007A4D41">
        <w:t xml:space="preserve">In summary, the research </w:t>
      </w:r>
      <w:r>
        <w:t>into</w:t>
      </w:r>
      <w:r w:rsidRPr="007A4D41">
        <w:t xml:space="preserve"> the effectiveness of the Two Ticks symbol is inconclusive. Hoque </w:t>
      </w:r>
      <w:r w:rsidRPr="009C3091">
        <w:rPr>
          <w:i/>
        </w:rPr>
        <w:t>et al</w:t>
      </w:r>
      <w:r>
        <w:t>.</w:t>
      </w:r>
      <w:r w:rsidRPr="007A4D41">
        <w:t xml:space="preserve"> (2014) argue that the effectiveness of the Two Ticks symbol is hampered by its dependence on </w:t>
      </w:r>
      <w:r>
        <w:t>‘</w:t>
      </w:r>
      <w:r w:rsidRPr="007A4D41">
        <w:t>employer goodwill</w:t>
      </w:r>
      <w:r>
        <w:t>’</w:t>
      </w:r>
      <w:r w:rsidRPr="007A4D41">
        <w:t xml:space="preserve"> and express concern that the symbol is adopted by employers for its </w:t>
      </w:r>
      <w:r>
        <w:t>‘</w:t>
      </w:r>
      <w:r w:rsidRPr="007A4D41">
        <w:t>potential reputational benefits</w:t>
      </w:r>
      <w:r>
        <w:t>,</w:t>
      </w:r>
      <w:r w:rsidRPr="007A4D41">
        <w:t xml:space="preserve"> rather than because of a genuine concern for disability issues</w:t>
      </w:r>
      <w:r>
        <w:t>’</w:t>
      </w:r>
      <w:r w:rsidRPr="007A4D41">
        <w:t xml:space="preserve"> (</w:t>
      </w:r>
      <w:r>
        <w:t xml:space="preserve">p. </w:t>
      </w:r>
      <w:r w:rsidRPr="007A4D41">
        <w:t>447).</w:t>
      </w:r>
    </w:p>
    <w:p w:rsidR="00F467DD" w:rsidRDefault="00B05452" w:rsidP="00B05452">
      <w:pPr>
        <w:pStyle w:val="Title-subsections"/>
        <w:outlineLvl w:val="2"/>
      </w:pPr>
      <w:r>
        <w:t xml:space="preserve">3.2.5 </w:t>
      </w:r>
      <w:r w:rsidR="00F467DD">
        <w:t>Disability Confident Campaign</w:t>
      </w:r>
    </w:p>
    <w:p w:rsidR="00F467DD" w:rsidRDefault="00F467DD" w:rsidP="00056057">
      <w:pPr>
        <w:pStyle w:val="Parabeforebulletss"/>
      </w:pPr>
      <w:r>
        <w:t xml:space="preserve">DWP’s Disability Confident Campaign was launched in 2013 and aims to work with employers to remove barriers, increase understanding and ensure that disabled people have the opportunities to fulfil their potential (Gov.uk, 2014). Some ‘best practice’ examples from the campaign include: </w:t>
      </w:r>
    </w:p>
    <w:p w:rsidR="00F467DD" w:rsidRDefault="00F467DD" w:rsidP="00F467DD">
      <w:pPr>
        <w:pStyle w:val="Bullet-followedbyothers"/>
        <w:ind w:left="720" w:hanging="360"/>
      </w:pPr>
      <w:r>
        <w:t>Transport for London: peer-to-peer groups offer practical help and advice (Gov.uk, 2014).</w:t>
      </w:r>
    </w:p>
    <w:p w:rsidR="00F467DD" w:rsidRDefault="00F467DD" w:rsidP="00F467DD">
      <w:pPr>
        <w:pStyle w:val="Bullet-followedbyothers"/>
        <w:ind w:left="720" w:hanging="360"/>
      </w:pPr>
      <w:r>
        <w:t>National Grid: National Grid’s EmployAbility Internships provide work experience which give disabled interns exposure to multiple roles and departments. Interns are supported by mentors and placements can result in permanent positions (Gov.uk, 2014).</w:t>
      </w:r>
    </w:p>
    <w:p w:rsidR="00F467DD" w:rsidRDefault="00F467DD" w:rsidP="00F467DD">
      <w:pPr>
        <w:pStyle w:val="Bullet-lastingroup"/>
        <w:ind w:left="720" w:hanging="360"/>
      </w:pPr>
      <w:r>
        <w:t>Hands Free Computing Ltd: approximately a quarter of Hands Free Computing’s employees have a disability. The company provides speech recognition software and hardware, and delivers training and support to disabled people. The job application process is ‘inclusive of individuals with disabilities’ (Ibid.) and during recruitment interviews disabled applicants are made aware that other employees within the organisation have long-term health conditions and disabilities, which helps creates an open and inclusive culture (Ibid.).</w:t>
      </w:r>
    </w:p>
    <w:p w:rsidR="00F467DD" w:rsidRDefault="00F467DD" w:rsidP="00056057">
      <w:pPr>
        <w:pStyle w:val="Parabeforeanother"/>
      </w:pPr>
      <w:r>
        <w:t xml:space="preserve">There has been no formal evaluation of the effectiveness of the Disability Confident Campaign, but the campaign now has 368 partners and supporters, including large, medium and small employers, and disabled people’s groups and charities. In the period from 2015, the campaign was aiming to target SMEs and ‘to dispel myths </w:t>
      </w:r>
      <w:r>
        <w:lastRenderedPageBreak/>
        <w:t>around the difficulties perceived by some SMEs about recruiting and retaining disabled people’ (Pilkington, 2015). Existing partners will also be encouraged to mentor SMEs in their supply chain to become ‘Disability Confident’ (Pilkington, 2015).</w:t>
      </w:r>
    </w:p>
    <w:p w:rsidR="00F467DD" w:rsidRDefault="00F467DD" w:rsidP="00056057">
      <w:pPr>
        <w:pStyle w:val="Parabeforeanother"/>
      </w:pPr>
      <w:r>
        <w:t xml:space="preserve">A new Disability Confident self-assessment accreditation scheme for employers to replace the </w:t>
      </w:r>
      <w:r>
        <w:rPr>
          <w:color w:val="0C0C0C"/>
          <w:lang w:val="en"/>
        </w:rPr>
        <w:t>Two Ticks symbol</w:t>
      </w:r>
      <w:r>
        <w:rPr>
          <w:rStyle w:val="FootnoteReference"/>
          <w:color w:val="0C0C0C"/>
          <w:lang w:val="en"/>
        </w:rPr>
        <w:footnoteReference w:id="22"/>
      </w:r>
      <w:r>
        <w:rPr>
          <w:color w:val="0C0C0C"/>
          <w:lang w:val="en"/>
        </w:rPr>
        <w:t xml:space="preserve"> was </w:t>
      </w:r>
      <w:r>
        <w:t>piloted during 2016. The DWP has acknowledged the need to make the new accreditation scheme more dynamic and effective than its predecessor (Recruiter, 2014), but the new scheme has already attracted some criticism for setting the bar too low for employers to display the disability confident symbol. The scheme has three levels:</w:t>
      </w:r>
      <w:r>
        <w:rPr>
          <w:lang w:val="en-US"/>
        </w:rPr>
        <w:t xml:space="preserve"> Disability Confident Committed, Disability Confident Employer and Disability Confident Leader.</w:t>
      </w:r>
      <w:r>
        <w:t xml:space="preserve"> Employers self-evaluate the first two levels and can then display the badge and certificate. </w:t>
      </w:r>
      <w:r>
        <w:rPr>
          <w:lang w:val="en-US"/>
        </w:rPr>
        <w:t>As it stands, it is possible for an employer to get to level three without employing disabled people.</w:t>
      </w:r>
    </w:p>
    <w:p w:rsidR="00F467DD" w:rsidRDefault="00F467DD" w:rsidP="00056057">
      <w:pPr>
        <w:pStyle w:val="Parabeforenewsection"/>
        <w:rPr>
          <w:lang w:eastAsia="en-GB"/>
        </w:rPr>
      </w:pPr>
      <w:r>
        <w:t>In its 2015 Manifesto, t</w:t>
      </w:r>
      <w:r>
        <w:rPr>
          <w:lang w:eastAsia="en-GB"/>
        </w:rPr>
        <w:t xml:space="preserve">he UK Government made a commitment to halve the employment gap for disabled people. In November 2016, the </w:t>
      </w:r>
      <w:r>
        <w:rPr>
          <w:color w:val="000000"/>
        </w:rPr>
        <w:t>Government published a Green Paper titled ‘Work, Health and Disability: Improving Lives’. This sets out proposed reforms to improve support for people with health conditions and disabilities, and explores the role of employers in further reducing the disability employment gap.</w:t>
      </w:r>
    </w:p>
    <w:p w:rsidR="00F467DD" w:rsidRDefault="00F467DD" w:rsidP="00056057">
      <w:pPr>
        <w:pStyle w:val="Title-sectionsorange"/>
      </w:pPr>
      <w:bookmarkStart w:id="33" w:name="_Toc474306850"/>
      <w:bookmarkStart w:id="34" w:name="_Toc490135094"/>
      <w:r w:rsidRPr="00056057">
        <w:rPr>
          <w:color w:val="auto"/>
        </w:rPr>
        <w:t>3.3</w:t>
      </w:r>
      <w:r>
        <w:tab/>
      </w:r>
      <w:r w:rsidRPr="00531BA6">
        <w:t>Interventions influencing pay</w:t>
      </w:r>
      <w:bookmarkEnd w:id="33"/>
      <w:bookmarkEnd w:id="34"/>
      <w:r w:rsidRPr="00531BA6">
        <w:t xml:space="preserve"> </w:t>
      </w:r>
    </w:p>
    <w:p w:rsidR="00F467DD" w:rsidRDefault="00F467DD" w:rsidP="00056057">
      <w:pPr>
        <w:pStyle w:val="Parabeforenewsubsection"/>
      </w:pPr>
      <w:r>
        <w:t xml:space="preserve">As illustrated above, much government </w:t>
      </w:r>
      <w:r w:rsidRPr="00056057">
        <w:t>policy</w:t>
      </w:r>
      <w:r>
        <w:t xml:space="preserve"> has focused on disabled people’s entry to the labour market and employment rates (Sayce, 2010). In this section, we discuss interventions which support disabled people’s career and pay progression.  </w:t>
      </w:r>
    </w:p>
    <w:p w:rsidR="00F467DD" w:rsidRDefault="00B05452" w:rsidP="00B05452">
      <w:pPr>
        <w:pStyle w:val="Title-subsections"/>
        <w:outlineLvl w:val="2"/>
      </w:pPr>
      <w:r>
        <w:t xml:space="preserve">3.3.1 </w:t>
      </w:r>
      <w:r w:rsidR="00F467DD">
        <w:t xml:space="preserve">National Minimum Wage </w:t>
      </w:r>
    </w:p>
    <w:p w:rsidR="00F467DD" w:rsidRDefault="00F467DD" w:rsidP="00F467DD">
      <w:pPr>
        <w:pStyle w:val="Parabeforeanother"/>
      </w:pPr>
      <w:r>
        <w:t xml:space="preserve">The latest evidence from the Low Pay Commission shows that the disability pay gap increased in 2013/14 (LPC, 2015). On the other hand, employment rates for disabled people have risen more strongly than for non-disabled people (up by 7.2 percentage points compared with 0.5 percentage points). Disabled workers have also experienced reductions or less-than-average increases in unemployment and inactivity rates since the introduction of the National Minimum Wage (NMW) in 1999 </w:t>
      </w:r>
      <w:r>
        <w:lastRenderedPageBreak/>
        <w:t xml:space="preserve">(LPC, 2015). The improvement in employment rates of disabled workers may ultimately contribute to a reduction in the disability pay gap, especially if there is a positive wage-job tenure relationship (Meager and Higgins, 2011). </w:t>
      </w:r>
    </w:p>
    <w:p w:rsidR="00F467DD" w:rsidRDefault="00F467DD" w:rsidP="00F467DD">
      <w:pPr>
        <w:pStyle w:val="Parabeforeanother"/>
      </w:pPr>
      <w:r>
        <w:t xml:space="preserve">Riddell </w:t>
      </w:r>
      <w:r w:rsidRPr="00737322">
        <w:rPr>
          <w:i/>
        </w:rPr>
        <w:t>et al</w:t>
      </w:r>
      <w:r>
        <w:t xml:space="preserve">. (2010) use this evidence to note that initial concerns that the NMW might encourage employers to replace disabled workers (on the proviso that non-disabled workers may be more productive) appear to have been unfounded. Evidence from Burchardt and McKnight (2003, cited in Riddell </w:t>
      </w:r>
      <w:r w:rsidRPr="00737322">
        <w:rPr>
          <w:i/>
        </w:rPr>
        <w:t>et al</w:t>
      </w:r>
      <w:r>
        <w:t xml:space="preserve">., 2010) supports this assumption; employment retention rates for low-paid disabled workers improved over the period of the introduction of the NMW. There is also evidence that existing disabled employees experienced better chances of job retention in the recession which began in 2008 (cited in Riddell </w:t>
      </w:r>
      <w:r w:rsidRPr="00737322">
        <w:rPr>
          <w:i/>
        </w:rPr>
        <w:t>et al</w:t>
      </w:r>
      <w:r w:rsidRPr="00737322">
        <w:t>.</w:t>
      </w:r>
      <w:r>
        <w:t xml:space="preserve">, 2010). </w:t>
      </w:r>
    </w:p>
    <w:p w:rsidR="00F467DD" w:rsidRPr="005F4C5C" w:rsidRDefault="00F467DD" w:rsidP="00F467DD">
      <w:pPr>
        <w:pStyle w:val="Parabeforenewsubsection"/>
        <w:rPr>
          <w:b/>
        </w:rPr>
      </w:pPr>
      <w:r>
        <w:t xml:space="preserve">It is clear that the NMW disproportionally benefits people in low-paid work (Woodhams </w:t>
      </w:r>
      <w:r w:rsidRPr="00737322">
        <w:rPr>
          <w:i/>
        </w:rPr>
        <w:t>et al</w:t>
      </w:r>
      <w:r>
        <w:t xml:space="preserve">., 2015b). Disabled workers hold almost 13% of all minimum wage jobs, despite accounting for only about 8% of total employee jobs, and almost 12% of jobs held by disabled workers were minimum-wage jobs (compared with about 7% for non-disabled workers) (LPC, 2015). Work by Schneider and Dutton (2002, cited in Riddell </w:t>
      </w:r>
      <w:r w:rsidRPr="00737322">
        <w:rPr>
          <w:i/>
        </w:rPr>
        <w:t>et al</w:t>
      </w:r>
      <w:r>
        <w:t xml:space="preserve">., 2010) found that, among 200 employers of disabled people, there was general agreement that the NMW had benefited disabled people by improving their pay. However, some held the view that the NMW had created additional obstacles to the employment of disabled people. </w:t>
      </w:r>
    </w:p>
    <w:p w:rsidR="00F467DD" w:rsidRPr="00EB0C64" w:rsidRDefault="00B05452" w:rsidP="00056057">
      <w:pPr>
        <w:pStyle w:val="Title-subsections"/>
      </w:pPr>
      <w:r>
        <w:t xml:space="preserve">3.3.2 </w:t>
      </w:r>
      <w:r w:rsidR="00F467DD" w:rsidRPr="00EB0C64">
        <w:t>Public Sector Equality Duty</w:t>
      </w:r>
    </w:p>
    <w:p w:rsidR="00F467DD" w:rsidRDefault="00F467DD" w:rsidP="00056057">
      <w:pPr>
        <w:pStyle w:val="Parabeforenewsubsection"/>
      </w:pPr>
      <w:r w:rsidRPr="00A86C04">
        <w:t xml:space="preserve">In Scotland, </w:t>
      </w:r>
      <w:r>
        <w:t>the Public Sector Equality Duty (PSED) applies to disability in the same way as it does to gender (apart from the requirement to publish a pay gap, which only applies to gender). T</w:t>
      </w:r>
      <w:r w:rsidRPr="00A86C04">
        <w:t>he specific duty require</w:t>
      </w:r>
      <w:r>
        <w:t>s</w:t>
      </w:r>
      <w:r w:rsidRPr="00A86C04">
        <w:t xml:space="preserve"> </w:t>
      </w:r>
      <w:r>
        <w:t>listed public authorities</w:t>
      </w:r>
      <w:r w:rsidRPr="00A86C04">
        <w:t xml:space="preserve"> to gather employment information related to disability</w:t>
      </w:r>
      <w:r>
        <w:t>,</w:t>
      </w:r>
      <w:r w:rsidRPr="00A86C04">
        <w:t xml:space="preserve"> publish employment information in a ‘mainstrea</w:t>
      </w:r>
      <w:r>
        <w:t xml:space="preserve">ming report’ every two years (from 2013), and </w:t>
      </w:r>
      <w:r w:rsidRPr="00824D18">
        <w:t xml:space="preserve">publish equality outcomes </w:t>
      </w:r>
      <w:r>
        <w:t xml:space="preserve">and report progress. Scottish public authorities are required from </w:t>
      </w:r>
      <w:r w:rsidRPr="00824D18">
        <w:t xml:space="preserve">2017 </w:t>
      </w:r>
      <w:r>
        <w:t xml:space="preserve">to </w:t>
      </w:r>
      <w:r w:rsidRPr="00824D18">
        <w:t>publish a statement on equal pay relating to disability</w:t>
      </w:r>
      <w:r>
        <w:t>. This should include a</w:t>
      </w:r>
      <w:r w:rsidRPr="00824D18">
        <w:t xml:space="preserve"> policy on equal pay relating to disabled people and the concentration of disabled and non-disabled people in </w:t>
      </w:r>
      <w:r>
        <w:t>specific grades and occupations. Public authorities already appear to be collecting data to meet this requirement (Close the Gap, 2012). Robert Gordon University, for example, published its pay gap for disabled people (</w:t>
      </w:r>
      <w:r w:rsidR="002556D4">
        <w:t>minus 3.76</w:t>
      </w:r>
      <w:r>
        <w:t xml:space="preserve">%) in 2014 (EHRC, 2015a). </w:t>
      </w:r>
    </w:p>
    <w:p w:rsidR="00CD23F8" w:rsidRDefault="00CD23F8">
      <w:pPr>
        <w:spacing w:after="200" w:line="276" w:lineRule="auto"/>
        <w:rPr>
          <w:rFonts w:cs="Arial"/>
          <w:b/>
          <w:szCs w:val="24"/>
        </w:rPr>
      </w:pPr>
      <w:r>
        <w:br w:type="page"/>
      </w:r>
    </w:p>
    <w:p w:rsidR="00F467DD" w:rsidRDefault="00B05452" w:rsidP="00B05452">
      <w:pPr>
        <w:pStyle w:val="Title-subsections"/>
        <w:outlineLvl w:val="2"/>
      </w:pPr>
      <w:r>
        <w:lastRenderedPageBreak/>
        <w:t xml:space="preserve">3.3.3 </w:t>
      </w:r>
      <w:r w:rsidR="00F467DD">
        <w:t>Employer interventions</w:t>
      </w:r>
    </w:p>
    <w:p w:rsidR="00F467DD" w:rsidRPr="00054304" w:rsidRDefault="00F467DD" w:rsidP="00056057">
      <w:pPr>
        <w:pStyle w:val="Title-subsections"/>
        <w:rPr>
          <w:b w:val="0"/>
          <w:i/>
        </w:rPr>
      </w:pPr>
      <w:r w:rsidRPr="00054304">
        <w:rPr>
          <w:b w:val="0"/>
          <w:i/>
        </w:rPr>
        <w:t>Recruitment</w:t>
      </w:r>
    </w:p>
    <w:p w:rsidR="00F467DD" w:rsidRDefault="00F467DD" w:rsidP="00056057">
      <w:pPr>
        <w:pStyle w:val="Parabeforeanother"/>
      </w:pPr>
      <w:r>
        <w:t xml:space="preserve">A trial to test whether </w:t>
      </w:r>
      <w:r w:rsidRPr="00F83A63">
        <w:t>employer discrimi</w:t>
      </w:r>
      <w:r>
        <w:t>nation is a factor in the low employment and pay of disabled people</w:t>
      </w:r>
      <w:r w:rsidRPr="00F83A63">
        <w:t xml:space="preserve"> </w:t>
      </w:r>
      <w:r>
        <w:t xml:space="preserve">involved </w:t>
      </w:r>
      <w:r w:rsidRPr="00F83A63">
        <w:t xml:space="preserve">well-qualified fictional applicants </w:t>
      </w:r>
      <w:r>
        <w:t>applying for a</w:t>
      </w:r>
      <w:r w:rsidRPr="00F83A63">
        <w:t>ccounting positions, with one</w:t>
      </w:r>
      <w:r>
        <w:t xml:space="preserve"> </w:t>
      </w:r>
      <w:r w:rsidRPr="00F83A63">
        <w:t>third of cover letters disclosing a spinal cord injury, one</w:t>
      </w:r>
      <w:r>
        <w:t xml:space="preserve"> </w:t>
      </w:r>
      <w:r w:rsidRPr="00F83A63">
        <w:t xml:space="preserve">third disclosing the presence of Asperger’s Syndrome, </w:t>
      </w:r>
      <w:r w:rsidRPr="00CA0FF9">
        <w:t>and one</w:t>
      </w:r>
      <w:r>
        <w:t xml:space="preserve"> </w:t>
      </w:r>
      <w:r w:rsidRPr="00CA0FF9">
        <w:t>third not mentioning disability</w:t>
      </w:r>
      <w:r w:rsidRPr="00CF37D2">
        <w:t>.</w:t>
      </w:r>
      <w:r w:rsidRPr="00F83A63">
        <w:rPr>
          <w:color w:val="FF0000"/>
        </w:rPr>
        <w:t xml:space="preserve"> </w:t>
      </w:r>
      <w:r w:rsidRPr="00F83A63">
        <w:t xml:space="preserve">The specific disabilities were chosen because they would not be expected to limit productivity in accounting, </w:t>
      </w:r>
      <w:r>
        <w:t xml:space="preserve">which </w:t>
      </w:r>
      <w:r w:rsidRPr="00F83A63">
        <w:t>help</w:t>
      </w:r>
      <w:r>
        <w:t>ed</w:t>
      </w:r>
      <w:r w:rsidRPr="00F83A63">
        <w:t xml:space="preserve"> </w:t>
      </w:r>
      <w:r>
        <w:t xml:space="preserve">to </w:t>
      </w:r>
      <w:r w:rsidRPr="00F83A63">
        <w:t>rule out productivity-based explanations for any differences in employer responses.</w:t>
      </w:r>
    </w:p>
    <w:p w:rsidR="00F467DD" w:rsidRDefault="00F467DD" w:rsidP="00056057">
      <w:pPr>
        <w:pStyle w:val="Parabeforeanother"/>
      </w:pPr>
      <w:r w:rsidRPr="00F83A63">
        <w:t xml:space="preserve">The fictional applicants with disabilities received 26% fewer expressions of employer interest than those without disabilities, with little difference between the two types of disability. The </w:t>
      </w:r>
      <w:r>
        <w:t xml:space="preserve">disparity was particularly large </w:t>
      </w:r>
      <w:r w:rsidRPr="00F83A63">
        <w:t>among more experienced applicants, and among private companies with fewer than 15 employees</w:t>
      </w:r>
      <w:r>
        <w:t xml:space="preserve">. </w:t>
      </w:r>
      <w:r w:rsidRPr="00F83A63">
        <w:t xml:space="preserve">The </w:t>
      </w:r>
      <w:r>
        <w:t xml:space="preserve">research concluded that </w:t>
      </w:r>
      <w:r w:rsidRPr="00F83A63">
        <w:t>disability discrimination continues to impede employment prospects and more attention needs to be paid to employer behavio</w:t>
      </w:r>
      <w:r>
        <w:t>u</w:t>
      </w:r>
      <w:r w:rsidRPr="00F83A63">
        <w:t>r and the demand side of the labo</w:t>
      </w:r>
      <w:r>
        <w:t>u</w:t>
      </w:r>
      <w:r w:rsidRPr="00F83A63">
        <w:t>r market for people with disabilities</w:t>
      </w:r>
      <w:r>
        <w:t xml:space="preserve"> (Ameri </w:t>
      </w:r>
      <w:r>
        <w:rPr>
          <w:i/>
        </w:rPr>
        <w:t>et al</w:t>
      </w:r>
      <w:r>
        <w:t xml:space="preserve">., 2015). </w:t>
      </w:r>
    </w:p>
    <w:p w:rsidR="00F467DD" w:rsidRDefault="00F467DD" w:rsidP="00056057">
      <w:pPr>
        <w:pStyle w:val="Parabeforeanother"/>
      </w:pPr>
      <w:r>
        <w:t xml:space="preserve">The results of a German trial (Krause </w:t>
      </w:r>
      <w:r w:rsidRPr="005C5CBC">
        <w:rPr>
          <w:i/>
        </w:rPr>
        <w:t>et al</w:t>
      </w:r>
      <w:r>
        <w:t>., 2012) suggests that, as with trials testing gender-blind recruitment, a</w:t>
      </w:r>
      <w:r w:rsidRPr="000C6AF0">
        <w:rPr>
          <w:rFonts w:eastAsia="Times New Roman"/>
        </w:rPr>
        <w:t xml:space="preserve">nonymising the job application process appears to lead to </w:t>
      </w:r>
      <w:r w:rsidRPr="000C6AF0">
        <w:t>less discrimination against minority groups</w:t>
      </w:r>
      <w:r>
        <w:t xml:space="preserve">, including disabled people. </w:t>
      </w:r>
      <w:r w:rsidRPr="00B26716">
        <w:t xml:space="preserve">The applicant’s name and contact details, gender, nationality, date </w:t>
      </w:r>
      <w:r>
        <w:t xml:space="preserve">and place of birth, disability, and </w:t>
      </w:r>
      <w:r w:rsidRPr="00B26716">
        <w:t>marital status were anonymised</w:t>
      </w:r>
      <w:r>
        <w:t>.</w:t>
      </w:r>
    </w:p>
    <w:p w:rsidR="00F467DD" w:rsidRDefault="00F467DD" w:rsidP="00056057">
      <w:pPr>
        <w:pStyle w:val="Parabeforenewsubsection"/>
      </w:pPr>
      <w:r>
        <w:t>Several private and voluntary sector organisations work with employers to improve disabled people’s access to employment. These specialise in providing tools and services to support inclusive recruitment practice and adopt best practice principles when recruiting. Similarly, the Business Disability Forum offers a recruitment audit service that assesses the accessibility of employers’ recruitment processes and procedures and offers support and guidance for making changes.</w:t>
      </w:r>
      <w:r>
        <w:rPr>
          <w:rStyle w:val="FootnoteReference"/>
        </w:rPr>
        <w:footnoteReference w:id="23"/>
      </w:r>
      <w:r>
        <w:t xml:space="preserve"> </w:t>
      </w:r>
    </w:p>
    <w:p w:rsidR="00F467DD" w:rsidRPr="00054304" w:rsidRDefault="00F467DD" w:rsidP="00056057">
      <w:pPr>
        <w:pStyle w:val="Title-subsections"/>
        <w:rPr>
          <w:b w:val="0"/>
          <w:i/>
        </w:rPr>
      </w:pPr>
      <w:r w:rsidRPr="00054304">
        <w:rPr>
          <w:b w:val="0"/>
          <w:i/>
        </w:rPr>
        <w:t>Career progression</w:t>
      </w:r>
    </w:p>
    <w:p w:rsidR="00F467DD" w:rsidRDefault="00F467DD" w:rsidP="00056057">
      <w:pPr>
        <w:pStyle w:val="Parabeforeanother"/>
      </w:pPr>
      <w:r>
        <w:t xml:space="preserve">Disabled workers experience disadvantage in career progression and in access to training opportunities which contribute to the disability pay gap (Jones, 2008, cited in Hoque </w:t>
      </w:r>
      <w:r w:rsidRPr="005F707C">
        <w:rPr>
          <w:i/>
        </w:rPr>
        <w:t>et al</w:t>
      </w:r>
      <w:r>
        <w:t xml:space="preserve">., 2014; Meager and Higgins, 2011). Interventions aimed at improving employer practice, especially linked to career development opportunities, should in theory reduce the disability pay gap. </w:t>
      </w:r>
    </w:p>
    <w:p w:rsidR="00F467DD" w:rsidRDefault="00F467DD" w:rsidP="00F467DD">
      <w:pPr>
        <w:pStyle w:val="Parabeforebulletss"/>
      </w:pPr>
      <w:r>
        <w:lastRenderedPageBreak/>
        <w:t>RADAR, the disability network, surveyed disabled people</w:t>
      </w:r>
      <w:r w:rsidRPr="00711ED1">
        <w:t xml:space="preserve"> </w:t>
      </w:r>
      <w:r>
        <w:t>and identified two types of employer support which were associated with career progression and high earnings among disabled people.</w:t>
      </w:r>
      <w:r>
        <w:rPr>
          <w:rStyle w:val="FootnoteReference"/>
        </w:rPr>
        <w:footnoteReference w:id="24"/>
      </w:r>
      <w:r>
        <w:t xml:space="preserve"> These were: </w:t>
      </w:r>
    </w:p>
    <w:p w:rsidR="00F467DD" w:rsidRPr="00CF37D2" w:rsidRDefault="00F467DD" w:rsidP="00F467DD">
      <w:pPr>
        <w:pStyle w:val="Bullet-followedbyothers"/>
        <w:ind w:left="720" w:hanging="360"/>
      </w:pPr>
      <w:r>
        <w:t>A</w:t>
      </w:r>
      <w:r w:rsidRPr="00CF37D2">
        <w:t xml:space="preserve"> committed mentor: 39</w:t>
      </w:r>
      <w:r>
        <w:t>%</w:t>
      </w:r>
      <w:r w:rsidRPr="00CF37D2">
        <w:t xml:space="preserve"> of those earning £80,000 or above reported having a senior mentor</w:t>
      </w:r>
      <w:r>
        <w:t xml:space="preserve"> or </w:t>
      </w:r>
      <w:r w:rsidRPr="00CF37D2">
        <w:t xml:space="preserve">someone committed to their career, compared </w:t>
      </w:r>
      <w:r>
        <w:t>with</w:t>
      </w:r>
      <w:r w:rsidRPr="00CF37D2">
        <w:t xml:space="preserve"> 24</w:t>
      </w:r>
      <w:r>
        <w:t xml:space="preserve">% </w:t>
      </w:r>
      <w:r w:rsidRPr="00CF37D2">
        <w:t>of those earning less than £80,000</w:t>
      </w:r>
      <w:r>
        <w:t>.</w:t>
      </w:r>
    </w:p>
    <w:p w:rsidR="00F467DD" w:rsidRPr="00CF37D2" w:rsidRDefault="00F467DD" w:rsidP="00F467DD">
      <w:pPr>
        <w:pStyle w:val="Bullet-lastingroup"/>
        <w:ind w:left="720" w:hanging="360"/>
      </w:pPr>
      <w:r>
        <w:t>Senior</w:t>
      </w:r>
      <w:r w:rsidRPr="00CF37D2">
        <w:t xml:space="preserve"> staff support throughout a career: 46</w:t>
      </w:r>
      <w:r>
        <w:t>%</w:t>
      </w:r>
      <w:r w:rsidRPr="00CF37D2">
        <w:t xml:space="preserve"> of those earning £80,000 or above had received this senior support, as compared </w:t>
      </w:r>
      <w:r>
        <w:t>with</w:t>
      </w:r>
      <w:r w:rsidRPr="00CF37D2">
        <w:t xml:space="preserve"> 30</w:t>
      </w:r>
      <w:r>
        <w:t>%</w:t>
      </w:r>
      <w:r w:rsidRPr="00CF37D2">
        <w:t xml:space="preserve"> of those earning less than £80,000 (Sayce, 2010).</w:t>
      </w:r>
    </w:p>
    <w:p w:rsidR="00F467DD" w:rsidRDefault="00F467DD" w:rsidP="00F467DD">
      <w:pPr>
        <w:pStyle w:val="Parabeforeanother"/>
      </w:pPr>
      <w:r>
        <w:t>The</w:t>
      </w:r>
      <w:r w:rsidRPr="00977BE5">
        <w:t xml:space="preserve"> </w:t>
      </w:r>
      <w:r>
        <w:t>Business Disability Forum also found that the presence of senior support for disabled workers was to be a common characteristic of ‘disability smart’ organisations (Selvanera and Whippy, 2015).</w:t>
      </w:r>
      <w:r>
        <w:rPr>
          <w:rStyle w:val="FootnoteReference"/>
        </w:rPr>
        <w:footnoteReference w:id="25"/>
      </w:r>
      <w:r>
        <w:t xml:space="preserve"> Disability-smart organisations are considered to have good practices in retaining and developing employees with disabilities (Ibid.). </w:t>
      </w:r>
      <w:r w:rsidRPr="00CF37D2">
        <w:t>Some 25</w:t>
      </w:r>
      <w:r>
        <w:t>%</w:t>
      </w:r>
      <w:r w:rsidRPr="00CF37D2">
        <w:t xml:space="preserve"> of employers were found to have senior sponsors </w:t>
      </w:r>
      <w:r>
        <w:t>‘</w:t>
      </w:r>
      <w:r w:rsidRPr="00CF37D2">
        <w:t>prioritising improvements in disability performance</w:t>
      </w:r>
      <w:r>
        <w:t>’</w:t>
      </w:r>
      <w:r w:rsidR="002556D4">
        <w:t xml:space="preserve"> </w:t>
      </w:r>
      <w:r w:rsidRPr="00CF37D2">
        <w:t>and organisations with disabled</w:t>
      </w:r>
      <w:r>
        <w:t xml:space="preserve"> </w:t>
      </w:r>
      <w:r w:rsidRPr="00CF37D2">
        <w:t xml:space="preserve">role models also tended to operate a </w:t>
      </w:r>
      <w:r>
        <w:t>‘</w:t>
      </w:r>
      <w:r w:rsidRPr="00CF37D2">
        <w:t>whole organisation approach</w:t>
      </w:r>
      <w:r>
        <w:t>’</w:t>
      </w:r>
      <w:r w:rsidRPr="00CF37D2">
        <w:t xml:space="preserve"> to</w:t>
      </w:r>
      <w:r>
        <w:t xml:space="preserve"> disability practice including having staff networks for employees with disabilities, which increases the visibility of disability within an organisation </w:t>
      </w:r>
      <w:r w:rsidRPr="00CF37D2">
        <w:t>(Ibid</w:t>
      </w:r>
      <w:r w:rsidR="002556D4">
        <w:t>.</w:t>
      </w:r>
      <w:r>
        <w:t>, p.13</w:t>
      </w:r>
      <w:r w:rsidRPr="00CF37D2">
        <w:t>.)</w:t>
      </w:r>
      <w:r>
        <w:t>. Organisations with a lead person for retaining employees with disabilities were also found to be among the best in ensuring good practice (Ibid.).</w:t>
      </w:r>
    </w:p>
    <w:p w:rsidR="00F467DD" w:rsidRDefault="00F467DD" w:rsidP="00056057">
      <w:pPr>
        <w:pStyle w:val="Parabeforenewsubsection"/>
      </w:pPr>
      <w:r>
        <w:t xml:space="preserve">An example is a high-street bank with a disability network which, among other activities, has held a conference to discuss the career development aspirations of disabled employees (Ibid.). The network provided investment in building the skills and confidence of line managers and ensured consistency in the application of policies. This was to ensure that individual line managers felt supported in implementing policies on issues such as disability-related absence, returning to work and workplace adjustments. </w:t>
      </w:r>
    </w:p>
    <w:p w:rsidR="00F467DD" w:rsidRPr="00054304" w:rsidRDefault="00F467DD" w:rsidP="00056057">
      <w:pPr>
        <w:pStyle w:val="Title-subsections"/>
        <w:rPr>
          <w:b w:val="0"/>
          <w:i/>
        </w:rPr>
      </w:pPr>
      <w:r w:rsidRPr="00054304">
        <w:rPr>
          <w:b w:val="0"/>
          <w:i/>
        </w:rPr>
        <w:t xml:space="preserve">Retention </w:t>
      </w:r>
    </w:p>
    <w:p w:rsidR="00F467DD" w:rsidRPr="001740AD" w:rsidRDefault="00F467DD" w:rsidP="00056057">
      <w:pPr>
        <w:pStyle w:val="Parabeforeanother"/>
      </w:pPr>
      <w:r w:rsidRPr="000C6AF0">
        <w:t>At least 150,000 workers each year leave emplo</w:t>
      </w:r>
      <w:r>
        <w:t>yment because of health reasons (EHRC, 2012):</w:t>
      </w:r>
      <w:r w:rsidRPr="000C6AF0">
        <w:t xml:space="preserve"> </w:t>
      </w:r>
      <w:r>
        <w:t xml:space="preserve">many do so </w:t>
      </w:r>
      <w:r w:rsidRPr="000C6AF0">
        <w:t>because employers do no</w:t>
      </w:r>
      <w:r>
        <w:t xml:space="preserve">t offer the support they need. </w:t>
      </w:r>
    </w:p>
    <w:p w:rsidR="00F467DD" w:rsidRPr="00F83A63" w:rsidRDefault="00F467DD" w:rsidP="00056057">
      <w:pPr>
        <w:pStyle w:val="Parabeforeanother"/>
        <w:rPr>
          <w:lang w:val="en" w:eastAsia="en-GB"/>
        </w:rPr>
      </w:pPr>
      <w:r>
        <w:rPr>
          <w:lang w:val="en" w:eastAsia="en-GB"/>
        </w:rPr>
        <w:lastRenderedPageBreak/>
        <w:t>T</w:t>
      </w:r>
      <w:r w:rsidRPr="00F83A63">
        <w:rPr>
          <w:lang w:val="en" w:eastAsia="en-GB"/>
        </w:rPr>
        <w:t>he chance of a disabled person being able to re-enter the workforce during any particular quarter drop</w:t>
      </w:r>
      <w:r>
        <w:rPr>
          <w:lang w:val="en" w:eastAsia="en-GB"/>
        </w:rPr>
        <w:t>s</w:t>
      </w:r>
      <w:r w:rsidRPr="00F83A63">
        <w:rPr>
          <w:lang w:val="en" w:eastAsia="en-GB"/>
        </w:rPr>
        <w:t xml:space="preserve"> to just 2.4</w:t>
      </w:r>
      <w:r>
        <w:rPr>
          <w:lang w:val="en" w:eastAsia="en-GB"/>
        </w:rPr>
        <w:t>%</w:t>
      </w:r>
      <w:r w:rsidRPr="00F83A63">
        <w:rPr>
          <w:lang w:val="en" w:eastAsia="en-GB"/>
        </w:rPr>
        <w:t xml:space="preserve"> if they have been out of work for more than a year, compared with the 16</w:t>
      </w:r>
      <w:r>
        <w:rPr>
          <w:lang w:val="en" w:eastAsia="en-GB"/>
        </w:rPr>
        <w:t xml:space="preserve">% </w:t>
      </w:r>
      <w:r w:rsidRPr="00F83A63">
        <w:rPr>
          <w:lang w:val="en" w:eastAsia="en-GB"/>
        </w:rPr>
        <w:t>chance they stand if they have been out of w</w:t>
      </w:r>
      <w:r>
        <w:rPr>
          <w:lang w:val="en" w:eastAsia="en-GB"/>
        </w:rPr>
        <w:t xml:space="preserve">ork for less than a year. </w:t>
      </w:r>
      <w:r w:rsidRPr="00F83A63">
        <w:rPr>
          <w:lang w:val="en" w:eastAsia="en-GB"/>
        </w:rPr>
        <w:t xml:space="preserve">These figures mean that a disabled person's chance of being able to re-enter the workforce is 6.5 times lower if they spend more than </w:t>
      </w:r>
      <w:r>
        <w:rPr>
          <w:lang w:val="en" w:eastAsia="en-GB"/>
        </w:rPr>
        <w:t xml:space="preserve">a </w:t>
      </w:r>
      <w:r w:rsidRPr="00F83A63">
        <w:rPr>
          <w:lang w:val="en" w:eastAsia="en-GB"/>
        </w:rPr>
        <w:t>year unemployed</w:t>
      </w:r>
      <w:r>
        <w:rPr>
          <w:lang w:val="en" w:eastAsia="en-GB"/>
        </w:rPr>
        <w:t xml:space="preserve"> (Resolution Foundation, 2016). </w:t>
      </w:r>
    </w:p>
    <w:p w:rsidR="00F467DD" w:rsidRDefault="00F467DD" w:rsidP="00056057">
      <w:pPr>
        <w:pStyle w:val="Parabeforeanother"/>
      </w:pPr>
      <w:r w:rsidRPr="004F6167">
        <w:t>Young and Bhaumik (2011</w:t>
      </w:r>
      <w:r>
        <w:t>,</w:t>
      </w:r>
      <w:r w:rsidRPr="004F6167">
        <w:t xml:space="preserve"> cited in ENEI, 2014) found that a third of employers had taken at least one </w:t>
      </w:r>
      <w:r>
        <w:t xml:space="preserve">step </w:t>
      </w:r>
      <w:r w:rsidRPr="004F6167">
        <w:t>within the past 12 months to retain employees with health problems or facilitate their return to work, with the most commonly cited measure (29</w:t>
      </w:r>
      <w:r>
        <w:t>%</w:t>
      </w:r>
      <w:r w:rsidRPr="004F6167">
        <w:t>)</w:t>
      </w:r>
      <w:r>
        <w:t xml:space="preserve"> </w:t>
      </w:r>
      <w:r w:rsidRPr="004F6167">
        <w:t>reduc</w:t>
      </w:r>
      <w:r>
        <w:t>ing</w:t>
      </w:r>
      <w:r w:rsidRPr="004F6167">
        <w:t xml:space="preserve"> or </w:t>
      </w:r>
      <w:r>
        <w:t>changing</w:t>
      </w:r>
      <w:r w:rsidRPr="004F6167">
        <w:t xml:space="preserve"> working hours. In addition, Jones (2007) concluded</w:t>
      </w:r>
      <w:r>
        <w:t>,</w:t>
      </w:r>
      <w:r w:rsidRPr="004F6167">
        <w:t xml:space="preserve"> through an econometric analysis of </w:t>
      </w:r>
      <w:r>
        <w:t>Labour Force Survey</w:t>
      </w:r>
      <w:r w:rsidRPr="004F6167">
        <w:t xml:space="preserve"> data, that </w:t>
      </w:r>
      <w:r>
        <w:t>‘</w:t>
      </w:r>
      <w:r w:rsidRPr="004F6167">
        <w:t>part-time work provides an important means of accommodating a work-limiting disability, rather than reflecting the marginalisation of disabled people by employers</w:t>
      </w:r>
      <w:r>
        <w:t>’</w:t>
      </w:r>
      <w:r w:rsidRPr="004F6167">
        <w:t xml:space="preserve"> (cited in Meager and Higgins, 2011</w:t>
      </w:r>
      <w:r>
        <w:t xml:space="preserve">, p. </w:t>
      </w:r>
      <w:r w:rsidRPr="004F6167">
        <w:t>33).</w:t>
      </w:r>
    </w:p>
    <w:p w:rsidR="00F467DD" w:rsidRDefault="00F467DD" w:rsidP="00056057">
      <w:pPr>
        <w:pStyle w:val="Parabeforenewsubsection"/>
      </w:pPr>
      <w:r>
        <w:t>The Employers Network for Equality and Inclusion (ENEI) and EmployAbility have developed initiatives to tackle this problem by supporting employers in improving their practice on recruitment and retention of disabled people.</w:t>
      </w:r>
      <w:r>
        <w:rPr>
          <w:rStyle w:val="FootnoteReference"/>
        </w:rPr>
        <w:footnoteReference w:id="26"/>
      </w:r>
      <w:r>
        <w:t xml:space="preserve"> </w:t>
      </w:r>
    </w:p>
    <w:p w:rsidR="00F467DD" w:rsidRDefault="00B05452" w:rsidP="00B05452">
      <w:pPr>
        <w:pStyle w:val="Title-subsections"/>
        <w:outlineLvl w:val="2"/>
      </w:pPr>
      <w:r>
        <w:t xml:space="preserve">3.3.4 </w:t>
      </w:r>
      <w:r w:rsidR="00F467DD" w:rsidRPr="005F4C5C">
        <w:t>Slow pace of change</w:t>
      </w:r>
    </w:p>
    <w:p w:rsidR="00F467DD" w:rsidRDefault="00F467DD" w:rsidP="00056057">
      <w:pPr>
        <w:pStyle w:val="Parabeforeanother"/>
      </w:pPr>
      <w:r>
        <w:t>Improvements in disabled people’s experience of employment</w:t>
      </w:r>
      <w:r w:rsidRPr="004F6167">
        <w:t xml:space="preserve"> ha</w:t>
      </w:r>
      <w:r>
        <w:t>ve</w:t>
      </w:r>
      <w:r w:rsidRPr="004F6167">
        <w:t xml:space="preserve"> been slow despite legislation and Government support</w:t>
      </w:r>
      <w:r>
        <w:t xml:space="preserve">. </w:t>
      </w:r>
      <w:r w:rsidRPr="004F6167">
        <w:t xml:space="preserve">Hoque </w:t>
      </w:r>
      <w:r w:rsidRPr="005F707C">
        <w:rPr>
          <w:i/>
        </w:rPr>
        <w:t>et al</w:t>
      </w:r>
      <w:r>
        <w:t>.</w:t>
      </w:r>
      <w:r w:rsidRPr="004F6167">
        <w:t xml:space="preserve"> state that legislative changes have had limited impact due to the </w:t>
      </w:r>
      <w:r>
        <w:t>‘</w:t>
      </w:r>
      <w:r w:rsidRPr="004F6167">
        <w:t>paucity of disability practices within British workplaces</w:t>
      </w:r>
      <w:r>
        <w:t>’</w:t>
      </w:r>
      <w:r w:rsidRPr="004F6167">
        <w:t xml:space="preserve"> (2014</w:t>
      </w:r>
      <w:r>
        <w:t>, p.</w:t>
      </w:r>
      <w:r w:rsidRPr="004F6167">
        <w:t xml:space="preserve"> 431). Only </w:t>
      </w:r>
      <w:r>
        <w:t xml:space="preserve">4% of employers </w:t>
      </w:r>
      <w:r w:rsidRPr="004F6167">
        <w:t xml:space="preserve">reviewed relative pay rates by disability (Kersley </w:t>
      </w:r>
      <w:r w:rsidRPr="005F707C">
        <w:rPr>
          <w:i/>
        </w:rPr>
        <w:t>et al</w:t>
      </w:r>
      <w:r>
        <w:t>.</w:t>
      </w:r>
      <w:r w:rsidRPr="004F6167">
        <w:t>, 2006</w:t>
      </w:r>
      <w:r>
        <w:t>,</w:t>
      </w:r>
      <w:r w:rsidRPr="004F6167">
        <w:t xml:space="preserve"> cited in Hoque </w:t>
      </w:r>
      <w:r w:rsidRPr="005F707C">
        <w:rPr>
          <w:i/>
        </w:rPr>
        <w:t>et al</w:t>
      </w:r>
      <w:r>
        <w:t>.</w:t>
      </w:r>
      <w:r w:rsidRPr="004F6167">
        <w:t>, 2014).</w:t>
      </w:r>
    </w:p>
    <w:p w:rsidR="00F467DD" w:rsidRDefault="00F467DD" w:rsidP="00F467DD">
      <w:pPr>
        <w:pStyle w:val="Parabeforebulletss"/>
      </w:pPr>
      <w:r>
        <w:t xml:space="preserve">Research by the Business Disability Forum (2015) </w:t>
      </w:r>
      <w:r w:rsidR="00B837B1">
        <w:t>found that</w:t>
      </w:r>
      <w:r>
        <w:t xml:space="preserve"> employer practice is slow to improve. The Business Disability Forum report that 20% of all employers set targets for the recruitment of disabled people, but only 7% of private sector employers set these targets (Selvanera and Whippy, 2015). The BBC, KPMG and Channel 4 are among the organisations to have made public commitments to increase the recruitment of disabled people. KPMG has announced recruitment and development targets across four equality strands (gender, ethnicity, disability and sexual orientation) for the next three years. By 2018, KPMG aims to double the proportion of disabled employees from 1.4% to 2.8%. (KPMG, 2014). The following summarises a range of data-collection practices:</w:t>
      </w:r>
    </w:p>
    <w:p w:rsidR="00F467DD" w:rsidRDefault="00F467DD" w:rsidP="00056057">
      <w:pPr>
        <w:pStyle w:val="Bullet-followedbyothers"/>
      </w:pPr>
      <w:r>
        <w:lastRenderedPageBreak/>
        <w:t>Seven in ten employers collect data during recruitment: 69% collect data on applications to work, and 72% collect data on work acceptance offers by disabled people (Selvanera and Whippy, 2015).</w:t>
      </w:r>
    </w:p>
    <w:p w:rsidR="00F467DD" w:rsidRDefault="00F467DD" w:rsidP="00056057">
      <w:pPr>
        <w:pStyle w:val="Bullet-followedbyothers"/>
      </w:pPr>
      <w:r>
        <w:t xml:space="preserve">8% of employers set targets for the promotion of employees with disabilities, which is a key area for pay progression (Selvanera and Whippy, 2015). </w:t>
      </w:r>
    </w:p>
    <w:p w:rsidR="00F467DD" w:rsidRDefault="00F467DD" w:rsidP="00056057">
      <w:pPr>
        <w:pStyle w:val="Bullet-lastingroup"/>
      </w:pPr>
      <w:r>
        <w:t>42% of employers collect data on training by disability and 49% collect data on the promotion of disabled employees. Of those employers collecting this data, two thirds use it to inform strategy on the recruitment and retention of disabled employees (Selvanera and Whippy, 2015). Meager and</w:t>
      </w:r>
      <w:r w:rsidRPr="004542DC">
        <w:t xml:space="preserve"> Higgins (2011) note that there is no evidence that employers are generally less likely to train disabled workers than non-disabled workers, although the lowest-skilled disabled workers are least likely to be trained.</w:t>
      </w:r>
    </w:p>
    <w:p w:rsidR="00F467DD" w:rsidRPr="004F6167" w:rsidRDefault="00F467DD" w:rsidP="00F467DD">
      <w:pPr>
        <w:pStyle w:val="Parabeforeanother"/>
      </w:pPr>
      <w:r>
        <w:t>The Business Disability Forum survey research revealed that the main barriers to retention and development – and thereby pay progression – of disabled employees were: the lack of skills and confidence of line managers of disabled employees; the limited visibility of disabled people within the organisation; and a lack of targeted development of disabled employees (Selvanera and Whippy, 2015). The research highlighted several interventions that effectively considered these barriers, including a good understanding of, and approach to, reasonable work adjustments, and an organisational culture that</w:t>
      </w:r>
      <w:r w:rsidRPr="004F6167">
        <w:t xml:space="preserve"> </w:t>
      </w:r>
      <w:r>
        <w:t>‘</w:t>
      </w:r>
      <w:r w:rsidRPr="004F6167">
        <w:t>understand</w:t>
      </w:r>
      <w:r>
        <w:t>s</w:t>
      </w:r>
      <w:r w:rsidRPr="004F6167">
        <w:t xml:space="preserve"> the importance of disability in the workplace and how to effectively work with and develop employees with disabilities</w:t>
      </w:r>
      <w:r>
        <w:t>’</w:t>
      </w:r>
      <w:r w:rsidRPr="004F6167">
        <w:t xml:space="preserve"> (Selvanera and Whippy, 2015</w:t>
      </w:r>
      <w:r>
        <w:t xml:space="preserve">, p. </w:t>
      </w:r>
      <w:r w:rsidRPr="004F6167">
        <w:t>17).</w:t>
      </w:r>
    </w:p>
    <w:p w:rsidR="00F467DD" w:rsidRDefault="00F467DD" w:rsidP="00056057">
      <w:pPr>
        <w:pStyle w:val="Parabeforenewsection"/>
      </w:pPr>
      <w:r>
        <w:t xml:space="preserve">A common belief among workshop participants was that non-disclosure of employees’ and potential recruits’ disability is a significant challenge for employers aiming to monitor and improve their performance in respect of disabled employees. Participants felt that employers generally should do more to present more positive justifications for collecting this data, and promote the support offered to disabled employees following the example of some of the leading employers in this area. </w:t>
      </w:r>
    </w:p>
    <w:p w:rsidR="00CD23F8" w:rsidRDefault="00F467DD" w:rsidP="00F467DD">
      <w:pPr>
        <w:sectPr w:rsidR="00CD23F8" w:rsidSect="00A15D6E">
          <w:headerReference w:type="default" r:id="rId19"/>
          <w:pgSz w:w="11906" w:h="16838" w:code="9"/>
          <w:pgMar w:top="1440" w:right="1440" w:bottom="1440" w:left="1440" w:header="709" w:footer="709" w:gutter="0"/>
          <w:cols w:space="708"/>
          <w:docGrid w:linePitch="360"/>
        </w:sectPr>
      </w:pPr>
      <w:r>
        <w:br w:type="page"/>
      </w:r>
    </w:p>
    <w:p w:rsidR="00F467DD" w:rsidRDefault="00F467DD" w:rsidP="00056057">
      <w:pPr>
        <w:pStyle w:val="Title-chapterorange"/>
      </w:pPr>
      <w:bookmarkStart w:id="35" w:name="_Toc474306851"/>
      <w:bookmarkStart w:id="36" w:name="_Toc490135095"/>
      <w:r w:rsidRPr="00056057">
        <w:rPr>
          <w:color w:val="auto"/>
        </w:rPr>
        <w:lastRenderedPageBreak/>
        <w:t>4</w:t>
      </w:r>
      <w:r w:rsidR="00056057" w:rsidRPr="00056057">
        <w:rPr>
          <w:color w:val="auto"/>
        </w:rPr>
        <w:t xml:space="preserve"> | </w:t>
      </w:r>
      <w:r>
        <w:t>The e</w:t>
      </w:r>
      <w:r w:rsidRPr="00FC0461">
        <w:t>thnic</w:t>
      </w:r>
      <w:r w:rsidR="00141851">
        <w:t>ity</w:t>
      </w:r>
      <w:r w:rsidRPr="00FC0461">
        <w:t xml:space="preserve"> pay gap</w:t>
      </w:r>
      <w:bookmarkEnd w:id="35"/>
      <w:bookmarkEnd w:id="36"/>
    </w:p>
    <w:p w:rsidR="00F467DD" w:rsidRDefault="00F467DD" w:rsidP="00056057">
      <w:pPr>
        <w:pStyle w:val="Title-sectionsorange"/>
      </w:pPr>
      <w:bookmarkStart w:id="37" w:name="_Toc474306852"/>
      <w:bookmarkStart w:id="38" w:name="_Toc490135096"/>
      <w:r w:rsidRPr="00056057">
        <w:rPr>
          <w:color w:val="auto"/>
        </w:rPr>
        <w:t>4.1</w:t>
      </w:r>
      <w:r>
        <w:tab/>
      </w:r>
      <w:r w:rsidRPr="00FC0461">
        <w:t>Introduction</w:t>
      </w:r>
      <w:bookmarkEnd w:id="37"/>
      <w:bookmarkEnd w:id="38"/>
      <w:r w:rsidRPr="00FC0461">
        <w:t xml:space="preserve"> </w:t>
      </w:r>
    </w:p>
    <w:p w:rsidR="00F467DD" w:rsidRDefault="00F467DD" w:rsidP="00F467DD">
      <w:pPr>
        <w:pStyle w:val="Parabeforeanother"/>
      </w:pPr>
      <w:r>
        <w:t>Compared with gender, there is a dearth of literature on ethnic</w:t>
      </w:r>
      <w:r w:rsidR="00A23D46">
        <w:t>ity</w:t>
      </w:r>
      <w:r>
        <w:t xml:space="preserve"> pay gaps, particularly outside of the US (Longhi and Platt, 2008). Analysis of pay gaps has tended to focus on immigrants as a group rather than ethnicity (Bell (1997), Shields and Wheatley Price (1998), and Dustmann and Fabbri (2005), cited in Longhi and Platt, 2008). </w:t>
      </w:r>
    </w:p>
    <w:p w:rsidR="00F467DD" w:rsidRDefault="00F467DD" w:rsidP="00F467DD">
      <w:pPr>
        <w:pStyle w:val="Parabeforeanother"/>
      </w:pPr>
      <w:r>
        <w:t>In the UK, research has shown that a pay gap exists for most ethnic minorities compared with White British people (Metcalf, 2009; Longhi and Platt, 2008; Brynin and Güveli, 2012). The Low Pay Commission indicates that, in 2013/14, the gap was 5.9% (LPC, 2015). However, there is wide variation between the context for ethnic groups, with Black African, Caribbean, Pakistani and Bangladeshi men experiencing the greatest disadvantages in the UK labour market. These groups have tended to have higher unemployment rates, higher-than-average representation in routine or semi-routine occupations, and lower hourly earnings than White British people (Heath and Cheung, 2006). In all ethnic groups, pay gaps are also generally bigger for first generation migrants than for UK-born generations.</w:t>
      </w:r>
    </w:p>
    <w:p w:rsidR="00F467DD" w:rsidRDefault="00F467DD" w:rsidP="00F467DD">
      <w:pPr>
        <w:pStyle w:val="Parabeforeanother"/>
      </w:pPr>
      <w:r>
        <w:t>According to Brynin and Güveli (2012), the ethnic</w:t>
      </w:r>
      <w:r w:rsidR="00A23D46">
        <w:t>ity</w:t>
      </w:r>
      <w:r>
        <w:t xml:space="preserve"> pay gap can be the product of two distinct factors: ethnic minorities entering less-well-paid occupations, or ethnic minorities being paid less for doing the same work. It is necessary to distinguish between these two factors to assess the impact of any interventions put in place to reduce the ethnic</w:t>
      </w:r>
      <w:r w:rsidR="00A23D46">
        <w:t>ity</w:t>
      </w:r>
      <w:r>
        <w:t xml:space="preserve"> pay gap. Longhi, Nicoletti and Platt (2013) also report that pay gaps are mostly the result of segregation into particular occupations and in part-time work for less advantaged ethnic minority groups. At the top of the wage distribution, Longhi, Nicoletti and Platt (2013) found a ‘glass ceiling’ for the most advantaged minorities, which they state is consistent with employer discrimination. Determining the extent to which unexplained pay gaps are more prevalent at the bottom of the wage distribution (where ‘sticky floors’ exist) or at the top of it (where ‘glass ceilings’ exist) has significant policy implications (Ibid.). Longhi, Nicoletti and Platt (2013) also find that there is greater unexplained downward pressure on wages among the most </w:t>
      </w:r>
      <w:r>
        <w:lastRenderedPageBreak/>
        <w:t>disadvantaged minority groups, which possibly suggests that employer discrimination is more prevalent at higher wage levels; whereas at lower wage levels the specific occupations that are available to these groups determine pay gaps (Ibid.). The statistical analysis which accompanies this report provides further evidence on the drivers of ethnic</w:t>
      </w:r>
      <w:r w:rsidR="00A23D46">
        <w:t>ity</w:t>
      </w:r>
      <w:r>
        <w:t xml:space="preserve"> pay gaps.</w:t>
      </w:r>
      <w:r>
        <w:rPr>
          <w:rStyle w:val="FootnoteReference"/>
        </w:rPr>
        <w:footnoteReference w:id="27"/>
      </w:r>
      <w:r>
        <w:t xml:space="preserve"> </w:t>
      </w:r>
    </w:p>
    <w:p w:rsidR="00F467DD" w:rsidRDefault="00F467DD" w:rsidP="00F467DD">
      <w:pPr>
        <w:pStyle w:val="Parabeforenewsection"/>
      </w:pPr>
      <w:r>
        <w:t>In the workshops conducted as part of this review, participants believed that there had been more focus on avoiding discrimination than on pay and progression in the recruitment of workers from ethnic minority groups. They felt that the Government had sent a strong message to employers about the priority of gender equality. And, as with disability, employers stressed the problem of obtaining accurate data for analysis; this problem is due to the large but diverse classification category of ‘other white’ employees, as opposed to lack of disclosure. Some participants, however, felt that comparatively little extra effort would be required to report on disability and minority pay gaps along with gender gaps under the reporting requirement.</w:t>
      </w:r>
    </w:p>
    <w:p w:rsidR="00F467DD" w:rsidRPr="000C1AEC" w:rsidRDefault="00F467DD" w:rsidP="00056057">
      <w:pPr>
        <w:pStyle w:val="Title-sectionsorange"/>
      </w:pPr>
      <w:bookmarkStart w:id="39" w:name="_Toc474306853"/>
      <w:bookmarkStart w:id="40" w:name="_Toc490135097"/>
      <w:r w:rsidRPr="00056057">
        <w:rPr>
          <w:color w:val="auto"/>
        </w:rPr>
        <w:t>4.2</w:t>
      </w:r>
      <w:r w:rsidRPr="000C1AEC">
        <w:tab/>
        <w:t>Equality legislation and other government policy</w:t>
      </w:r>
      <w:bookmarkEnd w:id="39"/>
      <w:bookmarkEnd w:id="40"/>
    </w:p>
    <w:p w:rsidR="00F467DD" w:rsidRDefault="00B05452" w:rsidP="00B05452">
      <w:pPr>
        <w:pStyle w:val="Title-subsections"/>
        <w:outlineLvl w:val="2"/>
      </w:pPr>
      <w:r>
        <w:t xml:space="preserve">4.2.1 </w:t>
      </w:r>
      <w:r w:rsidR="00F467DD">
        <w:t>Public Sector Equality Duty</w:t>
      </w:r>
    </w:p>
    <w:p w:rsidR="00F467DD" w:rsidRPr="00A86C04" w:rsidRDefault="00F467DD" w:rsidP="00F467DD">
      <w:pPr>
        <w:pStyle w:val="Parabeforeanother"/>
      </w:pPr>
      <w:r>
        <w:t xml:space="preserve">The Equality Act 2010, which replaced the Race Relations Act 1976, makes it unlawful to discriminate against employees, job applicants and trainees because of colour, nationality, ethnic or national origin. Section 149 of the Equality Act 2010 brought the Public Sector Equality Duty (PSED) into force in April 2011. The PSED is underpinned by specific duties across England, Scotland and Wales. </w:t>
      </w:r>
    </w:p>
    <w:p w:rsidR="00F467DD" w:rsidRDefault="00F467DD" w:rsidP="00F467DD">
      <w:pPr>
        <w:pStyle w:val="Parabeforeanother"/>
      </w:pPr>
      <w:r w:rsidRPr="00A86C04">
        <w:t xml:space="preserve">In Scotland, </w:t>
      </w:r>
      <w:r>
        <w:t>the PSED applies to race in the same way as it does to disability. T</w:t>
      </w:r>
      <w:r w:rsidRPr="00A86C04">
        <w:t>he specific duty require</w:t>
      </w:r>
      <w:r>
        <w:t>s</w:t>
      </w:r>
      <w:r w:rsidRPr="00A86C04">
        <w:t xml:space="preserve"> </w:t>
      </w:r>
      <w:r>
        <w:t>listed public authorities</w:t>
      </w:r>
      <w:r w:rsidRPr="00A86C04">
        <w:t xml:space="preserve"> to gather employment information related to </w:t>
      </w:r>
      <w:r>
        <w:t>race,</w:t>
      </w:r>
      <w:r w:rsidRPr="00A86C04">
        <w:t xml:space="preserve"> publish employment information in a ‘mainstrea</w:t>
      </w:r>
      <w:r>
        <w:t xml:space="preserve">ming report’ every two years (from 2013), and </w:t>
      </w:r>
      <w:r w:rsidRPr="00824D18">
        <w:t xml:space="preserve">publish equality outcomes </w:t>
      </w:r>
      <w:r>
        <w:t xml:space="preserve">and report progress. Scottish public authorities are required (from </w:t>
      </w:r>
      <w:r w:rsidRPr="00824D18">
        <w:t>2017</w:t>
      </w:r>
      <w:r>
        <w:t>)</w:t>
      </w:r>
      <w:r w:rsidRPr="00824D18">
        <w:t xml:space="preserve"> </w:t>
      </w:r>
      <w:r>
        <w:t xml:space="preserve">to </w:t>
      </w:r>
      <w:r w:rsidRPr="00824D18">
        <w:t xml:space="preserve">publish a statement on equal pay relating to </w:t>
      </w:r>
      <w:r>
        <w:t>race. This should include a</w:t>
      </w:r>
      <w:r w:rsidRPr="00824D18">
        <w:t xml:space="preserve"> policy on equal pay and</w:t>
      </w:r>
      <w:r>
        <w:t>, if applicable,</w:t>
      </w:r>
      <w:r w:rsidRPr="00824D18">
        <w:t xml:space="preserve"> the concentration of </w:t>
      </w:r>
      <w:r>
        <w:t>certain minority racial groups in</w:t>
      </w:r>
      <w:r w:rsidRPr="00824D18">
        <w:t xml:space="preserve"> </w:t>
      </w:r>
      <w:r>
        <w:t xml:space="preserve">specific grades and occupations. </w:t>
      </w:r>
    </w:p>
    <w:p w:rsidR="00F467DD" w:rsidRDefault="00F467DD" w:rsidP="00F467DD">
      <w:pPr>
        <w:pStyle w:val="Parabeforeanother"/>
      </w:pPr>
      <w:r>
        <w:t>There is some evidence of Scottish listed public authorities preparing for these requirements. For example, Dundee University decided to monitor ethnicity in its 2015 equal pay audit and report on the ethnic</w:t>
      </w:r>
      <w:r w:rsidR="00A23D46">
        <w:t>ity</w:t>
      </w:r>
      <w:r>
        <w:t xml:space="preserve"> pay gap in its Pay Gap Information Report, despite this not being a requirement until 2017 (Trivedi, 2015). </w:t>
      </w:r>
    </w:p>
    <w:p w:rsidR="00F467DD" w:rsidRDefault="00F467DD" w:rsidP="000B078B">
      <w:pPr>
        <w:pStyle w:val="Parabeforetextbox"/>
      </w:pPr>
      <w:r>
        <w:lastRenderedPageBreak/>
        <w:t>Public sector bodies in Wales are also required to have due regard to the need to have objectives that address the causes of any pay difference between employees who are from a protected group, and those who are not; if it appears reasonably likely that the reason for the difference is related to the fact that those employees share a protected characteristic</w:t>
      </w:r>
      <w:r w:rsidR="00C708D6">
        <w:t>, for example</w:t>
      </w:r>
      <w:r w:rsidR="00B837B1">
        <w:t xml:space="preserve"> they are from a minority ethnic group</w:t>
      </w:r>
      <w:r w:rsidR="00B837B1" w:rsidRPr="0081659E">
        <w:t xml:space="preserve"> </w:t>
      </w:r>
      <w:r w:rsidRPr="0081659E">
        <w:t>(EHRC, 2014</w:t>
      </w:r>
      <w:r w:rsidRPr="008759F8">
        <w:t>)</w:t>
      </w:r>
      <w:r w:rsidR="00C708D6">
        <w:t>.</w:t>
      </w:r>
    </w:p>
    <w:p w:rsidR="00F467DD" w:rsidRDefault="00F467DD" w:rsidP="00F0234C">
      <w:pPr>
        <w:pStyle w:val="Parabeforenewsubsection"/>
      </w:pPr>
      <w:r>
        <w:t xml:space="preserve">A review of PSED implementation in Wales conducted in 2013 found that one university had faced opposition to the collection of ethnicity data and, in another case, a local authority attracted negative publicity from the national media about an equalities monitoring exercise. These incidences reportedly caused discomfort around the collection of such information (Mitchell </w:t>
      </w:r>
      <w:r w:rsidRPr="00DE0D31">
        <w:rPr>
          <w:i/>
        </w:rPr>
        <w:t>et al</w:t>
      </w:r>
      <w:r>
        <w:t>., 2014).</w:t>
      </w:r>
    </w:p>
    <w:p w:rsidR="00F467DD" w:rsidRDefault="00B05452" w:rsidP="00B05452">
      <w:pPr>
        <w:pStyle w:val="Title-subsections"/>
        <w:outlineLvl w:val="2"/>
      </w:pPr>
      <w:r>
        <w:t xml:space="preserve">4.2.2 </w:t>
      </w:r>
      <w:r w:rsidR="00F467DD">
        <w:t xml:space="preserve">National Minimum Wage </w:t>
      </w:r>
    </w:p>
    <w:p w:rsidR="00F467DD" w:rsidRDefault="00F467DD" w:rsidP="00F467DD">
      <w:pPr>
        <w:pStyle w:val="Parabeforenewsubsection"/>
      </w:pPr>
      <w:r>
        <w:t>The latest Low Pay Commission (LPC) report (2015) does not provide much detail about the effectiveness of the NMW on closing the ethnic</w:t>
      </w:r>
      <w:r w:rsidR="00A23D46">
        <w:t>ity</w:t>
      </w:r>
      <w:r>
        <w:t xml:space="preserve"> pay gap. The LPC found that, in 2013/14, about 10.7% of jobs held by </w:t>
      </w:r>
      <w:r w:rsidR="00C708D6">
        <w:t>ethnic m</w:t>
      </w:r>
      <w:r>
        <w:t xml:space="preserve">inority groups were minimum-wage jobs, compared with 7.4% for White employees. Furthermore, 14.2% of </w:t>
      </w:r>
      <w:r w:rsidR="00C708D6">
        <w:t>minimum wage jobs were held by ethnic m</w:t>
      </w:r>
      <w:r>
        <w:t>inority groups; a higher proportion than their share of all jobs (which was 10.3%). However, this aggregation hides the variations between ethnic groups: the proportions of Black workers (7.1%) and Indian workers (7.9%) holding minimum wage jobs are lower than, or similar to, that of White workers (7.4%), but, in contrast, 20.4% of Pakistani/Bangladeshi workers hold minimum wage jobs, which is the highest proportion among all ethnic groups (LPC, 2015). The report also highlights that the ethnic</w:t>
      </w:r>
      <w:r w:rsidR="00A23D46">
        <w:t>ity</w:t>
      </w:r>
      <w:r>
        <w:t xml:space="preserve"> pay gap increased from 3.6% in 2012/13 to 5.9% in 2013/14. </w:t>
      </w:r>
    </w:p>
    <w:p w:rsidR="00F467DD" w:rsidRDefault="00B05452" w:rsidP="00B05452">
      <w:pPr>
        <w:pStyle w:val="Title-subsections"/>
        <w:outlineLvl w:val="2"/>
      </w:pPr>
      <w:r>
        <w:t xml:space="preserve">4.2.3 </w:t>
      </w:r>
      <w:r w:rsidR="00F467DD">
        <w:t xml:space="preserve">Employment services </w:t>
      </w:r>
    </w:p>
    <w:p w:rsidR="00F467DD" w:rsidRDefault="00F467DD" w:rsidP="00F467DD">
      <w:pPr>
        <w:pStyle w:val="Parabeforeanother"/>
      </w:pPr>
      <w:r>
        <w:t xml:space="preserve">In 2008, the National Audit Office (NAO) reported on the Department for Work and Pension’s (DWP) efforts to increase the employment rates for ethnic minorities (NAO, 2008). The report found that the DWP has used the mainstream employment services offered by Jobcentre Plus as the principal instrument for helping people from ethnic minority groups into employment, which in the NAO’s view had had some success but lacked continuity (NAO, 2008). NAO also found that fewer people from ethnic minority groups secure sustained jobs (jobs lasting more than 13 weeks) through Jobcentre Plus, compared with their white peers (NAO, 2008). </w:t>
      </w:r>
    </w:p>
    <w:p w:rsidR="00F467DD" w:rsidRDefault="00F467DD" w:rsidP="00F467DD">
      <w:pPr>
        <w:pStyle w:val="Parabeforenewsubsection"/>
      </w:pPr>
      <w:r>
        <w:lastRenderedPageBreak/>
        <w:t xml:space="preserve">The Partners Outreach for Ethnic Minorities (POEM) programme is a two-year programme funded by the UK Government which began in March 2007. POEM was designed to support unemployed, working-age people from ethnic minority groups who faced barriers to employment and who were living in areas of high disadvantage and concentrated ethnic minority populations. Although POEM was targeted at all ethnic minority groups, the Pakistani, Bangladeshi and Somali </w:t>
      </w:r>
      <w:r w:rsidR="002556D4">
        <w:t>communities</w:t>
      </w:r>
      <w:r>
        <w:t xml:space="preserve"> were its primary focus, especially women, due to their low levels of labour market participation (Aston </w:t>
      </w:r>
      <w:r w:rsidRPr="00C90F26">
        <w:rPr>
          <w:i/>
        </w:rPr>
        <w:t>et al</w:t>
      </w:r>
      <w:r>
        <w:t xml:space="preserve">., 2009). The programme offered support and activities, including: application preparation such as CV writing, job search advice, help completing application forms, interview skills training, help getting overseas qualifications recognised and confidence-building activities. In total, POEM supported 2,835 clients into employment, which amounted to 85% of its target, but most of the jobs obtained by POEM clients were in low-skilled, entry-level work. Part-time work was also commonly requested by many female POEM clients. While most clients had not entered employment by the end of POEM, many stood a better chance of doing so. This was a result of having increased awareness of opportunities, knowledge of how to search for jobs, improved application and interview skills, greater confidence and motivation, and improved English language skills (Aston </w:t>
      </w:r>
      <w:r w:rsidRPr="00DE0D31">
        <w:rPr>
          <w:i/>
        </w:rPr>
        <w:t>et al</w:t>
      </w:r>
      <w:r>
        <w:t xml:space="preserve">., 2009). </w:t>
      </w:r>
    </w:p>
    <w:p w:rsidR="00F467DD" w:rsidRDefault="00B05452" w:rsidP="00B05452">
      <w:pPr>
        <w:pStyle w:val="Title-subsections"/>
        <w:outlineLvl w:val="2"/>
      </w:pPr>
      <w:r>
        <w:t xml:space="preserve">4.2.4 </w:t>
      </w:r>
      <w:r w:rsidR="00F467DD">
        <w:t xml:space="preserve">Other policy measures </w:t>
      </w:r>
    </w:p>
    <w:p w:rsidR="00F467DD" w:rsidRDefault="00F467DD" w:rsidP="00F467DD">
      <w:pPr>
        <w:pStyle w:val="Parabeforeanother"/>
      </w:pPr>
      <w:r>
        <w:t xml:space="preserve">Brynin and Longhi (2015) suggest that government policies aimed at reducing pay discrimination will have limited effectiveness in reducing pay gaps for people from ethnic minority groups. They indicate instead that improving access to higher-paid occupations offers the scope for real progress (Brynin and Longhi, 2015. p.39). They suggest that supply-side measures to improve the proportions of people from ethnic minority groups in higher-paying occupations could start at school level via careers advice, alongside role models for entry into specific higher-paying sectors (Ibid.). </w:t>
      </w:r>
    </w:p>
    <w:p w:rsidR="00F467DD" w:rsidRDefault="00F467DD" w:rsidP="00F467DD">
      <w:pPr>
        <w:pStyle w:val="Parabeforebulletss"/>
      </w:pPr>
      <w:r>
        <w:t>Heath and Cheung (2006) also discuss supply-side policy measures that may tackle the ethnic penalties in employment and, in turn, the ethnic</w:t>
      </w:r>
      <w:r w:rsidR="00A23D46">
        <w:t>ity</w:t>
      </w:r>
      <w:r>
        <w:t xml:space="preserve"> pay gap. Among the policy measures they mention are:</w:t>
      </w:r>
    </w:p>
    <w:p w:rsidR="00F467DD" w:rsidRDefault="00F467DD" w:rsidP="00F467DD">
      <w:pPr>
        <w:pStyle w:val="Bullet-followedbyothers"/>
        <w:ind w:left="720" w:hanging="360"/>
      </w:pPr>
      <w:r>
        <w:t>tackling educational inequalities</w:t>
      </w:r>
    </w:p>
    <w:p w:rsidR="00F467DD" w:rsidRDefault="00F467DD" w:rsidP="00F467DD">
      <w:pPr>
        <w:pStyle w:val="Bullet-followedbyothers"/>
        <w:ind w:left="720" w:hanging="360"/>
      </w:pPr>
      <w:r>
        <w:t>government interventions which provide education and training to raise skills (not necessarily targeted at ethnic minorities, but towards residents in deprived areas) (Heath and Cheung cite DWP, 2009)</w:t>
      </w:r>
    </w:p>
    <w:p w:rsidR="00F467DD" w:rsidRPr="0000514B" w:rsidRDefault="00F467DD" w:rsidP="00F467DD">
      <w:pPr>
        <w:pStyle w:val="Bullet-lastingroup"/>
        <w:ind w:left="720" w:hanging="360"/>
      </w:pPr>
      <w:r w:rsidRPr="0000514B">
        <w:t>improved careers services at further education colleges and universities.</w:t>
      </w:r>
    </w:p>
    <w:p w:rsidR="00F467DD" w:rsidRDefault="00F467DD" w:rsidP="00F0234C">
      <w:pPr>
        <w:pStyle w:val="Parabeforebulletss"/>
      </w:pPr>
      <w:r>
        <w:lastRenderedPageBreak/>
        <w:t xml:space="preserve">Heath and Cheung </w:t>
      </w:r>
      <w:r w:rsidRPr="0000514B">
        <w:t>also propose a demand-side measure as an alternative to legislation</w:t>
      </w:r>
      <w:r>
        <w:t>; namely,</w:t>
      </w:r>
      <w:r w:rsidRPr="0000514B">
        <w:t xml:space="preserve"> to develop voluntary schemes for ethnic minority monitoring</w:t>
      </w:r>
      <w:r>
        <w:t>. The authors state that:</w:t>
      </w:r>
      <w:r w:rsidRPr="0000514B">
        <w:t xml:space="preserve"> </w:t>
      </w:r>
    </w:p>
    <w:p w:rsidR="00F467DD" w:rsidRPr="0000514B" w:rsidRDefault="00F467DD" w:rsidP="00F467DD">
      <w:pPr>
        <w:pStyle w:val="Parabeforenewsection"/>
        <w:ind w:left="567"/>
      </w:pPr>
      <w:r w:rsidRPr="0000514B">
        <w:t>it may well be that a great deal of the ethnic disadvantage in the private sector is unintentional and unrecognised by senior management. Monitoring schemes may well</w:t>
      </w:r>
      <w:r>
        <w:t xml:space="preserve"> </w:t>
      </w:r>
      <w:r w:rsidRPr="0000514B">
        <w:t>…</w:t>
      </w:r>
      <w:r>
        <w:t xml:space="preserve"> </w:t>
      </w:r>
      <w:r w:rsidRPr="0000514B">
        <w:t>encourage responsible employers to address the weaknesses identified</w:t>
      </w:r>
      <w:r>
        <w:t>.</w:t>
      </w:r>
      <w:r w:rsidRPr="0000514B">
        <w:t xml:space="preserve"> (Heath and Cheung, 2006</w:t>
      </w:r>
      <w:r>
        <w:t>, p.</w:t>
      </w:r>
      <w:r w:rsidRPr="0000514B">
        <w:t xml:space="preserve"> 69)</w:t>
      </w:r>
    </w:p>
    <w:p w:rsidR="00F467DD" w:rsidRDefault="00F467DD" w:rsidP="00F0234C">
      <w:pPr>
        <w:pStyle w:val="Title-sectionsorange"/>
      </w:pPr>
      <w:bookmarkStart w:id="41" w:name="_Toc474306854"/>
      <w:bookmarkStart w:id="42" w:name="_Toc490135098"/>
      <w:r w:rsidRPr="00F0234C">
        <w:rPr>
          <w:color w:val="auto"/>
        </w:rPr>
        <w:t>4.3</w:t>
      </w:r>
      <w:r>
        <w:tab/>
      </w:r>
      <w:r w:rsidRPr="00B87795">
        <w:t>Employer interventions</w:t>
      </w:r>
      <w:bookmarkEnd w:id="41"/>
      <w:bookmarkEnd w:id="42"/>
      <w:r w:rsidRPr="00B87795">
        <w:t xml:space="preserve"> </w:t>
      </w:r>
    </w:p>
    <w:p w:rsidR="00F467DD" w:rsidRDefault="00B05452" w:rsidP="00B05452">
      <w:pPr>
        <w:pStyle w:val="Title-subsections"/>
        <w:outlineLvl w:val="2"/>
      </w:pPr>
      <w:r>
        <w:t xml:space="preserve">4.3.1 </w:t>
      </w:r>
      <w:r w:rsidR="00F467DD">
        <w:t>Recruitment processes</w:t>
      </w:r>
    </w:p>
    <w:p w:rsidR="00F467DD" w:rsidRDefault="00F467DD" w:rsidP="00F467DD">
      <w:pPr>
        <w:pStyle w:val="Parabeforeanother"/>
      </w:pPr>
      <w:r>
        <w:t xml:space="preserve">Ethnic minorities tend to be under-represented in higher-paying professional and managerial occupations, and over-represented in the lower-paid routine and semi-routine jobs (Heath and Cheung, 2006). Improving the access of people from ethnic minority groups into higher-paying occupations requires improvement in demand-side measures. Brynin and Longhi (2015) state that discrimination in specific occupations could be tackled, inter alia, through an analysis of recruitment processes. One professional services firm conducts staff monitoring to enable </w:t>
      </w:r>
      <w:r w:rsidRPr="0000514B">
        <w:t xml:space="preserve">them to </w:t>
      </w:r>
      <w:r>
        <w:t>‘</w:t>
      </w:r>
      <w:r w:rsidRPr="0000514B">
        <w:t>take a focused approach to</w:t>
      </w:r>
      <w:r>
        <w:t xml:space="preserve"> </w:t>
      </w:r>
      <w:r w:rsidRPr="0000514B">
        <w:t>… recruitment, training and diversity and inclusion</w:t>
      </w:r>
      <w:r>
        <w:t>’</w:t>
      </w:r>
      <w:r w:rsidRPr="0000514B">
        <w:t xml:space="preserve"> (KPMG, 2014)</w:t>
      </w:r>
      <w:r>
        <w:t xml:space="preserve">. This firm </w:t>
      </w:r>
      <w:r w:rsidRPr="0000514B">
        <w:t>set ethnicity targets up to 2018 to support its ethnic minority employees, stating</w:t>
      </w:r>
      <w:r>
        <w:t>:</w:t>
      </w:r>
      <w:r w:rsidRPr="0000514B">
        <w:t xml:space="preserve"> </w:t>
      </w:r>
      <w:r>
        <w:t>‘</w:t>
      </w:r>
      <w:r w:rsidRPr="0000514B">
        <w:t>we need to do much more to support black professionals as less than 1 per cent of our partners are black</w:t>
      </w:r>
      <w:r>
        <w:t>’</w:t>
      </w:r>
      <w:r w:rsidRPr="0000514B">
        <w:t xml:space="preserve"> (KPMG, 2014</w:t>
      </w:r>
      <w:r>
        <w:t xml:space="preserve">). The target given was to increase this proportion to 2.2% by 2018 (Ibid.). Similarly, the professional services firm EY has set targets to have, over a rolling three-year period, 10% of employees from ethnic minority groups in its new partner intake, and a longer-term aim of achieving this level of representation both in the leadership team and within the wider partner population (GEO, 2014). </w:t>
      </w:r>
    </w:p>
    <w:p w:rsidR="00F467DD" w:rsidRDefault="00F467DD" w:rsidP="00B362E3">
      <w:pPr>
        <w:pStyle w:val="Parabeforeanother"/>
      </w:pPr>
      <w:r>
        <w:t>Attention to recruitment processes appears to be an important intervention for reducing the ethnic</w:t>
      </w:r>
      <w:r w:rsidR="00A23D46">
        <w:t>ity</w:t>
      </w:r>
      <w:r>
        <w:t xml:space="preserve"> pay gap; the literature finds discrimination at the point of recruitment to be an important part of the explanation for the pay gap (Heath and Cheung, 2006). The extent of racial discrimination in recruitment was investigated by the National Centre for Social Research in 2009. The research involved submitting similar job applications from white and ethnic minority applicants. Responses from employers were monitored, with a positive outcome being a call-back for interview. The study found that ethnic minority applicants had to send 16 applications for a successful outcome, compared with 9 applications for white applicants; 74% more </w:t>
      </w:r>
      <w:r>
        <w:lastRenderedPageBreak/>
        <w:t xml:space="preserve">applications from ethnic minority candidates were needed for the same level of success (Wood </w:t>
      </w:r>
      <w:r w:rsidRPr="00DE0D31">
        <w:rPr>
          <w:i/>
        </w:rPr>
        <w:t>et al</w:t>
      </w:r>
      <w:r>
        <w:t xml:space="preserve">., 2009). The study found a high level of racial discrimination across all ethnic groups. The study found almost no </w:t>
      </w:r>
      <w:r w:rsidR="00B362E3">
        <w:t>‘</w:t>
      </w:r>
      <w:r>
        <w:t>net discrimination</w:t>
      </w:r>
      <w:r w:rsidR="00B362E3">
        <w:t>’</w:t>
      </w:r>
      <w:r>
        <w:t xml:space="preserve"> </w:t>
      </w:r>
      <w:r w:rsidR="00B362E3">
        <w:t xml:space="preserve">- </w:t>
      </w:r>
      <w:r w:rsidR="00B362E3" w:rsidRPr="00B362E3">
        <w:t>the number of instances of</w:t>
      </w:r>
      <w:r w:rsidR="00B362E3">
        <w:t xml:space="preserve"> </w:t>
      </w:r>
      <w:r w:rsidR="00B362E3" w:rsidRPr="00B362E3">
        <w:t>discrimination against a particular ethnic</w:t>
      </w:r>
      <w:r w:rsidR="00B362E3">
        <w:t xml:space="preserve"> </w:t>
      </w:r>
      <w:r w:rsidR="00B362E3" w:rsidRPr="00B362E3">
        <w:t>group that exceeds the number of instances</w:t>
      </w:r>
      <w:r w:rsidR="00B362E3">
        <w:t xml:space="preserve"> </w:t>
      </w:r>
      <w:r w:rsidR="00B362E3" w:rsidRPr="00B362E3">
        <w:t>of discrimination in its favour</w:t>
      </w:r>
      <w:r w:rsidR="00B362E3">
        <w:t xml:space="preserve"> - </w:t>
      </w:r>
      <w:r>
        <w:t xml:space="preserve">when applications were submitted using the employer’s own application form. This compared with a net discrimination of 38% where CVs were submitted. This may be an outcome of the design of employer application forms that remove personal details before the sifting process. This supports evidence for the benefits of anonymised recruitment (Krause </w:t>
      </w:r>
      <w:r w:rsidRPr="00B26716">
        <w:rPr>
          <w:i/>
        </w:rPr>
        <w:t>et al</w:t>
      </w:r>
      <w:r>
        <w:t xml:space="preserve">., 2012). Standard application forms may also be associated with organisations with established human resources functions and equality procedures (Wood </w:t>
      </w:r>
      <w:r w:rsidRPr="00902565">
        <w:rPr>
          <w:i/>
        </w:rPr>
        <w:t>et al</w:t>
      </w:r>
      <w:r>
        <w:t xml:space="preserve">., 2009). </w:t>
      </w:r>
    </w:p>
    <w:p w:rsidR="00F467DD" w:rsidRDefault="00F467DD" w:rsidP="00F467DD">
      <w:pPr>
        <w:pStyle w:val="Parabeforeanother"/>
      </w:pPr>
      <w:r>
        <w:t xml:space="preserve">Public sector organisations in the study were considerably less likely to discriminate on grounds of race than private sector ones (a net discrimination of 4% compared with 35%). The absence of discrimination in the public sector may be attributed to a higher use of bespoke application forms in the public sector (79%) compared with private sector employers (6%) (Wood </w:t>
      </w:r>
      <w:r w:rsidRPr="00902565">
        <w:rPr>
          <w:i/>
        </w:rPr>
        <w:t>et al</w:t>
      </w:r>
      <w:r>
        <w:t>., 2009).</w:t>
      </w:r>
    </w:p>
    <w:p w:rsidR="00F467DD" w:rsidRDefault="00F467DD" w:rsidP="00F467DD">
      <w:pPr>
        <w:pStyle w:val="Parabeforeanother"/>
      </w:pPr>
      <w:r>
        <w:t>Heath and Cheung (2006) found similar evidence of racial discrimination at the point of recruitment.</w:t>
      </w:r>
      <w:r>
        <w:rPr>
          <w:rStyle w:val="FootnoteReference"/>
        </w:rPr>
        <w:footnoteReference w:id="28"/>
      </w:r>
      <w:r>
        <w:t xml:space="preserve"> Using evidence from the Citizenship Survey, Heath and Cheung reported that the overall job refusal rate among ethnic minorities is higher (</w:t>
      </w:r>
      <w:r w:rsidR="000B078B">
        <w:rPr>
          <w:rFonts w:ascii="FrutigerLT-Light" w:eastAsiaTheme="minorHAnsi" w:hAnsi="FrutigerLT-Light" w:cs="FrutigerLT-Light"/>
        </w:rPr>
        <w:t>on average, by an extra 12%</w:t>
      </w:r>
      <w:r>
        <w:t xml:space="preserve">than it is for white comparators, with almost all of this difference attributed to refusals based on </w:t>
      </w:r>
      <w:r w:rsidR="00B362E3">
        <w:t>ethnicity</w:t>
      </w:r>
      <w:r>
        <w:t xml:space="preserve">. Furthermore, Roberts and Campbell (2006), while finding no evidence of overt discrimination in an analysis of interviews for low-skilled jobs, did identify penalties for first-generation migrants who were not familiar with the conventions of British job interviews and organisational cultures (cited in Wood </w:t>
      </w:r>
      <w:r w:rsidRPr="00902565">
        <w:rPr>
          <w:i/>
        </w:rPr>
        <w:t>et al</w:t>
      </w:r>
      <w:r>
        <w:t xml:space="preserve">., 2009). </w:t>
      </w:r>
    </w:p>
    <w:p w:rsidR="00F467DD" w:rsidRDefault="00F467DD" w:rsidP="00F467DD">
      <w:pPr>
        <w:pStyle w:val="Parabeforeanother"/>
      </w:pPr>
      <w:r>
        <w:t xml:space="preserve">Self-reported racial prejudices have also been found to be greater among employers and managers in some private sector industries (manufacturing, construction and transport) compared with the public sector, based on responses to the British Social Attitudes Survey (Heath and Cheung, 2006). Self-reported racial prejudices among White British people have, however, shown a general long-term decline, albeit with considerable year-to-year fluctuations. On the other hand, other research has found </w:t>
      </w:r>
      <w:r>
        <w:lastRenderedPageBreak/>
        <w:t>that there has been a short-term increase in prejudice in more recent years; the researchers attribute this in part to adverse media publicity on immigration and asylum seekers (McLaren and Johnson, 2004, cited in Heath and Cheung, 2006).</w:t>
      </w:r>
    </w:p>
    <w:p w:rsidR="00F467DD" w:rsidRDefault="00F467DD" w:rsidP="00F467DD">
      <w:pPr>
        <w:pStyle w:val="Parabeforeanother"/>
      </w:pPr>
      <w:r>
        <w:t xml:space="preserve">Another intervention aimed at overcoming bias is the implementation of equal opportunity policies. Research commissioned by the Department for Work and Pensions in 2006 surveyed approximately 1,000 employers and found that organisations that employed people from ethnic minority groups were more likely to have equal opportunities policies than those that did not employ people from ethnic minority groups. This practice was often accompanied by monitoring procedures (Tackey </w:t>
      </w:r>
      <w:r w:rsidRPr="00DE0D31">
        <w:rPr>
          <w:i/>
        </w:rPr>
        <w:t>et al</w:t>
      </w:r>
      <w:r>
        <w:t xml:space="preserve">., 2006). Employers with ethnic minority staff were less likely to use formal recruitment processes such as interviews to assess the suitability of candidates. They were also more likely to look for candidates with ‘soft’ skills, rather than prioritise ‘hard’ skills such as work-relevant qualifications (Ibid.). </w:t>
      </w:r>
    </w:p>
    <w:p w:rsidR="00F467DD" w:rsidRDefault="00F467DD" w:rsidP="00F467DD">
      <w:pPr>
        <w:pStyle w:val="Parabeforeanother"/>
      </w:pPr>
      <w:r>
        <w:t xml:space="preserve">At the time of conducting this review, it was announced by the UK government that several top graduate employers in the public and private sectors had pledged to ‘name-blind’ graduate and apprentice-level job applications, in order to reduce the potential unconscious bias of applicants from ethnic minority groups. The Civil Service has also committed to introduce ‘name-blind’ recruitment for all roles below Senior Civil Service (SCS) level (PMO, 2015). Similarly, the former Prime Minister, David Cameron, announced that, from 2017, the University and College Admissions Service (UCAS) will name-blind applications to tackle the danger of unconscious bias against students from ethnic minority backgrounds (Watt, 2015). </w:t>
      </w:r>
    </w:p>
    <w:p w:rsidR="00F467DD" w:rsidRDefault="00F467DD" w:rsidP="00F467DD">
      <w:pPr>
        <w:pStyle w:val="Parabeforenewsubsection"/>
      </w:pPr>
      <w:r>
        <w:t>One workshop participant highlighted the NHS Leadership Academy programme ‘Ready Now’ as an intervention which has the potential to tackle the ethnic</w:t>
      </w:r>
      <w:r w:rsidR="00A23D46">
        <w:t>ity</w:t>
      </w:r>
      <w:r>
        <w:t xml:space="preserve"> pay gap in the NHS. ‘Ready Now’ is a positive action programme designed to help aspiring senior leaders from ethnic minority groups progress into senior roles.</w:t>
      </w:r>
      <w:r>
        <w:rPr>
          <w:rStyle w:val="FootnoteReference"/>
        </w:rPr>
        <w:footnoteReference w:id="29"/>
      </w:r>
      <w:r>
        <w:t xml:space="preserve"> Workshop participants agreed that greater attention should be paid to recruitment and talent management initiatives as a means of tackling any pay gaps, in addition to analysis of these gaps. </w:t>
      </w:r>
    </w:p>
    <w:p w:rsidR="00F467DD" w:rsidRDefault="00B05452" w:rsidP="00B05452">
      <w:pPr>
        <w:pStyle w:val="Title-subsections"/>
        <w:outlineLvl w:val="2"/>
      </w:pPr>
      <w:r>
        <w:t xml:space="preserve">4.3.2 </w:t>
      </w:r>
      <w:r w:rsidR="00F467DD">
        <w:t xml:space="preserve">Data collection and analysis </w:t>
      </w:r>
    </w:p>
    <w:p w:rsidR="00F467DD" w:rsidRDefault="00F467DD" w:rsidP="00F0234C">
      <w:pPr>
        <w:pStyle w:val="Parabeforenewsection"/>
      </w:pPr>
      <w:r>
        <w:t xml:space="preserve">Workshop participants discussed the difficulties of collecting data on ethnicity. Some felt geography determined the extent to which analysing equality data was a priority for organisations; for example, analysis of equality data was not felt to be a priority for organisations in areas with a very low ethnic minority population. Others felt that </w:t>
      </w:r>
      <w:r>
        <w:lastRenderedPageBreak/>
        <w:t xml:space="preserve">the ‘White Other’ ethnic classification was too broad, and that employers faced different challenges for different groups and would need tailored solutions. Workshop participants felt that some immigrants, especially those from EU accession countries, were often under-employed and worked below their qualification or skill levels. </w:t>
      </w:r>
    </w:p>
    <w:p w:rsidR="00A15D6E" w:rsidRDefault="00F0234C">
      <w:pPr>
        <w:spacing w:after="200" w:line="276" w:lineRule="auto"/>
        <w:sectPr w:rsidR="00A15D6E" w:rsidSect="00A15D6E">
          <w:headerReference w:type="default" r:id="rId20"/>
          <w:pgSz w:w="11906" w:h="16838" w:code="9"/>
          <w:pgMar w:top="1440" w:right="1440" w:bottom="1440" w:left="1440" w:header="709" w:footer="709" w:gutter="0"/>
          <w:cols w:space="708"/>
          <w:docGrid w:linePitch="360"/>
        </w:sectPr>
      </w:pPr>
      <w:bookmarkStart w:id="43" w:name="_Toc474306855"/>
      <w:r>
        <w:br w:type="page"/>
      </w:r>
    </w:p>
    <w:p w:rsidR="00F467DD" w:rsidRDefault="00F467DD" w:rsidP="00F0234C">
      <w:pPr>
        <w:pStyle w:val="Title-chapterorange"/>
      </w:pPr>
      <w:bookmarkStart w:id="44" w:name="_Toc490135099"/>
      <w:r w:rsidRPr="00F0234C">
        <w:rPr>
          <w:color w:val="auto"/>
        </w:rPr>
        <w:lastRenderedPageBreak/>
        <w:t>5</w:t>
      </w:r>
      <w:r w:rsidR="00F0234C" w:rsidRPr="00F0234C">
        <w:rPr>
          <w:color w:val="auto"/>
        </w:rPr>
        <w:t xml:space="preserve"> |</w:t>
      </w:r>
      <w:r w:rsidRPr="00F0234C">
        <w:rPr>
          <w:color w:val="auto"/>
        </w:rPr>
        <w:t xml:space="preserve"> </w:t>
      </w:r>
      <w:r w:rsidRPr="00E71073">
        <w:t>Conclusion</w:t>
      </w:r>
      <w:bookmarkEnd w:id="43"/>
      <w:bookmarkEnd w:id="44"/>
    </w:p>
    <w:p w:rsidR="00F467DD" w:rsidRDefault="00F467DD" w:rsidP="00DD7A76">
      <w:pPr>
        <w:pStyle w:val="Parabeforeanother"/>
      </w:pPr>
      <w:r w:rsidRPr="00D82546">
        <w:t>Th</w:t>
      </w:r>
      <w:r>
        <w:t xml:space="preserve">is review has found </w:t>
      </w:r>
      <w:r w:rsidRPr="00D82546">
        <w:t xml:space="preserve">limited evidence in the literature </w:t>
      </w:r>
      <w:r>
        <w:t>for</w:t>
      </w:r>
      <w:r w:rsidRPr="00D82546">
        <w:t xml:space="preserve"> the </w:t>
      </w:r>
      <w:r w:rsidRPr="00ED3B12">
        <w:t>effectiveness of</w:t>
      </w:r>
      <w:r w:rsidRPr="00D82546">
        <w:t xml:space="preserve"> interventions to close gender, ethnicity and disability pay gaps.</w:t>
      </w:r>
      <w:r>
        <w:t xml:space="preserve"> Where evidence exists, it tends to relate to the gender pay gap, which has received more attention from researchers and policy-makers than pay gaps relating to other protected characteristics. More research is needed to understand how to tackle pay gaps across all protected characteristics, including ethnicity and disability.</w:t>
      </w:r>
    </w:p>
    <w:p w:rsidR="00F467DD" w:rsidRDefault="00F467DD" w:rsidP="00DD7A76">
      <w:pPr>
        <w:pStyle w:val="Parabeforeanother"/>
      </w:pPr>
      <w:r>
        <w:t xml:space="preserve">There are four main commonalities across the three kinds of pay gap considered. First, voluntary employer initiatives have generally had limited impact. Second, there is some evidence of success of employers’ efforts to nurture talent and support career development, although the impact of these efforts on pay gaps is unknown. Third, all three </w:t>
      </w:r>
      <w:r w:rsidR="002556D4">
        <w:t>disadvantaged</w:t>
      </w:r>
      <w:r>
        <w:t xml:space="preserve"> groups are still held back by discrimination in employment and recruitment. Fourth, progress across all groups is hampered, particularly in the private sector, by a widespread lack of information, auditing and analysis. Despite these commonalities, the causes of pay gaps vary and it is likely that bespoke action for each group is required: there is no ‘one size fits all’ approach. </w:t>
      </w:r>
    </w:p>
    <w:p w:rsidR="00F467DD" w:rsidRDefault="00F467DD" w:rsidP="00DD7A76">
      <w:pPr>
        <w:pStyle w:val="Parabeforeanother"/>
      </w:pPr>
      <w:r>
        <w:t>With respect to the gender pay gap, which generally has better data and has been more widely researc</w:t>
      </w:r>
      <w:bookmarkStart w:id="45" w:name="_GoBack"/>
      <w:bookmarkEnd w:id="45"/>
      <w:r>
        <w:t>hed, there is merit in comparing sectors and countries. In the UK, the more closely regulated public sector has a smaller gender pay gap than the</w:t>
      </w:r>
      <w:r w:rsidR="002556D4">
        <w:t xml:space="preserve"> private sector</w:t>
      </w:r>
      <w:r w:rsidR="000B078B">
        <w:t xml:space="preserve">. There is also an association </w:t>
      </w:r>
      <w:r>
        <w:t xml:space="preserve">between large pay gaps and the ‘bonus culture’ which is more prevalent in the private sector and which tends to reward men more highly than women. Across Europe, countries in which higher proportions of fathers take longer-term parental leave tend to have smaller gender pay gaps. Insufficient salary reimbursement is the main barrier to improving take-up of shared parental leave in the UK. </w:t>
      </w:r>
    </w:p>
    <w:p w:rsidR="00F467DD" w:rsidRDefault="00F467DD" w:rsidP="00DD7A76">
      <w:pPr>
        <w:pStyle w:val="Parabeforeanother"/>
      </w:pPr>
      <w:r w:rsidRPr="00D82546">
        <w:t>The focus of research on disability and</w:t>
      </w:r>
      <w:r>
        <w:t xml:space="preserve"> ethnicity has primarily been</w:t>
      </w:r>
      <w:r w:rsidRPr="00D82546">
        <w:t xml:space="preserve"> concerned </w:t>
      </w:r>
      <w:r w:rsidRPr="00E163BE">
        <w:t>with labour market entry or employment rates</w:t>
      </w:r>
      <w:r>
        <w:t>,</w:t>
      </w:r>
      <w:r w:rsidRPr="00E163BE">
        <w:t xml:space="preserve"> and there is </w:t>
      </w:r>
      <w:r>
        <w:t xml:space="preserve">no </w:t>
      </w:r>
      <w:r w:rsidRPr="00E163BE">
        <w:t>evidence of specific interventions to reduce pay gaps.</w:t>
      </w:r>
      <w:r>
        <w:t xml:space="preserve"> Some have argued that the pace of change is slow and that achieving workplace equality remains remote. </w:t>
      </w:r>
    </w:p>
    <w:p w:rsidR="00F00537" w:rsidRDefault="00F00537">
      <w:pPr>
        <w:spacing w:after="200" w:line="276" w:lineRule="auto"/>
        <w:rPr>
          <w:szCs w:val="24"/>
        </w:rPr>
      </w:pPr>
      <w:r>
        <w:br w:type="page"/>
      </w:r>
    </w:p>
    <w:p w:rsidR="00F467DD" w:rsidRDefault="00F467DD" w:rsidP="00DD7A76">
      <w:pPr>
        <w:pStyle w:val="Parabeforebulletss"/>
      </w:pPr>
      <w:r>
        <w:lastRenderedPageBreak/>
        <w:t>Several key messages emerged from the workshop discussions:</w:t>
      </w:r>
    </w:p>
    <w:p w:rsidR="00F467DD" w:rsidRPr="002F37A9" w:rsidRDefault="00F467DD" w:rsidP="00F467DD">
      <w:pPr>
        <w:pStyle w:val="Bullet-followedbyothers"/>
        <w:ind w:left="720" w:hanging="360"/>
      </w:pPr>
      <w:r>
        <w:t>E</w:t>
      </w:r>
      <w:r w:rsidRPr="00FC2EF1">
        <w:t xml:space="preserve">mployers, governments and voluntary bodies </w:t>
      </w:r>
      <w:r>
        <w:t>must work in partnership to tackle</w:t>
      </w:r>
      <w:r w:rsidRPr="00FC2EF1">
        <w:t xml:space="preserve"> pay gaps</w:t>
      </w:r>
      <w:r>
        <w:t xml:space="preserve">. Employers in particular must </w:t>
      </w:r>
      <w:r w:rsidRPr="002F37A9">
        <w:t xml:space="preserve">prioritise </w:t>
      </w:r>
      <w:r>
        <w:t xml:space="preserve">the issue. </w:t>
      </w:r>
    </w:p>
    <w:p w:rsidR="00F467DD" w:rsidRDefault="00F467DD" w:rsidP="00F467DD">
      <w:pPr>
        <w:pStyle w:val="Bullet-followedbyothers"/>
        <w:ind w:left="720" w:hanging="360"/>
      </w:pPr>
      <w:r>
        <w:t xml:space="preserve">Employers should improve equality monitoring to establish baseline information for ethnicity and disability pay gaps. </w:t>
      </w:r>
    </w:p>
    <w:p w:rsidR="002541EA" w:rsidRDefault="00F467DD" w:rsidP="002541EA">
      <w:pPr>
        <w:pStyle w:val="Bullet-followedbyothers"/>
        <w:ind w:left="720" w:hanging="360"/>
      </w:pPr>
      <w:r>
        <w:t xml:space="preserve">Guidance for employers about analysing and presenting pay gap information should be provided. </w:t>
      </w:r>
    </w:p>
    <w:p w:rsidR="00F467DD" w:rsidRDefault="00F467DD" w:rsidP="002541EA">
      <w:pPr>
        <w:pStyle w:val="Bullet-followedbyothers"/>
        <w:ind w:left="720" w:hanging="360"/>
      </w:pPr>
      <w:r>
        <w:t xml:space="preserve">Introducing policies on flexible working, providing </w:t>
      </w:r>
      <w:r w:rsidRPr="00D82546">
        <w:t xml:space="preserve">unconscious bias training, and removing personal details from </w:t>
      </w:r>
      <w:r w:rsidRPr="00DD7A76">
        <w:t>recruitment</w:t>
      </w:r>
      <w:r w:rsidRPr="00E163BE">
        <w:t xml:space="preserve"> applications</w:t>
      </w:r>
      <w:r>
        <w:t xml:space="preserve"> are ways in which employers can improve fairness and equality; in the long term these should have a positive impact in reducing pay gaps. </w:t>
      </w:r>
    </w:p>
    <w:p w:rsidR="00DD7A76" w:rsidRDefault="00DD7A76" w:rsidP="00F467DD">
      <w:pPr>
        <w:pStyle w:val="Paraflow"/>
      </w:pPr>
    </w:p>
    <w:p w:rsidR="00F467DD" w:rsidRDefault="00F467DD" w:rsidP="00DD7A76">
      <w:pPr>
        <w:pStyle w:val="Parabeforeanother"/>
      </w:pPr>
      <w:r>
        <w:t xml:space="preserve">This report has reviewed progress towards closing pay gaps by exploring the effectiveness of interventions aimed at tackling them. There remains much work to do and this report offers no easy answers. However, it does highlight ways in which government, employers and society can – and should – make further headway. </w:t>
      </w:r>
    </w:p>
    <w:p w:rsidR="00F467DD" w:rsidRDefault="00F467DD" w:rsidP="00DD7A76">
      <w:pPr>
        <w:pStyle w:val="Parabeforetable"/>
      </w:pPr>
      <w:r>
        <w:t xml:space="preserve">Table 5.1, below, provides further detail.  </w:t>
      </w:r>
      <w:r>
        <w:br w:type="page"/>
      </w:r>
    </w:p>
    <w:p w:rsidR="00A15D6E" w:rsidRDefault="00A15D6E" w:rsidP="00F467DD">
      <w:pPr>
        <w:pStyle w:val="Bullet-followedbyothers"/>
        <w:numPr>
          <w:ilvl w:val="0"/>
          <w:numId w:val="0"/>
        </w:numPr>
        <w:spacing w:after="160"/>
        <w:ind w:left="720"/>
        <w:sectPr w:rsidR="00A15D6E" w:rsidSect="00A15D6E">
          <w:headerReference w:type="default" r:id="rId21"/>
          <w:pgSz w:w="11906" w:h="16838" w:code="9"/>
          <w:pgMar w:top="1440" w:right="1440" w:bottom="1440" w:left="1440" w:header="709" w:footer="709" w:gutter="0"/>
          <w:cols w:space="708"/>
          <w:docGrid w:linePitch="360"/>
        </w:sectPr>
      </w:pPr>
    </w:p>
    <w:p w:rsidR="00F467DD" w:rsidRDefault="00F467DD" w:rsidP="0089729A">
      <w:pPr>
        <w:pStyle w:val="Title-tablesorange"/>
        <w:outlineLvl w:val="9"/>
        <w:rPr>
          <w:noProof/>
        </w:rPr>
      </w:pPr>
      <w:bookmarkStart w:id="46" w:name="_Toc447113307"/>
      <w:bookmarkStart w:id="47" w:name="_Toc447117009"/>
      <w:bookmarkStart w:id="48" w:name="_Toc462414945"/>
      <w:bookmarkStart w:id="49" w:name="_Toc474306856"/>
      <w:bookmarkStart w:id="50" w:name="_Toc478124752"/>
      <w:bookmarkStart w:id="51" w:name="_Toc490135100"/>
      <w:r w:rsidRPr="00DD7A76">
        <w:rPr>
          <w:color w:val="auto"/>
        </w:rPr>
        <w:lastRenderedPageBreak/>
        <w:t>Table 5.1</w:t>
      </w:r>
      <w:r>
        <w:tab/>
      </w:r>
      <w:r w:rsidRPr="00B87795">
        <w:rPr>
          <w:noProof/>
        </w:rPr>
        <w:t>Range of opportunities for closing the pay gaps</w:t>
      </w:r>
      <w:bookmarkEnd w:id="46"/>
      <w:bookmarkEnd w:id="47"/>
      <w:bookmarkEnd w:id="48"/>
      <w:bookmarkEnd w:id="49"/>
      <w:bookmarkEnd w:id="50"/>
      <w:bookmarkEnd w:id="51"/>
    </w:p>
    <w:tbl>
      <w:tblPr>
        <w:tblStyle w:val="TableGrid1"/>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Caption w:val="Table 5.1 Range of opportunities for closing the pay gaps"/>
      </w:tblPr>
      <w:tblGrid>
        <w:gridCol w:w="1716"/>
        <w:gridCol w:w="1751"/>
        <w:gridCol w:w="2417"/>
        <w:gridCol w:w="4753"/>
        <w:gridCol w:w="3537"/>
      </w:tblGrid>
      <w:tr w:rsidR="00F467DD" w:rsidRPr="00B87795" w:rsidTr="00A13D1B">
        <w:trPr>
          <w:tblHeader/>
        </w:trPr>
        <w:tc>
          <w:tcPr>
            <w:tcW w:w="631" w:type="pct"/>
            <w:tcBorders>
              <w:bottom w:val="single" w:sz="18" w:space="0" w:color="auto"/>
            </w:tcBorders>
            <w:shd w:val="clear" w:color="auto" w:fill="auto"/>
            <w:vAlign w:val="bottom"/>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Opportunity</w:t>
            </w:r>
          </w:p>
        </w:tc>
        <w:tc>
          <w:tcPr>
            <w:tcW w:w="643" w:type="pct"/>
            <w:tcBorders>
              <w:bottom w:val="single" w:sz="18" w:space="0" w:color="auto"/>
            </w:tcBorders>
            <w:shd w:val="clear" w:color="auto" w:fill="auto"/>
            <w:vAlign w:val="bottom"/>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Equality strand</w:t>
            </w:r>
          </w:p>
        </w:tc>
        <w:tc>
          <w:tcPr>
            <w:tcW w:w="750" w:type="pct"/>
            <w:tcBorders>
              <w:bottom w:val="single" w:sz="18" w:space="0" w:color="auto"/>
            </w:tcBorders>
            <w:shd w:val="clear" w:color="auto" w:fill="auto"/>
            <w:vAlign w:val="bottom"/>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Area responsibility</w:t>
            </w:r>
          </w:p>
        </w:tc>
        <w:tc>
          <w:tcPr>
            <w:tcW w:w="1702" w:type="pct"/>
            <w:tcBorders>
              <w:bottom w:val="single" w:sz="18" w:space="0" w:color="auto"/>
            </w:tcBorders>
            <w:shd w:val="clear" w:color="auto" w:fill="auto"/>
            <w:vAlign w:val="bottom"/>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Interventions</w:t>
            </w:r>
          </w:p>
        </w:tc>
        <w:tc>
          <w:tcPr>
            <w:tcW w:w="1273" w:type="pct"/>
            <w:tcBorders>
              <w:bottom w:val="single" w:sz="18" w:space="0" w:color="auto"/>
            </w:tcBorders>
            <w:shd w:val="clear" w:color="auto" w:fill="auto"/>
            <w:vAlign w:val="bottom"/>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Sources of evidence if available</w:t>
            </w:r>
          </w:p>
        </w:tc>
      </w:tr>
      <w:tr w:rsidR="00F467DD" w:rsidRPr="00B87795" w:rsidTr="00A13D1B">
        <w:tc>
          <w:tcPr>
            <w:tcW w:w="631" w:type="pct"/>
            <w:tcBorders>
              <w:top w:val="single" w:sz="18" w:space="0" w:color="auto"/>
            </w:tcBorders>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Equality reporting</w:t>
            </w:r>
          </w:p>
        </w:tc>
        <w:tc>
          <w:tcPr>
            <w:tcW w:w="643" w:type="pct"/>
            <w:tcBorders>
              <w:top w:val="single" w:sz="18" w:space="0" w:color="auto"/>
            </w:tcBorders>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All equality strands</w:t>
            </w:r>
          </w:p>
        </w:tc>
        <w:tc>
          <w:tcPr>
            <w:tcW w:w="750" w:type="pct"/>
            <w:tcBorders>
              <w:top w:val="single" w:sz="18" w:space="0" w:color="auto"/>
            </w:tcBorders>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Government</w:t>
            </w:r>
          </w:p>
          <w:p w:rsidR="0089729A" w:rsidRDefault="00F467DD" w:rsidP="0089729A">
            <w:pPr>
              <w:spacing w:before="720" w:line="240" w:lineRule="auto"/>
              <w:ind w:right="0"/>
              <w:rPr>
                <w:rFonts w:eastAsia="Times New Roman" w:cs="Arial"/>
                <w:sz w:val="22"/>
                <w:szCs w:val="22"/>
              </w:rPr>
            </w:pPr>
            <w:r w:rsidRPr="00B87795">
              <w:rPr>
                <w:rFonts w:eastAsia="Times New Roman" w:cs="Arial"/>
                <w:sz w:val="22"/>
                <w:szCs w:val="22"/>
              </w:rPr>
              <w:t>Government</w:t>
            </w:r>
          </w:p>
          <w:p w:rsidR="00F467DD" w:rsidRPr="00B87795" w:rsidRDefault="00F467DD" w:rsidP="0089729A">
            <w:pPr>
              <w:spacing w:before="480" w:line="240" w:lineRule="auto"/>
              <w:ind w:right="0"/>
              <w:rPr>
                <w:rFonts w:eastAsia="Times New Roman" w:cs="Arial"/>
                <w:sz w:val="22"/>
                <w:szCs w:val="22"/>
              </w:rPr>
            </w:pPr>
            <w:r w:rsidRPr="00B87795">
              <w:rPr>
                <w:rFonts w:eastAsia="Times New Roman" w:cs="Arial"/>
                <w:sz w:val="22"/>
                <w:szCs w:val="22"/>
              </w:rPr>
              <w:t>Employers</w:t>
            </w:r>
          </w:p>
          <w:p w:rsidR="00F467DD" w:rsidRPr="00B87795" w:rsidRDefault="00F467DD" w:rsidP="00A13D1B">
            <w:pPr>
              <w:spacing w:before="0" w:line="240" w:lineRule="auto"/>
              <w:ind w:right="0"/>
              <w:rPr>
                <w:rFonts w:eastAsia="Times New Roman" w:cs="Arial"/>
                <w:sz w:val="22"/>
                <w:szCs w:val="22"/>
              </w:rPr>
            </w:pPr>
          </w:p>
        </w:tc>
        <w:tc>
          <w:tcPr>
            <w:tcW w:w="1702" w:type="pct"/>
            <w:tcBorders>
              <w:top w:val="single" w:sz="18" w:space="0" w:color="auto"/>
            </w:tcBorders>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Mandatory reporting, with reporting requirements relating to gender, disability and ethnicity</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Bring in</w:t>
            </w:r>
            <w:r w:rsidRPr="00B87795">
              <w:rPr>
                <w:rFonts w:eastAsia="Times New Roman" w:cs="Arial"/>
                <w:sz w:val="22"/>
                <w:szCs w:val="22"/>
              </w:rPr>
              <w:t xml:space="preserve"> the Section 78 requirement </w:t>
            </w:r>
            <w:r>
              <w:rPr>
                <w:rFonts w:eastAsia="Times New Roman" w:cs="Arial"/>
                <w:sz w:val="22"/>
                <w:szCs w:val="22"/>
              </w:rPr>
              <w:t xml:space="preserve">on gender pay gap reporting </w:t>
            </w:r>
            <w:r w:rsidRPr="00B87795">
              <w:rPr>
                <w:rFonts w:eastAsia="Times New Roman" w:cs="Arial"/>
                <w:sz w:val="22"/>
                <w:szCs w:val="22"/>
              </w:rPr>
              <w:t>to organisations with fewer than 250 employees</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Educate employers to overcome wrongful assumption that equal pay issues are not relevant where there is job evaluation and other formalised</w:t>
            </w:r>
            <w:r>
              <w:rPr>
                <w:rFonts w:eastAsia="Times New Roman" w:cs="Arial"/>
                <w:sz w:val="22"/>
                <w:szCs w:val="22"/>
              </w:rPr>
              <w:t xml:space="preserve"> human resources </w:t>
            </w:r>
            <w:r w:rsidRPr="00B87795">
              <w:rPr>
                <w:rFonts w:eastAsia="Times New Roman" w:cs="Arial"/>
                <w:sz w:val="22"/>
                <w:szCs w:val="22"/>
              </w:rPr>
              <w:t>processes in place</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Place stronger e</w:t>
            </w:r>
            <w:r w:rsidRPr="00B87795">
              <w:rPr>
                <w:rFonts w:eastAsia="Times New Roman" w:cs="Arial"/>
                <w:sz w:val="22"/>
                <w:szCs w:val="22"/>
              </w:rPr>
              <w:t>mphasis on action points following equal pay reviews and inclusion of metrics</w:t>
            </w:r>
            <w:r>
              <w:rPr>
                <w:rFonts w:eastAsia="Times New Roman" w:cs="Arial"/>
                <w:sz w:val="22"/>
                <w:szCs w:val="22"/>
              </w:rPr>
              <w:t xml:space="preserve"> or </w:t>
            </w:r>
            <w:r w:rsidRPr="00B87795">
              <w:rPr>
                <w:rFonts w:eastAsia="Times New Roman" w:cs="Arial"/>
                <w:sz w:val="22"/>
                <w:szCs w:val="22"/>
              </w:rPr>
              <w:t>evaluation methods to determine effectiveness of actions</w:t>
            </w:r>
          </w:p>
        </w:tc>
        <w:tc>
          <w:tcPr>
            <w:tcW w:w="1273" w:type="pct"/>
            <w:tcBorders>
              <w:top w:val="single" w:sz="18" w:space="0" w:color="auto"/>
            </w:tcBorders>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Gow and Middlemiss (2011)</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 Dewson </w:t>
            </w:r>
            <w:r w:rsidRPr="00E049D7">
              <w:rPr>
                <w:rFonts w:eastAsia="Times New Roman" w:cs="Arial"/>
                <w:i/>
                <w:sz w:val="22"/>
              </w:rPr>
              <w:t>et al</w:t>
            </w:r>
            <w:r>
              <w:rPr>
                <w:rFonts w:eastAsia="Times New Roman" w:cs="Arial"/>
                <w:sz w:val="22"/>
                <w:szCs w:val="22"/>
              </w:rPr>
              <w:t>.</w:t>
            </w:r>
            <w:r w:rsidRPr="00B87795">
              <w:rPr>
                <w:rFonts w:eastAsia="Times New Roman" w:cs="Arial"/>
                <w:sz w:val="22"/>
                <w:szCs w:val="22"/>
              </w:rPr>
              <w:t xml:space="preserve"> (2011)</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IFF Research (2015)</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Workshops</w:t>
            </w:r>
          </w:p>
        </w:tc>
      </w:tr>
      <w:tr w:rsidR="00F467DD" w:rsidRPr="00B87795" w:rsidTr="00A13D1B">
        <w:tc>
          <w:tcPr>
            <w:tcW w:w="631"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Shared Parental Leave</w:t>
            </w:r>
          </w:p>
        </w:tc>
        <w:tc>
          <w:tcPr>
            <w:tcW w:w="64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Gender</w:t>
            </w:r>
          </w:p>
        </w:tc>
        <w:tc>
          <w:tcPr>
            <w:tcW w:w="750"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Government/ Employer</w:t>
            </w:r>
          </w:p>
        </w:tc>
        <w:tc>
          <w:tcPr>
            <w:tcW w:w="1702"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Raise level of Shared Parental Pay (consider statutory and employer top</w:t>
            </w:r>
            <w:r>
              <w:rPr>
                <w:rFonts w:eastAsia="Times New Roman" w:cs="Arial"/>
                <w:sz w:val="22"/>
                <w:szCs w:val="22"/>
              </w:rPr>
              <w:t>-</w:t>
            </w:r>
            <w:r w:rsidRPr="00B87795">
              <w:rPr>
                <w:rFonts w:eastAsia="Times New Roman" w:cs="Arial"/>
                <w:sz w:val="22"/>
                <w:szCs w:val="22"/>
              </w:rPr>
              <w:t>ups)</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Attempt to mitigate the perceived negative career impact</w:t>
            </w:r>
            <w:r>
              <w:rPr>
                <w:rFonts w:eastAsia="Times New Roman" w:cs="Arial"/>
                <w:sz w:val="22"/>
                <w:szCs w:val="22"/>
              </w:rPr>
              <w:t xml:space="preserve"> for a father</w:t>
            </w:r>
            <w:r w:rsidRPr="00B87795">
              <w:rPr>
                <w:rFonts w:eastAsia="Times New Roman" w:cs="Arial"/>
                <w:sz w:val="22"/>
                <w:szCs w:val="22"/>
              </w:rPr>
              <w:t xml:space="preserve"> of </w:t>
            </w:r>
            <w:r>
              <w:rPr>
                <w:rFonts w:eastAsia="Times New Roman" w:cs="Arial"/>
                <w:sz w:val="22"/>
                <w:szCs w:val="22"/>
              </w:rPr>
              <w:t xml:space="preserve">taking an </w:t>
            </w:r>
            <w:r w:rsidRPr="00B87795">
              <w:rPr>
                <w:rFonts w:eastAsia="Times New Roman" w:cs="Arial"/>
                <w:sz w:val="22"/>
                <w:szCs w:val="22"/>
              </w:rPr>
              <w:t xml:space="preserve">extended period of time off </w:t>
            </w:r>
            <w:r>
              <w:rPr>
                <w:rFonts w:eastAsia="Times New Roman" w:cs="Arial"/>
                <w:sz w:val="22"/>
                <w:szCs w:val="22"/>
              </w:rPr>
              <w:t>work</w:t>
            </w:r>
          </w:p>
        </w:tc>
        <w:tc>
          <w:tcPr>
            <w:tcW w:w="127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Plantenga and Remery (2005</w:t>
            </w:r>
            <w:r>
              <w:rPr>
                <w:rFonts w:eastAsia="Times New Roman" w:cs="Arial"/>
                <w:sz w:val="22"/>
                <w:szCs w:val="22"/>
              </w:rPr>
              <w:t>)</w:t>
            </w:r>
            <w:r w:rsidRPr="00B87795">
              <w:rPr>
                <w:rFonts w:eastAsia="Times New Roman" w:cs="Arial"/>
                <w:sz w:val="22"/>
                <w:szCs w:val="22"/>
              </w:rPr>
              <w:t xml:space="preserve">, cited in BIS </w:t>
            </w:r>
            <w:r>
              <w:rPr>
                <w:rFonts w:eastAsia="Times New Roman" w:cs="Arial"/>
                <w:sz w:val="22"/>
                <w:szCs w:val="22"/>
              </w:rPr>
              <w:t>(</w:t>
            </w:r>
            <w:r w:rsidRPr="00B87795">
              <w:rPr>
                <w:rFonts w:eastAsia="Times New Roman" w:cs="Arial"/>
                <w:sz w:val="22"/>
                <w:szCs w:val="22"/>
              </w:rPr>
              <w:t>2013)</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 Moss, </w:t>
            </w:r>
            <w:r>
              <w:rPr>
                <w:rFonts w:eastAsia="Times New Roman" w:cs="Arial"/>
                <w:sz w:val="22"/>
                <w:szCs w:val="22"/>
              </w:rPr>
              <w:t>(</w:t>
            </w:r>
            <w:r w:rsidRPr="00B87795">
              <w:rPr>
                <w:rFonts w:eastAsia="Times New Roman" w:cs="Arial"/>
                <w:sz w:val="22"/>
                <w:szCs w:val="22"/>
              </w:rPr>
              <w:t>201</w:t>
            </w:r>
            <w:r>
              <w:rPr>
                <w:rFonts w:eastAsia="Times New Roman" w:cs="Arial"/>
                <w:sz w:val="22"/>
                <w:szCs w:val="22"/>
              </w:rPr>
              <w:t>2,</w:t>
            </w:r>
            <w:r w:rsidRPr="00B87795">
              <w:rPr>
                <w:rFonts w:eastAsia="Times New Roman" w:cs="Arial"/>
                <w:sz w:val="22"/>
                <w:szCs w:val="22"/>
              </w:rPr>
              <w:t xml:space="preserve"> cited in BIS (2013)</w:t>
            </w:r>
          </w:p>
        </w:tc>
      </w:tr>
      <w:tr w:rsidR="00F467DD" w:rsidRPr="00B87795" w:rsidTr="00A13D1B">
        <w:tc>
          <w:tcPr>
            <w:tcW w:w="631"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National Minimum Wage </w:t>
            </w:r>
          </w:p>
        </w:tc>
        <w:tc>
          <w:tcPr>
            <w:tcW w:w="64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All equality strands</w:t>
            </w:r>
          </w:p>
        </w:tc>
        <w:tc>
          <w:tcPr>
            <w:tcW w:w="750"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Government </w:t>
            </w:r>
          </w:p>
        </w:tc>
        <w:tc>
          <w:tcPr>
            <w:tcW w:w="1702"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Raise level of NMW appropriately and progressively</w:t>
            </w:r>
          </w:p>
        </w:tc>
        <w:tc>
          <w:tcPr>
            <w:tcW w:w="127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Manning and Petrongolo (2008)</w:t>
            </w:r>
          </w:p>
        </w:tc>
      </w:tr>
      <w:tr w:rsidR="00F467DD" w:rsidRPr="00B87795" w:rsidTr="00A13D1B">
        <w:tc>
          <w:tcPr>
            <w:tcW w:w="631"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Flexible working</w:t>
            </w:r>
          </w:p>
        </w:tc>
        <w:tc>
          <w:tcPr>
            <w:tcW w:w="64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Gender/ Disability</w:t>
            </w:r>
          </w:p>
        </w:tc>
        <w:tc>
          <w:tcPr>
            <w:tcW w:w="750"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Employers</w:t>
            </w:r>
          </w:p>
          <w:p w:rsidR="00F467DD" w:rsidRPr="00B87795" w:rsidRDefault="00F467DD" w:rsidP="00A13D1B">
            <w:pPr>
              <w:spacing w:before="0" w:line="240" w:lineRule="auto"/>
              <w:ind w:right="0"/>
              <w:rPr>
                <w:rFonts w:eastAsia="Times New Roman" w:cs="Arial"/>
                <w:sz w:val="22"/>
                <w:szCs w:val="22"/>
              </w:rPr>
            </w:pPr>
          </w:p>
          <w:p w:rsidR="00F467DD" w:rsidRPr="00B87795" w:rsidRDefault="00F467DD" w:rsidP="00A13D1B">
            <w:pPr>
              <w:spacing w:before="0" w:line="240" w:lineRule="auto"/>
              <w:ind w:right="0"/>
              <w:rPr>
                <w:rFonts w:eastAsia="Times New Roman" w:cs="Arial"/>
                <w:sz w:val="22"/>
                <w:szCs w:val="22"/>
              </w:rPr>
            </w:pPr>
            <w:r>
              <w:rPr>
                <w:rFonts w:eastAsia="Times New Roman" w:cs="Arial"/>
                <w:sz w:val="22"/>
                <w:szCs w:val="22"/>
              </w:rPr>
              <w:t>Employers/</w:t>
            </w:r>
            <w:r w:rsidRPr="00B87795">
              <w:rPr>
                <w:rFonts w:eastAsia="Times New Roman" w:cs="Arial"/>
                <w:sz w:val="22"/>
                <w:szCs w:val="22"/>
              </w:rPr>
              <w:t>EHRC</w:t>
            </w:r>
          </w:p>
        </w:tc>
        <w:tc>
          <w:tcPr>
            <w:tcW w:w="1702"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Re-organis</w:t>
            </w:r>
            <w:r>
              <w:rPr>
                <w:rFonts w:eastAsia="Times New Roman" w:cs="Arial"/>
                <w:sz w:val="22"/>
                <w:szCs w:val="22"/>
              </w:rPr>
              <w:t>e</w:t>
            </w:r>
            <w:r w:rsidRPr="00B87795">
              <w:rPr>
                <w:rFonts w:eastAsia="Times New Roman" w:cs="Arial"/>
                <w:sz w:val="22"/>
                <w:szCs w:val="22"/>
              </w:rPr>
              <w:t xml:space="preserve"> work to provide opportunities for flexible working at all grades, particularly at senior levels and in high</w:t>
            </w:r>
            <w:r>
              <w:rPr>
                <w:rFonts w:eastAsia="Times New Roman" w:cs="Arial"/>
                <w:sz w:val="22"/>
                <w:szCs w:val="22"/>
              </w:rPr>
              <w:t>-</w:t>
            </w:r>
            <w:r w:rsidRPr="00B87795">
              <w:rPr>
                <w:rFonts w:eastAsia="Times New Roman" w:cs="Arial"/>
                <w:sz w:val="22"/>
                <w:szCs w:val="22"/>
              </w:rPr>
              <w:t>paying functions</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 xml:space="preserve">Educate all employees on </w:t>
            </w:r>
            <w:r>
              <w:rPr>
                <w:rFonts w:eastAsia="Times New Roman" w:cs="Arial"/>
                <w:sz w:val="22"/>
                <w:szCs w:val="22"/>
              </w:rPr>
              <w:t xml:space="preserve">their </w:t>
            </w:r>
            <w:r w:rsidRPr="00B87795">
              <w:rPr>
                <w:rFonts w:eastAsia="Times New Roman" w:cs="Arial"/>
                <w:sz w:val="22"/>
                <w:szCs w:val="22"/>
              </w:rPr>
              <w:t>right to request flexible working arrangements at all grades</w:t>
            </w:r>
          </w:p>
        </w:tc>
        <w:tc>
          <w:tcPr>
            <w:tcW w:w="127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 xml:space="preserve">Workshops </w:t>
            </w:r>
          </w:p>
        </w:tc>
      </w:tr>
      <w:tr w:rsidR="00F467DD" w:rsidRPr="00B87795" w:rsidTr="00A13D1B">
        <w:tc>
          <w:tcPr>
            <w:tcW w:w="631"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Performance management and the </w:t>
            </w:r>
            <w:r w:rsidRPr="00B87795">
              <w:rPr>
                <w:rFonts w:eastAsia="Times New Roman" w:cs="Arial"/>
                <w:sz w:val="22"/>
                <w:szCs w:val="22"/>
              </w:rPr>
              <w:lastRenderedPageBreak/>
              <w:t xml:space="preserve">provision of training </w:t>
            </w:r>
          </w:p>
        </w:tc>
        <w:tc>
          <w:tcPr>
            <w:tcW w:w="64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lastRenderedPageBreak/>
              <w:t>All equality strands</w:t>
            </w:r>
          </w:p>
        </w:tc>
        <w:tc>
          <w:tcPr>
            <w:tcW w:w="750"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Employers</w:t>
            </w:r>
          </w:p>
        </w:tc>
        <w:tc>
          <w:tcPr>
            <w:tcW w:w="1702"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Pool and moderate evaluation of employees against the same criteria</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 xml:space="preserve">Use clear, established and bias-free criteria </w:t>
            </w:r>
            <w:r w:rsidRPr="00B87795">
              <w:rPr>
                <w:rFonts w:eastAsia="Times New Roman" w:cs="Arial"/>
                <w:sz w:val="22"/>
                <w:szCs w:val="22"/>
              </w:rPr>
              <w:lastRenderedPageBreak/>
              <w:t>for performance assessments</w:t>
            </w:r>
            <w:r>
              <w:rPr>
                <w:rFonts w:eastAsia="Times New Roman" w:cs="Arial"/>
                <w:sz w:val="22"/>
                <w:szCs w:val="22"/>
              </w:rPr>
              <w:t>,</w:t>
            </w:r>
            <w:r w:rsidRPr="00B87795">
              <w:rPr>
                <w:rFonts w:eastAsia="Times New Roman" w:cs="Arial"/>
                <w:sz w:val="22"/>
                <w:szCs w:val="22"/>
              </w:rPr>
              <w:t xml:space="preserve"> with a defined and robust link to pay</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Check performance ratings by groupings</w:t>
            </w:r>
            <w:r>
              <w:rPr>
                <w:rFonts w:eastAsia="Times New Roman" w:cs="Arial"/>
                <w:sz w:val="22"/>
                <w:szCs w:val="22"/>
              </w:rPr>
              <w:t>;</w:t>
            </w:r>
            <w:r w:rsidRPr="00B87795">
              <w:rPr>
                <w:rFonts w:eastAsia="Times New Roman" w:cs="Arial"/>
                <w:sz w:val="22"/>
                <w:szCs w:val="22"/>
              </w:rPr>
              <w:t xml:space="preserve"> e</w:t>
            </w:r>
            <w:r>
              <w:rPr>
                <w:rFonts w:eastAsia="Times New Roman" w:cs="Arial"/>
                <w:sz w:val="22"/>
              </w:rPr>
              <w:t>.</w:t>
            </w:r>
            <w:r w:rsidRPr="00B87795">
              <w:rPr>
                <w:rFonts w:eastAsia="Times New Roman" w:cs="Arial"/>
                <w:sz w:val="22"/>
                <w:szCs w:val="22"/>
              </w:rPr>
              <w:t>g</w:t>
            </w:r>
            <w:r>
              <w:rPr>
                <w:rFonts w:eastAsia="Times New Roman" w:cs="Arial"/>
                <w:sz w:val="22"/>
                <w:szCs w:val="22"/>
              </w:rPr>
              <w:t>.</w:t>
            </w:r>
            <w:r w:rsidRPr="00B87795">
              <w:rPr>
                <w:rFonts w:eastAsia="Times New Roman" w:cs="Arial"/>
                <w:sz w:val="22"/>
                <w:szCs w:val="22"/>
              </w:rPr>
              <w:t xml:space="preserve"> part</w:t>
            </w:r>
            <w:r>
              <w:rPr>
                <w:rFonts w:eastAsia="Times New Roman" w:cs="Arial"/>
                <w:sz w:val="22"/>
                <w:szCs w:val="22"/>
              </w:rPr>
              <w:t>-</w:t>
            </w:r>
            <w:r w:rsidRPr="00B87795">
              <w:rPr>
                <w:rFonts w:eastAsia="Times New Roman" w:cs="Arial"/>
                <w:sz w:val="22"/>
                <w:szCs w:val="22"/>
              </w:rPr>
              <w:t>time v</w:t>
            </w:r>
            <w:r>
              <w:rPr>
                <w:rFonts w:eastAsia="Times New Roman" w:cs="Arial"/>
                <w:sz w:val="22"/>
                <w:szCs w:val="22"/>
              </w:rPr>
              <w:t>ersus</w:t>
            </w:r>
            <w:r w:rsidRPr="00B87795">
              <w:rPr>
                <w:rFonts w:eastAsia="Times New Roman" w:cs="Arial"/>
                <w:sz w:val="22"/>
                <w:szCs w:val="22"/>
              </w:rPr>
              <w:t xml:space="preserve"> full</w:t>
            </w:r>
            <w:r>
              <w:rPr>
                <w:rFonts w:eastAsia="Times New Roman" w:cs="Arial"/>
                <w:sz w:val="22"/>
                <w:szCs w:val="22"/>
              </w:rPr>
              <w:t>-</w:t>
            </w:r>
            <w:r w:rsidRPr="00B87795">
              <w:rPr>
                <w:rFonts w:eastAsia="Times New Roman" w:cs="Arial"/>
                <w:sz w:val="22"/>
                <w:szCs w:val="22"/>
              </w:rPr>
              <w:t>time employees</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 xml:space="preserve">Standardise promotion cycles </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Provide g</w:t>
            </w:r>
            <w:r w:rsidRPr="00B87795">
              <w:rPr>
                <w:rFonts w:eastAsia="Times New Roman" w:cs="Arial"/>
                <w:sz w:val="22"/>
                <w:szCs w:val="22"/>
              </w:rPr>
              <w:t>reater training opportunities for those working flexibly</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Provide u</w:t>
            </w:r>
            <w:r w:rsidRPr="00B87795">
              <w:rPr>
                <w:rFonts w:eastAsia="Times New Roman" w:cs="Arial"/>
                <w:sz w:val="22"/>
                <w:szCs w:val="22"/>
              </w:rPr>
              <w:t>nconscious bias training for those who make appraisal and promotion decisions</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Monitor and review promotions and training by equality strand and use this data to inform</w:t>
            </w:r>
            <w:r>
              <w:rPr>
                <w:rFonts w:eastAsia="Times New Roman" w:cs="Arial"/>
                <w:sz w:val="22"/>
                <w:szCs w:val="22"/>
              </w:rPr>
              <w:t xml:space="preserve"> human resources </w:t>
            </w:r>
            <w:r w:rsidRPr="00B87795">
              <w:rPr>
                <w:rFonts w:eastAsia="Times New Roman" w:cs="Arial"/>
                <w:sz w:val="22"/>
                <w:szCs w:val="22"/>
              </w:rPr>
              <w:t>strategy</w:t>
            </w:r>
          </w:p>
        </w:tc>
        <w:tc>
          <w:tcPr>
            <w:tcW w:w="127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lastRenderedPageBreak/>
              <w:t>- Menino (2013)</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 Olsen </w:t>
            </w:r>
            <w:r w:rsidRPr="00E049D7">
              <w:rPr>
                <w:rFonts w:eastAsia="Times New Roman" w:cs="Arial"/>
                <w:i/>
                <w:sz w:val="22"/>
              </w:rPr>
              <w:t>et al</w:t>
            </w:r>
            <w:r>
              <w:rPr>
                <w:rFonts w:eastAsia="Times New Roman" w:cs="Arial"/>
                <w:sz w:val="22"/>
                <w:szCs w:val="22"/>
              </w:rPr>
              <w:t>.</w:t>
            </w:r>
            <w:r w:rsidRPr="00B87795">
              <w:rPr>
                <w:rFonts w:eastAsia="Times New Roman" w:cs="Arial"/>
                <w:sz w:val="22"/>
                <w:szCs w:val="22"/>
              </w:rPr>
              <w:t xml:space="preserve"> (2010)</w:t>
            </w:r>
          </w:p>
          <w:p w:rsidR="00F467DD" w:rsidRPr="00B87795" w:rsidRDefault="00F467DD" w:rsidP="00A13D1B">
            <w:pPr>
              <w:spacing w:before="0" w:line="240" w:lineRule="auto"/>
              <w:ind w:right="0"/>
              <w:rPr>
                <w:rFonts w:eastAsia="Times New Roman" w:cs="Arial"/>
                <w:sz w:val="22"/>
                <w:szCs w:val="22"/>
              </w:rPr>
            </w:pPr>
          </w:p>
        </w:tc>
      </w:tr>
      <w:tr w:rsidR="00F467DD" w:rsidRPr="00B87795" w:rsidTr="00A13D1B">
        <w:tc>
          <w:tcPr>
            <w:tcW w:w="631"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Maternity </w:t>
            </w:r>
          </w:p>
        </w:tc>
        <w:tc>
          <w:tcPr>
            <w:tcW w:w="64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Gender</w:t>
            </w:r>
          </w:p>
        </w:tc>
        <w:tc>
          <w:tcPr>
            <w:tcW w:w="750"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Employers</w:t>
            </w:r>
          </w:p>
        </w:tc>
        <w:tc>
          <w:tcPr>
            <w:tcW w:w="1702"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Enhance support for maternity returners</w:t>
            </w:r>
            <w:r>
              <w:rPr>
                <w:rFonts w:eastAsia="Times New Roman" w:cs="Arial"/>
                <w:sz w:val="22"/>
                <w:szCs w:val="22"/>
              </w:rPr>
              <w:t>,</w:t>
            </w:r>
            <w:r w:rsidRPr="00B87795">
              <w:rPr>
                <w:rFonts w:eastAsia="Times New Roman" w:cs="Arial"/>
                <w:sz w:val="22"/>
                <w:szCs w:val="22"/>
              </w:rPr>
              <w:t xml:space="preserve"> flexible working opportunities</w:t>
            </w:r>
            <w:r>
              <w:rPr>
                <w:rFonts w:eastAsia="Times New Roman" w:cs="Arial"/>
                <w:sz w:val="22"/>
                <w:szCs w:val="22"/>
              </w:rPr>
              <w:t>,</w:t>
            </w:r>
            <w:r w:rsidRPr="00B87795">
              <w:rPr>
                <w:rFonts w:eastAsia="Times New Roman" w:cs="Arial"/>
                <w:sz w:val="22"/>
                <w:szCs w:val="22"/>
              </w:rPr>
              <w:t xml:space="preserve"> mentoring and confidence building activities, networks</w:t>
            </w:r>
            <w:r>
              <w:rPr>
                <w:rFonts w:eastAsia="Times New Roman" w:cs="Arial"/>
                <w:sz w:val="22"/>
                <w:szCs w:val="22"/>
              </w:rPr>
              <w:t>,</w:t>
            </w:r>
            <w:r w:rsidRPr="00B87795">
              <w:rPr>
                <w:rFonts w:eastAsia="Times New Roman" w:cs="Arial"/>
                <w:sz w:val="22"/>
                <w:szCs w:val="22"/>
              </w:rPr>
              <w:t xml:space="preserve"> etc</w:t>
            </w:r>
            <w:r>
              <w:rPr>
                <w:rFonts w:eastAsia="Times New Roman" w:cs="Arial"/>
                <w:sz w:val="22"/>
                <w:szCs w:val="22"/>
              </w:rPr>
              <w:t>.</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 </w:t>
            </w:r>
            <w:r>
              <w:rPr>
                <w:rFonts w:eastAsia="Times New Roman" w:cs="Arial"/>
                <w:sz w:val="22"/>
                <w:szCs w:val="22"/>
              </w:rPr>
              <w:t>Provide u</w:t>
            </w:r>
            <w:r w:rsidRPr="00B87795">
              <w:rPr>
                <w:rFonts w:eastAsia="Times New Roman" w:cs="Arial"/>
                <w:sz w:val="22"/>
                <w:szCs w:val="22"/>
              </w:rPr>
              <w:t>nconscious bias training for managers dealing with maternity returners</w:t>
            </w:r>
          </w:p>
        </w:tc>
        <w:tc>
          <w:tcPr>
            <w:tcW w:w="127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Workshops</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Best practice examples</w:t>
            </w:r>
          </w:p>
        </w:tc>
      </w:tr>
      <w:tr w:rsidR="00F467DD" w:rsidRPr="00B87795" w:rsidTr="00A13D1B">
        <w:tc>
          <w:tcPr>
            <w:tcW w:w="631"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Recruitment</w:t>
            </w:r>
          </w:p>
        </w:tc>
        <w:tc>
          <w:tcPr>
            <w:tcW w:w="64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All equality strands</w:t>
            </w:r>
          </w:p>
        </w:tc>
        <w:tc>
          <w:tcPr>
            <w:tcW w:w="750"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Employers/ EHRC/Government</w:t>
            </w:r>
          </w:p>
          <w:p w:rsidR="00F467DD" w:rsidRPr="00B87795" w:rsidRDefault="00F467DD" w:rsidP="00A13D1B">
            <w:pPr>
              <w:spacing w:before="0" w:line="240" w:lineRule="auto"/>
              <w:ind w:right="0"/>
              <w:rPr>
                <w:rFonts w:eastAsia="Times New Roman" w:cs="Arial"/>
                <w:sz w:val="22"/>
                <w:szCs w:val="22"/>
              </w:rPr>
            </w:pP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Employers</w:t>
            </w:r>
          </w:p>
        </w:tc>
        <w:tc>
          <w:tcPr>
            <w:tcW w:w="1702"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Promote use of blind applications and a move away from CV applications in the private sector</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 xml:space="preserve">Ensure the assessment and recruitment panel for job interviews is diverse </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Control and monitor</w:t>
            </w:r>
            <w:r>
              <w:rPr>
                <w:rFonts w:eastAsia="Times New Roman" w:cs="Arial"/>
                <w:sz w:val="22"/>
                <w:szCs w:val="22"/>
              </w:rPr>
              <w:t xml:space="preserve"> </w:t>
            </w:r>
            <w:r w:rsidRPr="00B87795">
              <w:rPr>
                <w:rFonts w:eastAsia="Times New Roman" w:cs="Arial"/>
                <w:sz w:val="22"/>
                <w:szCs w:val="22"/>
              </w:rPr>
              <w:t xml:space="preserve">starting salaries for new recruits </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Monitor recruitment and selection by equality strand</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Review equality policies and their impact regularly</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Set targets for</w:t>
            </w:r>
            <w:r>
              <w:rPr>
                <w:rFonts w:eastAsia="Times New Roman" w:cs="Arial"/>
                <w:sz w:val="22"/>
                <w:szCs w:val="22"/>
              </w:rPr>
              <w:t xml:space="preserve"> </w:t>
            </w:r>
            <w:r w:rsidRPr="00B87795">
              <w:rPr>
                <w:rFonts w:eastAsia="Times New Roman" w:cs="Arial"/>
                <w:sz w:val="22"/>
                <w:szCs w:val="22"/>
              </w:rPr>
              <w:t>the recruitment of protected characteristic groups to benchmark against for recruitment development purposes</w:t>
            </w:r>
          </w:p>
        </w:tc>
        <w:tc>
          <w:tcPr>
            <w:tcW w:w="127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Menino (2013)</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Wood </w:t>
            </w:r>
            <w:r>
              <w:rPr>
                <w:rFonts w:eastAsia="Times New Roman" w:cs="Arial"/>
                <w:i/>
                <w:sz w:val="22"/>
                <w:szCs w:val="22"/>
              </w:rPr>
              <w:t xml:space="preserve">et </w:t>
            </w:r>
            <w:r w:rsidRPr="000A5590">
              <w:rPr>
                <w:rFonts w:eastAsia="Times New Roman" w:cs="Arial"/>
                <w:i/>
                <w:sz w:val="22"/>
                <w:szCs w:val="22"/>
              </w:rPr>
              <w:t>al</w:t>
            </w:r>
            <w:r>
              <w:rPr>
                <w:rFonts w:eastAsia="Times New Roman" w:cs="Arial"/>
                <w:sz w:val="22"/>
                <w:szCs w:val="22"/>
              </w:rPr>
              <w:t>. (</w:t>
            </w:r>
            <w:r w:rsidRPr="000A5590">
              <w:rPr>
                <w:rFonts w:eastAsia="Times New Roman" w:cs="Arial"/>
                <w:sz w:val="22"/>
                <w:szCs w:val="22"/>
              </w:rPr>
              <w:t>National</w:t>
            </w:r>
            <w:r w:rsidRPr="00B87795">
              <w:rPr>
                <w:rFonts w:eastAsia="Times New Roman" w:cs="Arial"/>
                <w:sz w:val="22"/>
                <w:szCs w:val="22"/>
              </w:rPr>
              <w:t xml:space="preserve"> Centre for Social Research</w:t>
            </w:r>
            <w:r>
              <w:rPr>
                <w:rFonts w:eastAsia="Times New Roman" w:cs="Arial"/>
                <w:sz w:val="22"/>
                <w:szCs w:val="22"/>
              </w:rPr>
              <w:t>,</w:t>
            </w:r>
            <w:r w:rsidRPr="00B87795">
              <w:rPr>
                <w:rFonts w:eastAsia="Times New Roman" w:cs="Arial"/>
                <w:sz w:val="22"/>
                <w:szCs w:val="22"/>
              </w:rPr>
              <w:t xml:space="preserve"> 2009)</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Heath and Cheung (2006)</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Best practice examples</w:t>
            </w:r>
          </w:p>
          <w:p w:rsidR="00F467DD" w:rsidRPr="00B87795" w:rsidRDefault="00F467DD" w:rsidP="00A13D1B">
            <w:pPr>
              <w:spacing w:before="0" w:line="240" w:lineRule="auto"/>
              <w:ind w:right="0"/>
              <w:rPr>
                <w:rFonts w:eastAsia="Times New Roman" w:cs="Arial"/>
                <w:sz w:val="22"/>
                <w:szCs w:val="22"/>
              </w:rPr>
            </w:pPr>
          </w:p>
        </w:tc>
      </w:tr>
      <w:tr w:rsidR="00F467DD" w:rsidRPr="00B87795" w:rsidTr="00A13D1B">
        <w:tc>
          <w:tcPr>
            <w:tcW w:w="631"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Senior representation</w:t>
            </w:r>
          </w:p>
        </w:tc>
        <w:tc>
          <w:tcPr>
            <w:tcW w:w="64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All equality strands</w:t>
            </w:r>
          </w:p>
        </w:tc>
        <w:tc>
          <w:tcPr>
            <w:tcW w:w="750"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Employer/ Government</w:t>
            </w:r>
          </w:p>
        </w:tc>
        <w:tc>
          <w:tcPr>
            <w:tcW w:w="1702"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Invest in developing talent</w:t>
            </w:r>
            <w:r>
              <w:rPr>
                <w:rFonts w:eastAsia="Times New Roman" w:cs="Arial"/>
                <w:sz w:val="22"/>
                <w:szCs w:val="22"/>
              </w:rPr>
              <w:t>,</w:t>
            </w:r>
            <w:r w:rsidRPr="00B87795">
              <w:rPr>
                <w:rFonts w:eastAsia="Times New Roman" w:cs="Arial"/>
                <w:sz w:val="22"/>
                <w:szCs w:val="22"/>
              </w:rPr>
              <w:t xml:space="preserve"> e.g.</w:t>
            </w:r>
            <w:r>
              <w:rPr>
                <w:rFonts w:eastAsia="Times New Roman" w:cs="Arial"/>
                <w:sz w:val="22"/>
                <w:szCs w:val="22"/>
              </w:rPr>
              <w:t xml:space="preserve"> </w:t>
            </w:r>
            <w:r w:rsidRPr="00B87795">
              <w:rPr>
                <w:rFonts w:eastAsia="Times New Roman" w:cs="Arial"/>
                <w:sz w:val="22"/>
                <w:szCs w:val="22"/>
              </w:rPr>
              <w:t>formal leadership programmes or senior mentors who sponsor diverse talent</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lastRenderedPageBreak/>
              <w:t>- Promote</w:t>
            </w:r>
            <w:r>
              <w:rPr>
                <w:rFonts w:eastAsia="Times New Roman" w:cs="Arial"/>
                <w:sz w:val="22"/>
                <w:szCs w:val="22"/>
              </w:rPr>
              <w:t xml:space="preserve"> </w:t>
            </w:r>
            <w:r w:rsidRPr="00B87795">
              <w:rPr>
                <w:rFonts w:eastAsia="Times New Roman" w:cs="Arial"/>
                <w:sz w:val="22"/>
                <w:szCs w:val="22"/>
              </w:rPr>
              <w:t>the business case for diversity in the senior team and highlight the risks of ignoring the pay gaps agenda</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Set and monitor</w:t>
            </w:r>
            <w:r>
              <w:rPr>
                <w:rFonts w:eastAsia="Times New Roman" w:cs="Arial"/>
                <w:sz w:val="22"/>
                <w:szCs w:val="22"/>
              </w:rPr>
              <w:t xml:space="preserve"> </w:t>
            </w:r>
            <w:r w:rsidRPr="00B87795">
              <w:rPr>
                <w:rFonts w:eastAsia="Times New Roman" w:cs="Arial"/>
                <w:sz w:val="22"/>
                <w:szCs w:val="22"/>
              </w:rPr>
              <w:t>targets at employer, sector and national levels</w:t>
            </w:r>
          </w:p>
        </w:tc>
        <w:tc>
          <w:tcPr>
            <w:tcW w:w="127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lastRenderedPageBreak/>
              <w:t>-</w:t>
            </w:r>
            <w:r>
              <w:rPr>
                <w:rFonts w:eastAsia="Times New Roman" w:cs="Arial"/>
                <w:sz w:val="22"/>
                <w:szCs w:val="22"/>
              </w:rPr>
              <w:t xml:space="preserve"> </w:t>
            </w:r>
            <w:r w:rsidRPr="00B87795">
              <w:rPr>
                <w:rFonts w:eastAsia="Times New Roman" w:cs="Arial"/>
                <w:sz w:val="22"/>
                <w:szCs w:val="22"/>
              </w:rPr>
              <w:t>Workshops</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Menino (2013)</w:t>
            </w:r>
          </w:p>
        </w:tc>
      </w:tr>
      <w:tr w:rsidR="00F467DD" w:rsidRPr="00B87795" w:rsidTr="00A13D1B">
        <w:tc>
          <w:tcPr>
            <w:tcW w:w="631"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Practical support </w:t>
            </w:r>
          </w:p>
        </w:tc>
        <w:tc>
          <w:tcPr>
            <w:tcW w:w="64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Disability</w:t>
            </w:r>
          </w:p>
        </w:tc>
        <w:tc>
          <w:tcPr>
            <w:tcW w:w="750"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Government/Employer</w:t>
            </w:r>
          </w:p>
        </w:tc>
        <w:tc>
          <w:tcPr>
            <w:tcW w:w="1702" w:type="pct"/>
            <w:shd w:val="clear" w:color="auto" w:fill="auto"/>
          </w:tcPr>
          <w:p w:rsidR="00F467DD" w:rsidRPr="00B87795" w:rsidRDefault="00F467DD" w:rsidP="00A13D1B">
            <w:pPr>
              <w:spacing w:before="0" w:line="240" w:lineRule="auto"/>
              <w:ind w:right="0"/>
              <w:rPr>
                <w:rFonts w:eastAsia="Times New Roman" w:cs="Arial"/>
                <w:sz w:val="22"/>
                <w:szCs w:val="22"/>
              </w:rPr>
            </w:pPr>
            <w:r>
              <w:rPr>
                <w:rFonts w:eastAsia="Times New Roman" w:cs="Arial"/>
                <w:sz w:val="22"/>
                <w:szCs w:val="22"/>
              </w:rPr>
              <w:t xml:space="preserve">- </w:t>
            </w:r>
            <w:r w:rsidRPr="00B87795">
              <w:rPr>
                <w:rFonts w:eastAsia="Times New Roman" w:cs="Arial"/>
                <w:sz w:val="22"/>
                <w:szCs w:val="22"/>
              </w:rPr>
              <w:t>Focus on provision of support for those with mental health difficulties</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Promote awareness of existing support packages among employers and employees/applicants</w:t>
            </w:r>
            <w:r>
              <w:rPr>
                <w:rFonts w:eastAsia="Times New Roman" w:cs="Arial"/>
                <w:sz w:val="22"/>
                <w:szCs w:val="22"/>
              </w:rPr>
              <w:t>,</w:t>
            </w:r>
            <w:r w:rsidRPr="00B87795">
              <w:rPr>
                <w:rFonts w:eastAsia="Times New Roman" w:cs="Arial"/>
                <w:sz w:val="22"/>
                <w:szCs w:val="22"/>
              </w:rPr>
              <w:t xml:space="preserve"> and</w:t>
            </w:r>
            <w:r>
              <w:rPr>
                <w:rFonts w:eastAsia="Times New Roman" w:cs="Arial"/>
                <w:sz w:val="22"/>
                <w:szCs w:val="22"/>
              </w:rPr>
              <w:t xml:space="preserve"> promote</w:t>
            </w:r>
            <w:r w:rsidRPr="00B87795">
              <w:rPr>
                <w:rFonts w:eastAsia="Times New Roman" w:cs="Arial"/>
                <w:sz w:val="22"/>
                <w:szCs w:val="22"/>
              </w:rPr>
              <w:t xml:space="preserve"> employer awareness of adjustment needs</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Pay a</w:t>
            </w:r>
            <w:r w:rsidRPr="00B87795">
              <w:rPr>
                <w:rFonts w:eastAsia="Times New Roman" w:cs="Arial"/>
                <w:sz w:val="22"/>
                <w:szCs w:val="22"/>
              </w:rPr>
              <w:t xml:space="preserve">ttention to the importance of working hours flexibility (at all grades) as a means of accommodating disability </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Promote best practice to ensur</w:t>
            </w:r>
            <w:r>
              <w:rPr>
                <w:rFonts w:eastAsia="Times New Roman" w:cs="Arial"/>
                <w:sz w:val="22"/>
                <w:szCs w:val="22"/>
              </w:rPr>
              <w:t>e</w:t>
            </w:r>
            <w:r w:rsidRPr="00B87795">
              <w:rPr>
                <w:rFonts w:eastAsia="Times New Roman" w:cs="Arial"/>
                <w:sz w:val="22"/>
                <w:szCs w:val="22"/>
              </w:rPr>
              <w:t xml:space="preserve"> there are written adjustment agreements in place </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Pay a</w:t>
            </w:r>
            <w:r w:rsidRPr="00B87795">
              <w:rPr>
                <w:rFonts w:eastAsia="Times New Roman" w:cs="Arial"/>
                <w:sz w:val="22"/>
                <w:szCs w:val="22"/>
              </w:rPr>
              <w:t xml:space="preserve">ttention to SMEs recruitment and retention of disabled employees </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Ensure disabled employees have access to a committed mentor</w:t>
            </w:r>
            <w:r>
              <w:rPr>
                <w:rFonts w:eastAsia="Times New Roman" w:cs="Arial"/>
                <w:sz w:val="22"/>
                <w:szCs w:val="22"/>
              </w:rPr>
              <w:t xml:space="preserve"> or </w:t>
            </w:r>
            <w:r w:rsidRPr="00B87795">
              <w:rPr>
                <w:rFonts w:eastAsia="Times New Roman" w:cs="Arial"/>
                <w:sz w:val="22"/>
                <w:szCs w:val="22"/>
              </w:rPr>
              <w:t>sponsor and</w:t>
            </w:r>
            <w:r>
              <w:rPr>
                <w:rFonts w:eastAsia="Times New Roman" w:cs="Arial"/>
                <w:sz w:val="22"/>
                <w:szCs w:val="22"/>
              </w:rPr>
              <w:t xml:space="preserve"> that there is</w:t>
            </w:r>
            <w:r w:rsidRPr="00B87795">
              <w:rPr>
                <w:rFonts w:eastAsia="Times New Roman" w:cs="Arial"/>
                <w:sz w:val="22"/>
                <w:szCs w:val="22"/>
              </w:rPr>
              <w:t xml:space="preserve"> visible senior staff support </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Promote the visibility of disability within an organisation</w:t>
            </w:r>
            <w:r>
              <w:rPr>
                <w:rFonts w:eastAsia="Times New Roman" w:cs="Arial"/>
                <w:sz w:val="22"/>
                <w:szCs w:val="22"/>
              </w:rPr>
              <w:t>,</w:t>
            </w:r>
            <w:r w:rsidRPr="00B87795">
              <w:rPr>
                <w:rFonts w:eastAsia="Times New Roman" w:cs="Arial"/>
                <w:sz w:val="22"/>
                <w:szCs w:val="22"/>
              </w:rPr>
              <w:t xml:space="preserve"> e</w:t>
            </w:r>
            <w:r>
              <w:rPr>
                <w:rFonts w:eastAsia="Times New Roman" w:cs="Arial"/>
                <w:sz w:val="22"/>
              </w:rPr>
              <w:t>.</w:t>
            </w:r>
            <w:r w:rsidRPr="00B87795">
              <w:rPr>
                <w:rFonts w:eastAsia="Times New Roman" w:cs="Arial"/>
                <w:sz w:val="22"/>
                <w:szCs w:val="22"/>
              </w:rPr>
              <w:t>g.</w:t>
            </w:r>
            <w:r>
              <w:rPr>
                <w:rFonts w:eastAsia="Times New Roman" w:cs="Arial"/>
                <w:sz w:val="22"/>
                <w:szCs w:val="22"/>
              </w:rPr>
              <w:t xml:space="preserve"> through</w:t>
            </w:r>
            <w:r w:rsidRPr="00B87795">
              <w:rPr>
                <w:rFonts w:eastAsia="Times New Roman" w:cs="Arial"/>
                <w:sz w:val="22"/>
                <w:szCs w:val="22"/>
              </w:rPr>
              <w:t xml:space="preserve"> staff networks</w:t>
            </w:r>
            <w:r>
              <w:rPr>
                <w:rFonts w:eastAsia="Times New Roman" w:cs="Arial"/>
                <w:sz w:val="22"/>
                <w:szCs w:val="22"/>
              </w:rPr>
              <w:t>,</w:t>
            </w:r>
            <w:r w:rsidRPr="00B87795">
              <w:rPr>
                <w:rFonts w:eastAsia="Times New Roman" w:cs="Arial"/>
                <w:sz w:val="22"/>
                <w:szCs w:val="22"/>
              </w:rPr>
              <w:t xml:space="preserve"> etc.</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Focus on building the skills and confidence of line managers in managing employees with disabilities and</w:t>
            </w:r>
            <w:r>
              <w:rPr>
                <w:rFonts w:eastAsia="Times New Roman" w:cs="Arial"/>
                <w:sz w:val="22"/>
                <w:szCs w:val="22"/>
              </w:rPr>
              <w:t xml:space="preserve"> in</w:t>
            </w:r>
            <w:r w:rsidRPr="00B87795">
              <w:rPr>
                <w:rFonts w:eastAsia="Times New Roman" w:cs="Arial"/>
                <w:sz w:val="22"/>
                <w:szCs w:val="22"/>
              </w:rPr>
              <w:t xml:space="preserve"> ensuring consistency in the application of related policies </w:t>
            </w:r>
          </w:p>
        </w:tc>
        <w:tc>
          <w:tcPr>
            <w:tcW w:w="127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Workshops</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Sayce (</w:t>
            </w:r>
            <w:r>
              <w:rPr>
                <w:rFonts w:eastAsia="Times New Roman" w:cs="Arial"/>
                <w:sz w:val="22"/>
                <w:szCs w:val="22"/>
              </w:rPr>
              <w:t xml:space="preserve">RADAR, </w:t>
            </w:r>
            <w:r w:rsidRPr="00B87795">
              <w:rPr>
                <w:rFonts w:eastAsia="Times New Roman" w:cs="Arial"/>
                <w:sz w:val="22"/>
                <w:szCs w:val="22"/>
              </w:rPr>
              <w:t>2010)</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 Law </w:t>
            </w:r>
            <w:r w:rsidRPr="00E049D7">
              <w:rPr>
                <w:rFonts w:eastAsia="Times New Roman" w:cs="Arial"/>
                <w:i/>
                <w:sz w:val="22"/>
              </w:rPr>
              <w:t>et al</w:t>
            </w:r>
            <w:r>
              <w:rPr>
                <w:rFonts w:eastAsia="Times New Roman" w:cs="Arial"/>
                <w:sz w:val="22"/>
                <w:szCs w:val="22"/>
              </w:rPr>
              <w:t>.</w:t>
            </w:r>
            <w:r w:rsidRPr="00B87795">
              <w:rPr>
                <w:rFonts w:eastAsia="Times New Roman" w:cs="Arial"/>
                <w:sz w:val="22"/>
                <w:szCs w:val="22"/>
              </w:rPr>
              <w:t xml:space="preserve"> (2007, cited in Riddell </w:t>
            </w:r>
            <w:r w:rsidRPr="00E049D7">
              <w:rPr>
                <w:rFonts w:eastAsia="Times New Roman" w:cs="Arial"/>
                <w:i/>
                <w:sz w:val="22"/>
              </w:rPr>
              <w:t>et al</w:t>
            </w:r>
            <w:r>
              <w:rPr>
                <w:rFonts w:eastAsia="Times New Roman" w:cs="Arial"/>
                <w:sz w:val="22"/>
                <w:szCs w:val="22"/>
              </w:rPr>
              <w:t>.</w:t>
            </w:r>
            <w:r w:rsidRPr="00B87795">
              <w:rPr>
                <w:rFonts w:eastAsia="Times New Roman" w:cs="Arial"/>
                <w:sz w:val="22"/>
                <w:szCs w:val="22"/>
              </w:rPr>
              <w:t>, 2010)</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 </w:t>
            </w:r>
            <w:r>
              <w:rPr>
                <w:rFonts w:eastAsia="Times New Roman" w:cs="Arial"/>
                <w:sz w:val="22"/>
                <w:szCs w:val="22"/>
              </w:rPr>
              <w:t>Selvanera</w:t>
            </w:r>
            <w:r w:rsidRPr="00B87795">
              <w:rPr>
                <w:rFonts w:eastAsia="Times New Roman" w:cs="Arial"/>
                <w:sz w:val="22"/>
                <w:szCs w:val="22"/>
              </w:rPr>
              <w:t xml:space="preserve"> </w:t>
            </w:r>
            <w:r>
              <w:rPr>
                <w:rFonts w:eastAsia="Times New Roman" w:cs="Arial"/>
                <w:sz w:val="22"/>
                <w:szCs w:val="22"/>
              </w:rPr>
              <w:t xml:space="preserve">and </w:t>
            </w:r>
            <w:r w:rsidRPr="00B87795">
              <w:rPr>
                <w:rFonts w:eastAsia="Times New Roman" w:cs="Arial"/>
                <w:sz w:val="22"/>
                <w:szCs w:val="22"/>
              </w:rPr>
              <w:t>Whippy (2015)</w:t>
            </w:r>
          </w:p>
        </w:tc>
      </w:tr>
      <w:tr w:rsidR="00F467DD" w:rsidRPr="00B87795" w:rsidTr="00A13D1B">
        <w:tc>
          <w:tcPr>
            <w:tcW w:w="631" w:type="pct"/>
            <w:tcBorders>
              <w:bottom w:val="dotted" w:sz="4" w:space="0" w:color="auto"/>
            </w:tcBorders>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Early years education intervention</w:t>
            </w:r>
          </w:p>
        </w:tc>
        <w:tc>
          <w:tcPr>
            <w:tcW w:w="643" w:type="pct"/>
            <w:tcBorders>
              <w:bottom w:val="dotted" w:sz="4" w:space="0" w:color="auto"/>
            </w:tcBorders>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All equality strands</w:t>
            </w:r>
          </w:p>
        </w:tc>
        <w:tc>
          <w:tcPr>
            <w:tcW w:w="750" w:type="pct"/>
            <w:tcBorders>
              <w:bottom w:val="dotted" w:sz="4" w:space="0" w:color="auto"/>
            </w:tcBorders>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Government, EHRC</w:t>
            </w:r>
          </w:p>
        </w:tc>
        <w:tc>
          <w:tcPr>
            <w:tcW w:w="1702" w:type="pct"/>
            <w:tcBorders>
              <w:bottom w:val="dotted" w:sz="4" w:space="0" w:color="auto"/>
            </w:tcBorders>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Pay a</w:t>
            </w:r>
            <w:r w:rsidRPr="00B87795">
              <w:rPr>
                <w:rFonts w:eastAsia="Times New Roman" w:cs="Arial"/>
                <w:sz w:val="22"/>
                <w:szCs w:val="22"/>
              </w:rPr>
              <w:t xml:space="preserve">ttention to educational inequalities/stereotypes </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Focus on careers services in schools, further education and universities, as well as relevant charities and employer bodies involved</w:t>
            </w:r>
          </w:p>
        </w:tc>
        <w:tc>
          <w:tcPr>
            <w:tcW w:w="1273" w:type="pct"/>
            <w:tcBorders>
              <w:bottom w:val="dotted" w:sz="4" w:space="0" w:color="auto"/>
            </w:tcBorders>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Workshops</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London Economics (2015)</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Heath and Cheung (2006)</w:t>
            </w:r>
          </w:p>
          <w:p w:rsidR="00F467DD" w:rsidRPr="00B87795" w:rsidRDefault="00F467DD" w:rsidP="00A13D1B">
            <w:pPr>
              <w:spacing w:before="0" w:line="240" w:lineRule="auto"/>
              <w:ind w:right="0"/>
              <w:rPr>
                <w:rFonts w:eastAsia="Times New Roman" w:cs="Arial"/>
                <w:sz w:val="22"/>
                <w:szCs w:val="22"/>
              </w:rPr>
            </w:pPr>
          </w:p>
        </w:tc>
      </w:tr>
      <w:tr w:rsidR="00F467DD" w:rsidRPr="00B87795" w:rsidTr="00A13D1B">
        <w:tc>
          <w:tcPr>
            <w:tcW w:w="631"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Active labour market policies</w:t>
            </w:r>
          </w:p>
        </w:tc>
        <w:tc>
          <w:tcPr>
            <w:tcW w:w="64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Ethnicity</w:t>
            </w:r>
          </w:p>
        </w:tc>
        <w:tc>
          <w:tcPr>
            <w:tcW w:w="750"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Government </w:t>
            </w:r>
          </w:p>
        </w:tc>
        <w:tc>
          <w:tcPr>
            <w:tcW w:w="1702"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w:t>
            </w:r>
            <w:r>
              <w:rPr>
                <w:rFonts w:eastAsia="Times New Roman" w:cs="Arial"/>
                <w:sz w:val="22"/>
                <w:szCs w:val="22"/>
              </w:rPr>
              <w:t xml:space="preserve"> </w:t>
            </w:r>
            <w:r w:rsidRPr="00B87795">
              <w:rPr>
                <w:rFonts w:eastAsia="Times New Roman" w:cs="Arial"/>
                <w:sz w:val="22"/>
                <w:szCs w:val="22"/>
              </w:rPr>
              <w:t>Sustained active labour market policies in deprived areas</w:t>
            </w:r>
          </w:p>
        </w:tc>
        <w:tc>
          <w:tcPr>
            <w:tcW w:w="1273" w:type="pct"/>
            <w:shd w:val="clear" w:color="auto" w:fill="auto"/>
          </w:tcPr>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Heath and Cheung (2006)</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xml:space="preserve">- </w:t>
            </w:r>
            <w:r>
              <w:rPr>
                <w:rFonts w:eastAsia="Times New Roman" w:cs="Arial"/>
                <w:sz w:val="22"/>
                <w:szCs w:val="22"/>
              </w:rPr>
              <w:t xml:space="preserve">Wood </w:t>
            </w:r>
            <w:r>
              <w:rPr>
                <w:rFonts w:eastAsia="Times New Roman" w:cs="Arial"/>
                <w:i/>
                <w:sz w:val="22"/>
                <w:szCs w:val="22"/>
              </w:rPr>
              <w:t xml:space="preserve">et </w:t>
            </w:r>
            <w:r w:rsidRPr="000A5590">
              <w:rPr>
                <w:rFonts w:eastAsia="Times New Roman" w:cs="Arial"/>
                <w:i/>
                <w:sz w:val="22"/>
                <w:szCs w:val="22"/>
              </w:rPr>
              <w:t>al</w:t>
            </w:r>
            <w:r>
              <w:rPr>
                <w:rFonts w:eastAsia="Times New Roman" w:cs="Arial"/>
                <w:sz w:val="22"/>
                <w:szCs w:val="22"/>
              </w:rPr>
              <w:t>. (</w:t>
            </w:r>
            <w:r w:rsidRPr="000A5590">
              <w:rPr>
                <w:rFonts w:eastAsia="Times New Roman" w:cs="Arial"/>
                <w:sz w:val="22"/>
                <w:szCs w:val="22"/>
              </w:rPr>
              <w:t>National</w:t>
            </w:r>
            <w:r w:rsidRPr="00B87795">
              <w:rPr>
                <w:rFonts w:eastAsia="Times New Roman" w:cs="Arial"/>
                <w:sz w:val="22"/>
                <w:szCs w:val="22"/>
              </w:rPr>
              <w:t xml:space="preserve"> Centre for </w:t>
            </w:r>
            <w:r w:rsidRPr="00B87795">
              <w:rPr>
                <w:rFonts w:eastAsia="Times New Roman" w:cs="Arial"/>
                <w:sz w:val="22"/>
                <w:szCs w:val="22"/>
              </w:rPr>
              <w:lastRenderedPageBreak/>
              <w:t>Social Research</w:t>
            </w:r>
            <w:r>
              <w:rPr>
                <w:rFonts w:eastAsia="Times New Roman" w:cs="Arial"/>
                <w:sz w:val="22"/>
                <w:szCs w:val="22"/>
              </w:rPr>
              <w:t>,</w:t>
            </w:r>
            <w:r w:rsidRPr="00B87795">
              <w:rPr>
                <w:rFonts w:eastAsia="Times New Roman" w:cs="Arial"/>
                <w:sz w:val="22"/>
                <w:szCs w:val="22"/>
              </w:rPr>
              <w:t xml:space="preserve"> 2009)</w:t>
            </w:r>
          </w:p>
          <w:p w:rsidR="00F467DD" w:rsidRPr="00B87795" w:rsidRDefault="00F467DD" w:rsidP="00A13D1B">
            <w:pPr>
              <w:spacing w:before="0" w:line="240" w:lineRule="auto"/>
              <w:ind w:right="0"/>
              <w:rPr>
                <w:rFonts w:eastAsia="Times New Roman" w:cs="Arial"/>
                <w:sz w:val="22"/>
                <w:szCs w:val="22"/>
              </w:rPr>
            </w:pPr>
            <w:r w:rsidRPr="00B87795">
              <w:rPr>
                <w:rFonts w:eastAsia="Times New Roman" w:cs="Arial"/>
                <w:sz w:val="22"/>
                <w:szCs w:val="22"/>
              </w:rPr>
              <w:t>- NAO (2008)</w:t>
            </w:r>
          </w:p>
        </w:tc>
      </w:tr>
      <w:tr w:rsidR="00F467DD" w:rsidRPr="00B87795" w:rsidTr="00A13D1B">
        <w:tc>
          <w:tcPr>
            <w:tcW w:w="631" w:type="pct"/>
            <w:tcBorders>
              <w:bottom w:val="single" w:sz="8" w:space="0" w:color="auto"/>
            </w:tcBorders>
            <w:shd w:val="clear" w:color="auto" w:fill="auto"/>
          </w:tcPr>
          <w:p w:rsidR="00F467DD" w:rsidRPr="00B87795" w:rsidRDefault="00F467DD" w:rsidP="00A13D1B">
            <w:pPr>
              <w:spacing w:line="240" w:lineRule="auto"/>
              <w:rPr>
                <w:rFonts w:eastAsia="Times New Roman" w:cs="Arial"/>
                <w:sz w:val="22"/>
              </w:rPr>
            </w:pPr>
            <w:r>
              <w:rPr>
                <w:rFonts w:eastAsia="Times New Roman" w:cs="Arial"/>
                <w:sz w:val="22"/>
              </w:rPr>
              <w:lastRenderedPageBreak/>
              <w:t>Childcare provision</w:t>
            </w:r>
          </w:p>
        </w:tc>
        <w:tc>
          <w:tcPr>
            <w:tcW w:w="643" w:type="pct"/>
            <w:tcBorders>
              <w:bottom w:val="single" w:sz="8" w:space="0" w:color="auto"/>
            </w:tcBorders>
            <w:shd w:val="clear" w:color="auto" w:fill="auto"/>
          </w:tcPr>
          <w:p w:rsidR="00F467DD" w:rsidRPr="00B87795" w:rsidRDefault="00F467DD" w:rsidP="00A13D1B">
            <w:pPr>
              <w:spacing w:line="240" w:lineRule="auto"/>
              <w:rPr>
                <w:rFonts w:eastAsia="Times New Roman" w:cs="Arial"/>
                <w:sz w:val="22"/>
              </w:rPr>
            </w:pPr>
            <w:r>
              <w:rPr>
                <w:rFonts w:eastAsia="Times New Roman" w:cs="Arial"/>
                <w:sz w:val="22"/>
              </w:rPr>
              <w:t>Gender</w:t>
            </w:r>
          </w:p>
        </w:tc>
        <w:tc>
          <w:tcPr>
            <w:tcW w:w="750" w:type="pct"/>
            <w:tcBorders>
              <w:bottom w:val="single" w:sz="8" w:space="0" w:color="auto"/>
            </w:tcBorders>
            <w:shd w:val="clear" w:color="auto" w:fill="auto"/>
          </w:tcPr>
          <w:p w:rsidR="00F467DD" w:rsidRDefault="00F467DD" w:rsidP="00A13D1B">
            <w:pPr>
              <w:spacing w:line="240" w:lineRule="auto"/>
              <w:rPr>
                <w:rFonts w:eastAsia="Times New Roman" w:cs="Arial"/>
                <w:sz w:val="22"/>
              </w:rPr>
            </w:pPr>
            <w:r>
              <w:rPr>
                <w:rFonts w:eastAsia="Times New Roman" w:cs="Arial"/>
                <w:sz w:val="22"/>
              </w:rPr>
              <w:t>Government</w:t>
            </w:r>
          </w:p>
          <w:p w:rsidR="00F467DD" w:rsidRPr="00B87795" w:rsidRDefault="00F467DD" w:rsidP="00A13D1B">
            <w:pPr>
              <w:spacing w:line="240" w:lineRule="auto"/>
              <w:rPr>
                <w:rFonts w:eastAsia="Times New Roman" w:cs="Arial"/>
                <w:sz w:val="22"/>
              </w:rPr>
            </w:pPr>
            <w:r>
              <w:rPr>
                <w:rFonts w:eastAsia="Times New Roman" w:cs="Arial"/>
                <w:sz w:val="22"/>
              </w:rPr>
              <w:t>Employers</w:t>
            </w:r>
          </w:p>
        </w:tc>
        <w:tc>
          <w:tcPr>
            <w:tcW w:w="1702" w:type="pct"/>
            <w:tcBorders>
              <w:bottom w:val="single" w:sz="8" w:space="0" w:color="auto"/>
            </w:tcBorders>
            <w:shd w:val="clear" w:color="auto" w:fill="auto"/>
          </w:tcPr>
          <w:p w:rsidR="00F467DD" w:rsidRDefault="00F467DD" w:rsidP="00F467DD">
            <w:pPr>
              <w:pStyle w:val="ListParagraph"/>
              <w:numPr>
                <w:ilvl w:val="0"/>
                <w:numId w:val="34"/>
              </w:numPr>
              <w:spacing w:line="240" w:lineRule="auto"/>
              <w:rPr>
                <w:rFonts w:eastAsia="Times New Roman" w:cs="Arial"/>
                <w:sz w:val="22"/>
                <w:lang w:eastAsia="en-US"/>
              </w:rPr>
            </w:pPr>
            <w:r>
              <w:rPr>
                <w:rFonts w:eastAsia="Times New Roman" w:cs="Arial"/>
                <w:sz w:val="22"/>
              </w:rPr>
              <w:t>Remedy high costs, availability and flexibility of provision</w:t>
            </w:r>
          </w:p>
          <w:p w:rsidR="00F467DD" w:rsidRPr="00EA4F88" w:rsidRDefault="00F467DD" w:rsidP="00F467DD">
            <w:pPr>
              <w:pStyle w:val="ListParagraph"/>
              <w:numPr>
                <w:ilvl w:val="0"/>
                <w:numId w:val="34"/>
              </w:numPr>
              <w:spacing w:line="240" w:lineRule="auto"/>
              <w:rPr>
                <w:rFonts w:eastAsia="Times New Roman" w:cs="Arial"/>
                <w:sz w:val="22"/>
              </w:rPr>
            </w:pPr>
            <w:r w:rsidRPr="00EA4F88">
              <w:rPr>
                <w:sz w:val="22"/>
              </w:rPr>
              <w:t>Offer</w:t>
            </w:r>
            <w:r>
              <w:t xml:space="preserve"> </w:t>
            </w:r>
            <w:r w:rsidRPr="00EA4F88">
              <w:rPr>
                <w:sz w:val="22"/>
              </w:rPr>
              <w:t>free back-up childcare provision</w:t>
            </w:r>
          </w:p>
        </w:tc>
        <w:tc>
          <w:tcPr>
            <w:tcW w:w="1273" w:type="pct"/>
            <w:tcBorders>
              <w:bottom w:val="single" w:sz="8" w:space="0" w:color="auto"/>
            </w:tcBorders>
            <w:shd w:val="clear" w:color="auto" w:fill="auto"/>
          </w:tcPr>
          <w:p w:rsidR="00F467DD" w:rsidRPr="00B87795" w:rsidRDefault="00F467DD" w:rsidP="00A13D1B">
            <w:pPr>
              <w:spacing w:line="240" w:lineRule="auto"/>
              <w:rPr>
                <w:rFonts w:eastAsia="Times New Roman" w:cs="Arial"/>
                <w:sz w:val="22"/>
              </w:rPr>
            </w:pPr>
            <w:r>
              <w:rPr>
                <w:rFonts w:eastAsia="Times New Roman" w:cs="Arial"/>
                <w:sz w:val="22"/>
              </w:rPr>
              <w:t xml:space="preserve">- GEO (2015) </w:t>
            </w:r>
          </w:p>
        </w:tc>
      </w:tr>
    </w:tbl>
    <w:p w:rsidR="00F467DD" w:rsidRDefault="00F467DD" w:rsidP="00F467DD">
      <w:pPr>
        <w:pStyle w:val="Heading-tables"/>
        <w:sectPr w:rsidR="00F467DD" w:rsidSect="00A13D1B">
          <w:headerReference w:type="default" r:id="rId22"/>
          <w:pgSz w:w="16838" w:h="11906" w:orient="landscape" w:code="9"/>
          <w:pgMar w:top="1440" w:right="1440" w:bottom="1440" w:left="1440" w:header="567" w:footer="567" w:gutter="0"/>
          <w:cols w:space="708"/>
          <w:docGrid w:linePitch="360"/>
        </w:sectPr>
      </w:pPr>
    </w:p>
    <w:p w:rsidR="00F467DD" w:rsidRDefault="00F467DD" w:rsidP="00DD7A76">
      <w:pPr>
        <w:pStyle w:val="Title-chapterorange"/>
      </w:pPr>
      <w:bookmarkStart w:id="52" w:name="_Toc474306857"/>
      <w:bookmarkStart w:id="53" w:name="_Toc490135101"/>
      <w:r>
        <w:lastRenderedPageBreak/>
        <w:t>Appendix</w:t>
      </w:r>
      <w:bookmarkEnd w:id="52"/>
      <w:bookmarkEnd w:id="53"/>
    </w:p>
    <w:p w:rsidR="00F467DD" w:rsidRDefault="00F467DD" w:rsidP="00DD7A76">
      <w:pPr>
        <w:pStyle w:val="Title-sectionsorange"/>
      </w:pPr>
      <w:bookmarkStart w:id="54" w:name="_Toc474306858"/>
      <w:bookmarkStart w:id="55" w:name="_Toc478124754"/>
      <w:bookmarkStart w:id="56" w:name="_Toc490135102"/>
      <w:r>
        <w:t>Workshops: methodology</w:t>
      </w:r>
      <w:bookmarkEnd w:id="54"/>
      <w:bookmarkEnd w:id="55"/>
      <w:bookmarkEnd w:id="56"/>
      <w:r>
        <w:t xml:space="preserve"> </w:t>
      </w:r>
    </w:p>
    <w:p w:rsidR="00F467DD" w:rsidRDefault="00F467DD" w:rsidP="00F467DD">
      <w:pPr>
        <w:pStyle w:val="Parabeforebulletss"/>
      </w:pPr>
      <w:r>
        <w:t xml:space="preserve">A variety of organisations from different sectors were invited to the workshops, including: </w:t>
      </w:r>
    </w:p>
    <w:p w:rsidR="00F467DD" w:rsidRDefault="00F467DD" w:rsidP="00F467DD">
      <w:pPr>
        <w:pStyle w:val="Bullet-followedbyothers"/>
        <w:ind w:left="720" w:hanging="360"/>
      </w:pPr>
      <w:r>
        <w:t>Businesses (in particular, those who had taken part in the Government Equality Office’s ‘</w:t>
      </w:r>
      <w:r w:rsidRPr="00E049D7">
        <w:t>Think, Act, Report</w:t>
      </w:r>
      <w:r>
        <w:t>’</w:t>
      </w:r>
      <w:r w:rsidRPr="009C53D4">
        <w:t xml:space="preserve"> </w:t>
      </w:r>
      <w:r>
        <w:t>programme, and the DWP Disability Confident campaign)</w:t>
      </w:r>
    </w:p>
    <w:p w:rsidR="00F467DD" w:rsidRDefault="00F467DD" w:rsidP="00F467DD">
      <w:pPr>
        <w:pStyle w:val="Bullet-followedbyothers"/>
        <w:ind w:left="720" w:hanging="360"/>
      </w:pPr>
      <w:r>
        <w:t>Business organisations, such as the Confederation of British Industry, the Institute of Directors, the British Chambers of Commerce, the Federation of Small Businesses, and the Chartered Institute of Personnel and Development</w:t>
      </w:r>
    </w:p>
    <w:p w:rsidR="00F467DD" w:rsidRDefault="00F467DD" w:rsidP="00F467DD">
      <w:pPr>
        <w:pStyle w:val="Bullet-followedbyothers"/>
        <w:ind w:left="720" w:hanging="360"/>
      </w:pPr>
      <w:r>
        <w:t xml:space="preserve">The Trades Union Congress and unions active in the private sector </w:t>
      </w:r>
    </w:p>
    <w:p w:rsidR="00F467DD" w:rsidRDefault="00F467DD" w:rsidP="00F467DD">
      <w:pPr>
        <w:pStyle w:val="Bullet-followedbyothers"/>
        <w:ind w:left="720" w:hanging="360"/>
      </w:pPr>
      <w:r>
        <w:t>Public sector organisations and employers</w:t>
      </w:r>
    </w:p>
    <w:p w:rsidR="00F467DD" w:rsidRDefault="00F467DD" w:rsidP="00F467DD">
      <w:pPr>
        <w:pStyle w:val="Bullet-followedbyothers"/>
        <w:ind w:left="720" w:hanging="360"/>
      </w:pPr>
      <w:r>
        <w:t>Voluntary organisations with expertise on employment and disability, race and gender</w:t>
      </w:r>
    </w:p>
    <w:p w:rsidR="00F467DD" w:rsidRDefault="00F467DD" w:rsidP="00F467DD">
      <w:pPr>
        <w:pStyle w:val="Bullet-lastingroup"/>
        <w:ind w:left="720" w:hanging="360"/>
      </w:pPr>
      <w:r>
        <w:t>Academics</w:t>
      </w:r>
    </w:p>
    <w:p w:rsidR="00F467DD" w:rsidRDefault="00F467DD" w:rsidP="00F467DD">
      <w:pPr>
        <w:pStyle w:val="Parabeforeanother"/>
      </w:pPr>
      <w:r>
        <w:t xml:space="preserve">The workshops were chaired by representatives from the Commission and were facilitated by the Institute for Employment Studies (IES). Across the five workshops, views were gathered from 48 organisations (see Table 1.1 below for the list of participant organisations), and discussions took place under Chatham House rules. </w:t>
      </w:r>
    </w:p>
    <w:p w:rsidR="00F467DD" w:rsidRDefault="00F467DD" w:rsidP="00F467DD">
      <w:pPr>
        <w:pStyle w:val="Parabeforebulletss"/>
      </w:pPr>
      <w:r>
        <w:t>Each two-hour workshop</w:t>
      </w:r>
      <w:r>
        <w:rPr>
          <w:rStyle w:val="FootnoteReference"/>
        </w:rPr>
        <w:footnoteReference w:id="30"/>
      </w:r>
      <w:r>
        <w:t xml:space="preserve"> began with a briefing on the findings from accompanying research for the Commission on:</w:t>
      </w:r>
    </w:p>
    <w:p w:rsidR="00F467DD" w:rsidRDefault="00F467DD" w:rsidP="00F467DD">
      <w:pPr>
        <w:pStyle w:val="Bullet-followedbyothers"/>
        <w:ind w:left="720" w:hanging="360"/>
      </w:pPr>
      <w:r>
        <w:t>Historic and current reasons for the gender, disability and ethnic</w:t>
      </w:r>
      <w:r w:rsidR="00A23D46">
        <w:t>ity</w:t>
      </w:r>
      <w:r>
        <w:t xml:space="preserve"> pay gaps in the UK, as well as statistical analysis of their size and drivers – provided by Dr Simonetta Longhi and Dr Malcolm Brynin of the Institute for Social and Economic Research, University of Essex.</w:t>
      </w:r>
    </w:p>
    <w:p w:rsidR="00F467DD" w:rsidRDefault="00F467DD" w:rsidP="00F467DD">
      <w:pPr>
        <w:pStyle w:val="Bullet-lastingroup"/>
        <w:ind w:left="720" w:hanging="360"/>
      </w:pPr>
      <w:r>
        <w:t>Evidence of the effectiveness of interventions to close the gender, ethnicity and disability pay gaps in the UK – provided by the IES.</w:t>
      </w:r>
    </w:p>
    <w:p w:rsidR="00F467DD" w:rsidRDefault="00F467DD" w:rsidP="00F467DD">
      <w:pPr>
        <w:pStyle w:val="Parabeforebulletss"/>
      </w:pPr>
      <w:r>
        <w:lastRenderedPageBreak/>
        <w:t>Attendees were given an opportunity to comment on this research and then to discuss the following themes:</w:t>
      </w:r>
    </w:p>
    <w:p w:rsidR="00F467DD" w:rsidRDefault="00F467DD" w:rsidP="00F467DD">
      <w:pPr>
        <w:pStyle w:val="Bullet-followedbyothers"/>
        <w:ind w:left="720" w:hanging="360"/>
      </w:pPr>
      <w:r>
        <w:t xml:space="preserve">Challenges and barriers to tackling pay gaps </w:t>
      </w:r>
    </w:p>
    <w:p w:rsidR="00F467DD" w:rsidRDefault="00F467DD" w:rsidP="00F467DD">
      <w:pPr>
        <w:pStyle w:val="Bullet-followedbyothers"/>
        <w:ind w:left="720" w:hanging="360"/>
      </w:pPr>
      <w:r>
        <w:t>The current situation: what is working and what isn’t?</w:t>
      </w:r>
    </w:p>
    <w:p w:rsidR="00F467DD" w:rsidRDefault="00F467DD" w:rsidP="00F467DD">
      <w:pPr>
        <w:pStyle w:val="Bullet-followedbyothers"/>
        <w:ind w:left="720" w:hanging="360"/>
      </w:pPr>
      <w:r>
        <w:t>Potential actions and interventions:</w:t>
      </w:r>
    </w:p>
    <w:p w:rsidR="00F467DD" w:rsidRDefault="00F467DD" w:rsidP="00F467DD">
      <w:pPr>
        <w:pStyle w:val="Bullets-sub-bullets"/>
      </w:pPr>
      <w:r>
        <w:t>by the Government</w:t>
      </w:r>
    </w:p>
    <w:p w:rsidR="00F467DD" w:rsidRDefault="00F467DD" w:rsidP="00F467DD">
      <w:pPr>
        <w:pStyle w:val="Bullets-sub-bullets"/>
      </w:pPr>
      <w:r>
        <w:t>by employers</w:t>
      </w:r>
    </w:p>
    <w:p w:rsidR="00F467DD" w:rsidRDefault="00F467DD" w:rsidP="00F467DD">
      <w:pPr>
        <w:pStyle w:val="Bullets-sub-bullets"/>
      </w:pPr>
      <w:r>
        <w:t>by other stakeholders</w:t>
      </w:r>
    </w:p>
    <w:p w:rsidR="00F467DD" w:rsidRDefault="00F467DD" w:rsidP="00F467DD">
      <w:pPr>
        <w:pStyle w:val="Bullets-sub-bullets"/>
      </w:pPr>
      <w:r>
        <w:t>by the Commission</w:t>
      </w:r>
    </w:p>
    <w:p w:rsidR="00F467DD" w:rsidRDefault="00F467DD" w:rsidP="00F467DD">
      <w:pPr>
        <w:pStyle w:val="Bullet-lastingroup"/>
        <w:ind w:left="720" w:hanging="360"/>
      </w:pPr>
      <w:r>
        <w:t>Variations by sector, geography and grouping.</w:t>
      </w:r>
    </w:p>
    <w:p w:rsidR="00F467DD" w:rsidRPr="007F3EAD" w:rsidRDefault="00F467DD" w:rsidP="00DD7A76">
      <w:pPr>
        <w:pStyle w:val="Title-tablesgrey"/>
        <w:rPr>
          <w:color w:val="auto"/>
        </w:rPr>
      </w:pPr>
      <w:bookmarkStart w:id="57" w:name="_Toc447113290"/>
      <w:bookmarkStart w:id="58" w:name="_Toc447116992"/>
      <w:bookmarkStart w:id="59" w:name="_Toc478124755"/>
      <w:bookmarkStart w:id="60" w:name="_Toc490135103"/>
      <w:r w:rsidRPr="007F3EAD">
        <w:rPr>
          <w:color w:val="auto"/>
        </w:rPr>
        <w:t>Table 1.1</w:t>
      </w:r>
      <w:r w:rsidRPr="007F3EAD">
        <w:rPr>
          <w:color w:val="auto"/>
        </w:rPr>
        <w:tab/>
        <w:t>List of participant organisations</w:t>
      </w:r>
      <w:bookmarkEnd w:id="57"/>
      <w:bookmarkEnd w:id="58"/>
      <w:bookmarkEnd w:id="59"/>
      <w:bookmarkEnd w:id="60"/>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Caption w:val="Table 1.1 List of participant organisations"/>
      </w:tblPr>
      <w:tblGrid>
        <w:gridCol w:w="1526"/>
        <w:gridCol w:w="2170"/>
        <w:gridCol w:w="1657"/>
        <w:gridCol w:w="1843"/>
        <w:gridCol w:w="2046"/>
      </w:tblGrid>
      <w:tr w:rsidR="00F467DD" w:rsidRPr="004D4871" w:rsidTr="00A13D1B">
        <w:trPr>
          <w:tblHeader/>
        </w:trPr>
        <w:tc>
          <w:tcPr>
            <w:tcW w:w="1526" w:type="dxa"/>
            <w:tcBorders>
              <w:bottom w:val="single" w:sz="1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Workshop 1 (Edinburgh)</w:t>
            </w:r>
          </w:p>
        </w:tc>
        <w:tc>
          <w:tcPr>
            <w:tcW w:w="2170" w:type="dxa"/>
            <w:tcBorders>
              <w:bottom w:val="single" w:sz="1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Workshop 2 (Edinburgh)</w:t>
            </w:r>
          </w:p>
        </w:tc>
        <w:tc>
          <w:tcPr>
            <w:tcW w:w="1657" w:type="dxa"/>
            <w:tcBorders>
              <w:bottom w:val="single" w:sz="1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Workshop 3 (London)</w:t>
            </w:r>
          </w:p>
        </w:tc>
        <w:tc>
          <w:tcPr>
            <w:tcW w:w="1843" w:type="dxa"/>
            <w:tcBorders>
              <w:bottom w:val="single" w:sz="1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Workshop 4 (London)</w:t>
            </w:r>
          </w:p>
        </w:tc>
        <w:tc>
          <w:tcPr>
            <w:tcW w:w="2046" w:type="dxa"/>
            <w:tcBorders>
              <w:bottom w:val="single" w:sz="1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Workshop 5 (Cardiff)</w:t>
            </w:r>
          </w:p>
        </w:tc>
      </w:tr>
      <w:tr w:rsidR="00F467DD" w:rsidRPr="004D4871" w:rsidTr="00A13D1B">
        <w:tc>
          <w:tcPr>
            <w:tcW w:w="1526" w:type="dxa"/>
            <w:tcBorders>
              <w:top w:val="single" w:sz="1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NHS Fife</w:t>
            </w:r>
          </w:p>
        </w:tc>
        <w:tc>
          <w:tcPr>
            <w:tcW w:w="2170" w:type="dxa"/>
            <w:tcBorders>
              <w:top w:val="single" w:sz="1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Close the Gap</w:t>
            </w:r>
          </w:p>
        </w:tc>
        <w:tc>
          <w:tcPr>
            <w:tcW w:w="1657" w:type="dxa"/>
            <w:tcBorders>
              <w:top w:val="single" w:sz="1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Aon Hewitt</w:t>
            </w:r>
          </w:p>
        </w:tc>
        <w:tc>
          <w:tcPr>
            <w:tcW w:w="1843" w:type="dxa"/>
            <w:tcBorders>
              <w:top w:val="single" w:sz="1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Christian Aid</w:t>
            </w:r>
          </w:p>
        </w:tc>
        <w:tc>
          <w:tcPr>
            <w:tcW w:w="2046" w:type="dxa"/>
            <w:tcBorders>
              <w:top w:val="single" w:sz="1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Welsh Local Government</w:t>
            </w:r>
            <w:r w:rsidRPr="004D4871" w:rsidDel="00395421">
              <w:rPr>
                <w:rFonts w:eastAsia="Times New Roman" w:cs="Arial"/>
                <w:sz w:val="22"/>
                <w:szCs w:val="22"/>
              </w:rPr>
              <w:t xml:space="preserve"> </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Scottish Government</w:t>
            </w: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Engender</w:t>
            </w: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NHS Employers</w:t>
            </w: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Fox Williams</w:t>
            </w: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Fairer Futures Division, Welsh Government</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NHS Education for Scotland</w:t>
            </w: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Edinburgh Napier University</w:t>
            </w: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University of Sheffield</w:t>
            </w: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 xml:space="preserve">University of Brighton/ PayCompare </w:t>
            </w: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Burges Salmon LLP</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Dumfries and Galloway College</w:t>
            </w: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Highlands and Islands Enterprise/</w:t>
            </w:r>
            <w:r>
              <w:rPr>
                <w:rFonts w:eastAsia="Times New Roman" w:cs="Arial"/>
                <w:sz w:val="22"/>
                <w:szCs w:val="22"/>
              </w:rPr>
              <w:t xml:space="preserve"> Iomairt na Gàidhealtachd</w:t>
            </w:r>
            <w:r w:rsidRPr="004D4871">
              <w:rPr>
                <w:rFonts w:eastAsia="Times New Roman" w:cs="Arial"/>
                <w:sz w:val="22"/>
                <w:szCs w:val="22"/>
              </w:rPr>
              <w:t>’s nan Eilean</w:t>
            </w: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Guys and St Thomas NHS Foundation Trust</w:t>
            </w: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Together: For Mental Wellbeing</w:t>
            </w: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Women Adding Value to the Economy (WAVE), Cardiff University</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Thirteen Group</w:t>
            </w: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Queen Margaret University</w:t>
            </w: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University of Cambridge</w:t>
            </w: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Financial Ombudsman Service</w:t>
            </w: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University of South Wales</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University of Strathclyde</w:t>
            </w: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The State Hospital</w:t>
            </w: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EY</w:t>
            </w: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Pr>
                <w:rFonts w:eastAsia="Times New Roman" w:cs="Arial"/>
                <w:sz w:val="22"/>
                <w:szCs w:val="22"/>
              </w:rPr>
              <w:t xml:space="preserve">Human Resources </w:t>
            </w:r>
            <w:r w:rsidRPr="004D4871">
              <w:rPr>
                <w:rFonts w:eastAsia="Times New Roman" w:cs="Arial"/>
                <w:sz w:val="22"/>
                <w:szCs w:val="22"/>
              </w:rPr>
              <w:t>Consultant</w:t>
            </w: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Women Connect First</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Scottish Government</w:t>
            </w: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Pearl Meyer</w:t>
            </w: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Pr>
                <w:rFonts w:eastAsia="Times New Roman" w:cs="Arial"/>
                <w:sz w:val="22"/>
                <w:szCs w:val="22"/>
              </w:rPr>
              <w:t>Rhondda Cynon Taf County Borough Council</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NHS National Services Scotland</w:t>
            </w: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Addleshaw Goddard</w:t>
            </w: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Unite Wales</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Surrey Police</w:t>
            </w: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Chwarae Teg</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Sainsbury’s</w:t>
            </w: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Eversheds</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ISG</w:t>
            </w: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Cardiff University</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 xml:space="preserve">Blaenau Gwent County Borough </w:t>
            </w:r>
            <w:r w:rsidRPr="004D4871">
              <w:rPr>
                <w:rFonts w:eastAsia="Times New Roman" w:cs="Arial"/>
                <w:sz w:val="22"/>
                <w:szCs w:val="22"/>
              </w:rPr>
              <w:lastRenderedPageBreak/>
              <w:t>Council</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Thompsons Solicitors</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046" w:type="dxa"/>
            <w:shd w:val="clear" w:color="auto" w:fill="auto"/>
          </w:tcPr>
          <w:p w:rsidR="00F467DD" w:rsidRPr="004D4871"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University Health Board</w:t>
            </w:r>
          </w:p>
        </w:tc>
      </w:tr>
      <w:tr w:rsidR="00F467DD" w:rsidRPr="004D4871" w:rsidTr="00A13D1B">
        <w:tc>
          <w:tcPr>
            <w:tcW w:w="1526"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170"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657"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843" w:type="dxa"/>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046" w:type="dxa"/>
            <w:shd w:val="clear" w:color="auto" w:fill="auto"/>
          </w:tcPr>
          <w:p w:rsidR="00F467DD" w:rsidRDefault="00F467DD" w:rsidP="00A13D1B">
            <w:pPr>
              <w:spacing w:before="40" w:after="40" w:line="240" w:lineRule="auto"/>
              <w:jc w:val="right"/>
              <w:rPr>
                <w:rFonts w:eastAsia="Times New Roman" w:cs="Arial"/>
                <w:sz w:val="22"/>
                <w:szCs w:val="22"/>
              </w:rPr>
            </w:pPr>
            <w:r w:rsidRPr="004D4871">
              <w:rPr>
                <w:rFonts w:eastAsia="Times New Roman" w:cs="Arial"/>
                <w:sz w:val="22"/>
                <w:szCs w:val="22"/>
              </w:rPr>
              <w:t>Welsh Government</w:t>
            </w:r>
          </w:p>
          <w:p w:rsidR="00F467DD" w:rsidRPr="004D4871" w:rsidRDefault="00F467DD" w:rsidP="00A13D1B">
            <w:pPr>
              <w:spacing w:before="40" w:after="40" w:line="240" w:lineRule="auto"/>
              <w:jc w:val="right"/>
              <w:rPr>
                <w:rFonts w:eastAsia="Times New Roman" w:cs="Arial"/>
                <w:sz w:val="22"/>
                <w:szCs w:val="22"/>
              </w:rPr>
            </w:pPr>
          </w:p>
        </w:tc>
      </w:tr>
      <w:tr w:rsidR="00F467DD" w:rsidRPr="004D4871" w:rsidTr="00A13D1B">
        <w:tc>
          <w:tcPr>
            <w:tcW w:w="1526" w:type="dxa"/>
            <w:tcBorders>
              <w:bottom w:val="dotted" w:sz="4"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170" w:type="dxa"/>
            <w:tcBorders>
              <w:bottom w:val="dotted" w:sz="4"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657" w:type="dxa"/>
            <w:tcBorders>
              <w:bottom w:val="dotted" w:sz="4"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843" w:type="dxa"/>
            <w:tcBorders>
              <w:bottom w:val="dotted" w:sz="4"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046" w:type="dxa"/>
            <w:tcBorders>
              <w:bottom w:val="dotted" w:sz="4"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Pr>
                <w:rFonts w:eastAsia="Times New Roman" w:cs="Arial"/>
                <w:sz w:val="22"/>
                <w:szCs w:val="22"/>
              </w:rPr>
              <w:t>Private Consultant</w:t>
            </w:r>
          </w:p>
        </w:tc>
      </w:tr>
      <w:tr w:rsidR="00F467DD" w:rsidRPr="004D4871" w:rsidTr="00A13D1B">
        <w:tc>
          <w:tcPr>
            <w:tcW w:w="1526" w:type="dxa"/>
            <w:tcBorders>
              <w:bottom w:val="single" w:sz="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170" w:type="dxa"/>
            <w:tcBorders>
              <w:bottom w:val="single" w:sz="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657" w:type="dxa"/>
            <w:tcBorders>
              <w:bottom w:val="single" w:sz="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1843" w:type="dxa"/>
            <w:tcBorders>
              <w:bottom w:val="single" w:sz="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p>
        </w:tc>
        <w:tc>
          <w:tcPr>
            <w:tcW w:w="2046" w:type="dxa"/>
            <w:tcBorders>
              <w:bottom w:val="single" w:sz="8" w:space="0" w:color="auto"/>
            </w:tcBorders>
            <w:shd w:val="clear" w:color="auto" w:fill="auto"/>
          </w:tcPr>
          <w:p w:rsidR="00F467DD" w:rsidRPr="004D4871" w:rsidRDefault="00F467DD" w:rsidP="00A13D1B">
            <w:pPr>
              <w:spacing w:before="40" w:after="40" w:line="240" w:lineRule="auto"/>
              <w:jc w:val="right"/>
              <w:rPr>
                <w:rFonts w:eastAsia="Times New Roman" w:cs="Arial"/>
                <w:sz w:val="22"/>
                <w:szCs w:val="22"/>
              </w:rPr>
            </w:pPr>
            <w:r>
              <w:rPr>
                <w:rFonts w:eastAsia="Times New Roman" w:cs="Arial"/>
                <w:sz w:val="22"/>
                <w:szCs w:val="22"/>
              </w:rPr>
              <w:t>Private Consultant</w:t>
            </w:r>
          </w:p>
        </w:tc>
      </w:tr>
    </w:tbl>
    <w:p w:rsidR="00F467DD" w:rsidRDefault="00F467DD" w:rsidP="00F467DD">
      <w:pPr>
        <w:pStyle w:val="Heading-chapter"/>
        <w:rPr>
          <w:color w:val="auto"/>
        </w:rPr>
      </w:pPr>
    </w:p>
    <w:p w:rsidR="00F467DD" w:rsidRDefault="00F467DD" w:rsidP="00F467DD">
      <w:pPr>
        <w:pStyle w:val="Heading-chapter"/>
        <w:rPr>
          <w:color w:val="auto"/>
        </w:rPr>
      </w:pPr>
    </w:p>
    <w:p w:rsidR="00A15D6E" w:rsidRDefault="00F467DD" w:rsidP="00F467DD">
      <w:pPr>
        <w:spacing w:after="200" w:line="276" w:lineRule="auto"/>
        <w:sectPr w:rsidR="00A15D6E" w:rsidSect="008D4847">
          <w:headerReference w:type="even" r:id="rId23"/>
          <w:headerReference w:type="default" r:id="rId24"/>
          <w:footerReference w:type="even" r:id="rId25"/>
          <w:footerReference w:type="default" r:id="rId26"/>
          <w:pgSz w:w="11906" w:h="16838" w:code="9"/>
          <w:pgMar w:top="1440" w:right="1440" w:bottom="1440" w:left="1440" w:header="567" w:footer="567" w:gutter="0"/>
          <w:cols w:space="708"/>
          <w:docGrid w:linePitch="360"/>
        </w:sectPr>
      </w:pPr>
      <w:r>
        <w:br w:type="page"/>
      </w:r>
    </w:p>
    <w:p w:rsidR="00F467DD" w:rsidRDefault="00F467DD" w:rsidP="00DD7A76">
      <w:pPr>
        <w:pStyle w:val="Title-chapterorange"/>
      </w:pPr>
      <w:bookmarkStart w:id="61" w:name="_Toc474306859"/>
      <w:bookmarkStart w:id="62" w:name="_Toc490135104"/>
      <w:r>
        <w:lastRenderedPageBreak/>
        <w:t>References</w:t>
      </w:r>
      <w:bookmarkEnd w:id="61"/>
      <w:bookmarkEnd w:id="62"/>
    </w:p>
    <w:p w:rsidR="00F467DD" w:rsidRDefault="00F467DD" w:rsidP="00F467DD">
      <w:pPr>
        <w:pStyle w:val="Parabeforeanother"/>
      </w:pPr>
      <w:r>
        <w:t>Adams, L., Gore, K. and Shury, J. (2010), ‘</w:t>
      </w:r>
      <w:hyperlink r:id="rId27" w:history="1">
        <w:r w:rsidRPr="00B05452">
          <w:rPr>
            <w:rStyle w:val="Hyperlink"/>
          </w:rPr>
          <w:t>Gender pay gap reporting survey 2009</w:t>
        </w:r>
      </w:hyperlink>
      <w:r>
        <w:t>’,</w:t>
      </w:r>
      <w:r w:rsidRPr="00E535DA">
        <w:t xml:space="preserve"> </w:t>
      </w:r>
      <w:r>
        <w:t>Research Report 55. Equality and Human Rights Commission. Available at: [accessed: 7 December 2016].</w:t>
      </w:r>
    </w:p>
    <w:p w:rsidR="00F467DD" w:rsidRDefault="00F467DD" w:rsidP="00F467DD">
      <w:pPr>
        <w:pStyle w:val="Parabeforeanother"/>
      </w:pPr>
      <w:r w:rsidRPr="00393526">
        <w:t>Alakeson, V. (2012)</w:t>
      </w:r>
      <w:r>
        <w:t>,</w:t>
      </w:r>
      <w:r w:rsidRPr="00393526">
        <w:t xml:space="preserve"> </w:t>
      </w:r>
      <w:r>
        <w:t>‘</w:t>
      </w:r>
      <w:hyperlink r:id="rId28" w:history="1">
        <w:r w:rsidRPr="00B05452">
          <w:rPr>
            <w:rStyle w:val="Hyperlink"/>
          </w:rPr>
          <w:t>The price of motherhood: women and part-time work</w:t>
        </w:r>
      </w:hyperlink>
      <w:r>
        <w:t>’.</w:t>
      </w:r>
      <w:r w:rsidRPr="00393526">
        <w:t xml:space="preserve"> </w:t>
      </w:r>
      <w:r>
        <w:t>London:</w:t>
      </w:r>
      <w:r w:rsidRPr="00393526">
        <w:t xml:space="preserve"> Resolution Foundation</w:t>
      </w:r>
      <w:r>
        <w:t xml:space="preserve">. Available at: [accessed: 7 December 2016]. </w:t>
      </w:r>
    </w:p>
    <w:p w:rsidR="00F467DD" w:rsidRPr="00CE4D08" w:rsidRDefault="00F467DD" w:rsidP="00F467DD">
      <w:pPr>
        <w:pStyle w:val="Parabeforeanother"/>
        <w:rPr>
          <w:rFonts w:eastAsia="Times New Roman"/>
          <w:bCs/>
          <w:lang w:eastAsia="en-GB"/>
        </w:rPr>
      </w:pPr>
      <w:r w:rsidRPr="005C5CBC">
        <w:rPr>
          <w:rFonts w:eastAsia="Times New Roman"/>
          <w:bCs/>
          <w:lang w:eastAsia="en-GB"/>
        </w:rPr>
        <w:t>Ameri</w:t>
      </w:r>
      <w:r>
        <w:rPr>
          <w:rFonts w:eastAsia="Times New Roman"/>
          <w:bCs/>
          <w:lang w:eastAsia="en-GB"/>
        </w:rPr>
        <w:t>, M.</w:t>
      </w:r>
      <w:r w:rsidRPr="005C5CBC">
        <w:rPr>
          <w:rFonts w:eastAsia="Times New Roman"/>
          <w:bCs/>
          <w:lang w:eastAsia="en-GB"/>
        </w:rPr>
        <w:t>,</w:t>
      </w:r>
      <w:r>
        <w:rPr>
          <w:rFonts w:eastAsia="Times New Roman"/>
          <w:bCs/>
          <w:lang w:eastAsia="en-GB"/>
        </w:rPr>
        <w:t xml:space="preserve"> </w:t>
      </w:r>
      <w:r w:rsidRPr="005C5CBC">
        <w:rPr>
          <w:rFonts w:eastAsia="Times New Roman"/>
          <w:bCs/>
          <w:lang w:eastAsia="en-GB"/>
        </w:rPr>
        <w:t>Schur</w:t>
      </w:r>
      <w:r>
        <w:rPr>
          <w:rFonts w:eastAsia="Times New Roman"/>
          <w:bCs/>
          <w:lang w:eastAsia="en-GB"/>
        </w:rPr>
        <w:t>, L.</w:t>
      </w:r>
      <w:r w:rsidRPr="005C5CBC">
        <w:rPr>
          <w:rFonts w:eastAsia="Times New Roman"/>
          <w:bCs/>
          <w:lang w:eastAsia="en-GB"/>
        </w:rPr>
        <w:t>, Adya</w:t>
      </w:r>
      <w:r>
        <w:rPr>
          <w:rFonts w:eastAsia="Times New Roman"/>
          <w:bCs/>
          <w:lang w:eastAsia="en-GB"/>
        </w:rPr>
        <w:t>, M.</w:t>
      </w:r>
      <w:r w:rsidRPr="005C5CBC">
        <w:rPr>
          <w:rFonts w:eastAsia="Times New Roman"/>
          <w:bCs/>
          <w:lang w:eastAsia="en-GB"/>
        </w:rPr>
        <w:t>, Bentley</w:t>
      </w:r>
      <w:r>
        <w:rPr>
          <w:rFonts w:eastAsia="Times New Roman"/>
          <w:bCs/>
          <w:lang w:eastAsia="en-GB"/>
        </w:rPr>
        <w:t>, S.</w:t>
      </w:r>
      <w:r w:rsidRPr="005C5CBC">
        <w:rPr>
          <w:rFonts w:eastAsia="Times New Roman"/>
          <w:bCs/>
          <w:lang w:eastAsia="en-GB"/>
        </w:rPr>
        <w:t>, McKay</w:t>
      </w:r>
      <w:r>
        <w:rPr>
          <w:rFonts w:eastAsia="Times New Roman"/>
          <w:bCs/>
          <w:lang w:eastAsia="en-GB"/>
        </w:rPr>
        <w:t>, P. and</w:t>
      </w:r>
      <w:r w:rsidRPr="005C5CBC">
        <w:rPr>
          <w:rFonts w:eastAsia="Times New Roman"/>
          <w:bCs/>
          <w:lang w:eastAsia="en-GB"/>
        </w:rPr>
        <w:t xml:space="preserve"> Kruse</w:t>
      </w:r>
      <w:r>
        <w:rPr>
          <w:rFonts w:eastAsia="Times New Roman"/>
          <w:bCs/>
          <w:lang w:eastAsia="en-GB"/>
        </w:rPr>
        <w:t>, D.</w:t>
      </w:r>
      <w:r w:rsidRPr="005C5CBC">
        <w:rPr>
          <w:rFonts w:eastAsia="Times New Roman"/>
          <w:bCs/>
          <w:lang w:eastAsia="en-GB"/>
        </w:rPr>
        <w:t xml:space="preserve"> (2015)</w:t>
      </w:r>
      <w:r>
        <w:rPr>
          <w:rFonts w:eastAsia="Times New Roman"/>
          <w:bCs/>
          <w:lang w:eastAsia="en-GB"/>
        </w:rPr>
        <w:t>.</w:t>
      </w:r>
      <w:r w:rsidRPr="005C5CBC">
        <w:rPr>
          <w:rFonts w:eastAsia="Times New Roman"/>
          <w:bCs/>
          <w:lang w:eastAsia="en-GB"/>
        </w:rPr>
        <w:t xml:space="preserve"> </w:t>
      </w:r>
      <w:r>
        <w:rPr>
          <w:rFonts w:eastAsia="Times New Roman"/>
          <w:bCs/>
          <w:lang w:eastAsia="en-GB"/>
        </w:rPr>
        <w:t>‘</w:t>
      </w:r>
      <w:r w:rsidRPr="000E6886">
        <w:rPr>
          <w:rFonts w:eastAsia="Times New Roman"/>
          <w:bCs/>
          <w:kern w:val="36"/>
          <w:lang w:eastAsia="en-GB"/>
        </w:rPr>
        <w:t>The Disability Employment Puzzle: A Field Experiment on Employer Hiring Behaviour</w:t>
      </w:r>
      <w:r>
        <w:rPr>
          <w:rFonts w:eastAsia="Times New Roman"/>
          <w:bCs/>
          <w:kern w:val="36"/>
          <w:lang w:eastAsia="en-GB"/>
        </w:rPr>
        <w:t>’</w:t>
      </w:r>
      <w:r>
        <w:rPr>
          <w:rFonts w:eastAsia="Times New Roman"/>
          <w:bCs/>
          <w:i/>
          <w:lang w:eastAsia="en-GB"/>
        </w:rPr>
        <w:t>,</w:t>
      </w:r>
      <w:r w:rsidRPr="005C5CBC">
        <w:rPr>
          <w:rFonts w:eastAsia="Times New Roman"/>
          <w:bCs/>
          <w:lang w:eastAsia="en-GB"/>
        </w:rPr>
        <w:t xml:space="preserve"> NBER Working Paper 21560</w:t>
      </w:r>
      <w:r>
        <w:rPr>
          <w:rFonts w:eastAsia="Times New Roman"/>
          <w:bCs/>
          <w:lang w:eastAsia="en-GB"/>
        </w:rPr>
        <w:t xml:space="preserve">. </w:t>
      </w:r>
      <w:r w:rsidRPr="00CE4D08">
        <w:rPr>
          <w:rFonts w:eastAsia="Times New Roman"/>
          <w:bCs/>
          <w:lang w:eastAsia="en-GB"/>
        </w:rPr>
        <w:t>National Bureau of Economic Research</w:t>
      </w:r>
      <w:r>
        <w:rPr>
          <w:rFonts w:eastAsia="Times New Roman"/>
          <w:bCs/>
          <w:lang w:eastAsia="en-GB"/>
        </w:rPr>
        <w:t>.</w:t>
      </w:r>
    </w:p>
    <w:p w:rsidR="00F467DD" w:rsidRDefault="00F467DD" w:rsidP="00F467DD">
      <w:pPr>
        <w:pStyle w:val="Parabeforeanother"/>
      </w:pPr>
      <w:r>
        <w:t>Aston, J., Bellis, A., Munro, M., Pillai, R., and Willison, R. (2009), ‘</w:t>
      </w:r>
      <w:hyperlink r:id="rId29" w:history="1">
        <w:r w:rsidRPr="000D5ED8">
          <w:rPr>
            <w:rStyle w:val="Hyperlink"/>
          </w:rPr>
          <w:t>Evaluation of Partners Outreach for Ethnic Minorities (POEM): Final report</w:t>
        </w:r>
      </w:hyperlink>
      <w:r>
        <w:t>’</w:t>
      </w:r>
      <w:r w:rsidRPr="00F33F57">
        <w:t xml:space="preserve">, </w:t>
      </w:r>
      <w:r w:rsidRPr="000E6886">
        <w:t>Research Report 598</w:t>
      </w:r>
      <w:r>
        <w:t>. De</w:t>
      </w:r>
      <w:r w:rsidR="000D5ED8">
        <w:t xml:space="preserve">partment for Work and Pensions </w:t>
      </w:r>
      <w:r>
        <w:t xml:space="preserve">[accessed: 7 December 2016]. </w:t>
      </w:r>
    </w:p>
    <w:p w:rsidR="00F467DD" w:rsidRDefault="00F467DD" w:rsidP="00F467DD">
      <w:pPr>
        <w:pStyle w:val="Parabeforeanother"/>
      </w:pPr>
      <w:r>
        <w:t>Azmat, G. (2015), ‘</w:t>
      </w:r>
      <w:hyperlink r:id="rId30" w:history="1">
        <w:r w:rsidRPr="000D5ED8">
          <w:rPr>
            <w:rStyle w:val="Hyperlink"/>
          </w:rPr>
          <w:t>Gender Gaps in the UK Labour Market: jobs, pay and family-friendly policies</w:t>
        </w:r>
      </w:hyperlink>
      <w:r>
        <w:t>’, CEP 2015 Election Analyses Series, Paper EA027. Centre for Economic Performan</w:t>
      </w:r>
      <w:r w:rsidR="000D5ED8">
        <w:t xml:space="preserve">ce, London School of Economics </w:t>
      </w:r>
      <w:r>
        <w:t xml:space="preserve">[accessed: 7 December 2016]. </w:t>
      </w:r>
    </w:p>
    <w:p w:rsidR="00F467DD" w:rsidRDefault="00F467DD" w:rsidP="00F467DD">
      <w:pPr>
        <w:pStyle w:val="Parabeforeanother"/>
      </w:pPr>
      <w:r>
        <w:t xml:space="preserve">Bell, D. and Heitmueller, A. (2009), ‘The Disability Discrimination Act in the UK: Helping or Hindering Employment Among the Disabled?’, </w:t>
      </w:r>
      <w:r w:rsidRPr="00B87795">
        <w:rPr>
          <w:i/>
        </w:rPr>
        <w:t>Journal of Health Economics</w:t>
      </w:r>
      <w:r>
        <w:t>, 28, pp. 465–80.</w:t>
      </w:r>
    </w:p>
    <w:p w:rsidR="00F467DD" w:rsidRDefault="00F467DD" w:rsidP="00F467DD">
      <w:pPr>
        <w:pStyle w:val="Parabeforeanother"/>
      </w:pPr>
      <w:r w:rsidRPr="00A65B1F">
        <w:t>Benard</w:t>
      </w:r>
      <w:r>
        <w:t xml:space="preserve">, S. and </w:t>
      </w:r>
      <w:r w:rsidRPr="00A65B1F">
        <w:t>Correll</w:t>
      </w:r>
      <w:r>
        <w:t>, S. (2010),</w:t>
      </w:r>
      <w:r w:rsidRPr="00A65B1F">
        <w:t xml:space="preserve"> </w:t>
      </w:r>
      <w:r>
        <w:t>‘</w:t>
      </w:r>
      <w:r w:rsidRPr="000E6886">
        <w:t>Normative Discrimination and the Motherhood Penalty</w:t>
      </w:r>
      <w:r>
        <w:t>’,</w:t>
      </w:r>
      <w:r w:rsidRPr="00A65B1F">
        <w:t xml:space="preserve"> </w:t>
      </w:r>
      <w:r w:rsidRPr="000E6886">
        <w:rPr>
          <w:i/>
        </w:rPr>
        <w:t>Gender &amp; Society</w:t>
      </w:r>
      <w:r>
        <w:t>,</w:t>
      </w:r>
      <w:r w:rsidRPr="00A65B1F">
        <w:t xml:space="preserve"> 24</w:t>
      </w:r>
      <w:r>
        <w:t>(</w:t>
      </w:r>
      <w:r w:rsidRPr="00A65B1F">
        <w:t>5</w:t>
      </w:r>
      <w:r>
        <w:t>), pp. 616–46.</w:t>
      </w:r>
    </w:p>
    <w:p w:rsidR="00F467DD" w:rsidRDefault="00F467DD" w:rsidP="00F467DD">
      <w:pPr>
        <w:pStyle w:val="Parabeforeanother"/>
      </w:pPr>
      <w:r w:rsidRPr="00A65B1F">
        <w:t xml:space="preserve">Bertrand, </w:t>
      </w:r>
      <w:r>
        <w:t>M. and</w:t>
      </w:r>
      <w:r w:rsidRPr="00A65B1F">
        <w:t xml:space="preserve"> Duflo</w:t>
      </w:r>
      <w:r>
        <w:t>, E.</w:t>
      </w:r>
      <w:r w:rsidRPr="00A65B1F">
        <w:t xml:space="preserve"> </w:t>
      </w:r>
      <w:r>
        <w:t>(</w:t>
      </w:r>
      <w:r w:rsidRPr="00A65B1F">
        <w:t>2016</w:t>
      </w:r>
      <w:r>
        <w:t>), ‘</w:t>
      </w:r>
      <w:r w:rsidRPr="000E6886">
        <w:t>Field Experiments on Discrimination</w:t>
      </w:r>
      <w:r>
        <w:t>’,</w:t>
      </w:r>
      <w:r w:rsidRPr="00A65B1F">
        <w:rPr>
          <w:b/>
          <w:bCs/>
        </w:rPr>
        <w:t xml:space="preserve"> </w:t>
      </w:r>
      <w:r>
        <w:rPr>
          <w:bCs/>
        </w:rPr>
        <w:t xml:space="preserve">NBER </w:t>
      </w:r>
      <w:r w:rsidRPr="00A65B1F">
        <w:rPr>
          <w:bCs/>
        </w:rPr>
        <w:t>Working Paper 22014</w:t>
      </w:r>
      <w:r>
        <w:rPr>
          <w:bCs/>
        </w:rPr>
        <w:t xml:space="preserve">. </w:t>
      </w:r>
      <w:r w:rsidRPr="00A65B1F">
        <w:rPr>
          <w:bCs/>
        </w:rPr>
        <w:t>N</w:t>
      </w:r>
      <w:r>
        <w:rPr>
          <w:bCs/>
        </w:rPr>
        <w:t xml:space="preserve">ational </w:t>
      </w:r>
      <w:r w:rsidRPr="00A65B1F">
        <w:rPr>
          <w:bCs/>
        </w:rPr>
        <w:t>B</w:t>
      </w:r>
      <w:r>
        <w:rPr>
          <w:bCs/>
        </w:rPr>
        <w:t xml:space="preserve">ureau of </w:t>
      </w:r>
      <w:r w:rsidRPr="00A65B1F">
        <w:rPr>
          <w:bCs/>
        </w:rPr>
        <w:t>E</w:t>
      </w:r>
      <w:r>
        <w:rPr>
          <w:bCs/>
        </w:rPr>
        <w:t xml:space="preserve">conomic </w:t>
      </w:r>
      <w:r w:rsidRPr="00A65B1F">
        <w:rPr>
          <w:bCs/>
        </w:rPr>
        <w:t>R</w:t>
      </w:r>
      <w:r>
        <w:rPr>
          <w:bCs/>
        </w:rPr>
        <w:t>esearch.</w:t>
      </w:r>
      <w:r w:rsidRPr="00A65B1F">
        <w:t xml:space="preserve"> </w:t>
      </w:r>
    </w:p>
    <w:p w:rsidR="00F467DD" w:rsidRDefault="00F467DD" w:rsidP="00F467DD">
      <w:pPr>
        <w:pStyle w:val="Parabeforeanother"/>
      </w:pPr>
      <w:r>
        <w:t>BIS/Department for Business Innovation and Skills (2013), ‘</w:t>
      </w:r>
      <w:hyperlink r:id="rId31" w:history="1">
        <w:r w:rsidRPr="000D5ED8">
          <w:rPr>
            <w:rStyle w:val="Hyperlink"/>
          </w:rPr>
          <w:t>Modern Workplaces: Shared parental leave and pay administration consultation – impact assessment</w:t>
        </w:r>
      </w:hyperlink>
      <w:r>
        <w:t>’. Department for Business Inn</w:t>
      </w:r>
      <w:r w:rsidR="000D5ED8">
        <w:t xml:space="preserve">ovation and Skills. BIS/13/651 </w:t>
      </w:r>
      <w:r>
        <w:t xml:space="preserve">[accessed: 7 December 2016]. </w:t>
      </w:r>
    </w:p>
    <w:p w:rsidR="00F467DD" w:rsidRPr="00EA4F88" w:rsidRDefault="00F467DD" w:rsidP="00DD7A76">
      <w:pPr>
        <w:pStyle w:val="Parabeforeanother"/>
        <w:rPr>
          <w:rFonts w:eastAsia="ArialMT"/>
        </w:rPr>
      </w:pPr>
      <w:r w:rsidRPr="00CD7B30">
        <w:lastRenderedPageBreak/>
        <w:t xml:space="preserve">BIS, </w:t>
      </w:r>
      <w:r>
        <w:t>EHRC</w:t>
      </w:r>
      <w:r w:rsidRPr="00CD7B30">
        <w:t xml:space="preserve"> (2015)</w:t>
      </w:r>
      <w:r>
        <w:t>,</w:t>
      </w:r>
      <w:r w:rsidRPr="00CD7B30">
        <w:rPr>
          <w:i/>
        </w:rPr>
        <w:t xml:space="preserve"> </w:t>
      </w:r>
      <w:r>
        <w:t>‘</w:t>
      </w:r>
      <w:hyperlink r:id="rId32" w:history="1">
        <w:r w:rsidRPr="000D5ED8">
          <w:rPr>
            <w:rStyle w:val="Hyperlink"/>
          </w:rPr>
          <w:t>Pregnancy and Maternity-Related Discrimination and Disadvantage, First Findings: Surveys of Employers and Mothers</w:t>
        </w:r>
      </w:hyperlink>
      <w:r>
        <w:rPr>
          <w:rFonts w:eastAsia="ArialMT"/>
        </w:rPr>
        <w:t>’, BIS</w:t>
      </w:r>
      <w:r w:rsidRPr="00CD7B30">
        <w:rPr>
          <w:rFonts w:eastAsia="ArialMT"/>
        </w:rPr>
        <w:t xml:space="preserve"> Research </w:t>
      </w:r>
      <w:r>
        <w:rPr>
          <w:rFonts w:eastAsia="ArialMT"/>
        </w:rPr>
        <w:t>P</w:t>
      </w:r>
      <w:r w:rsidRPr="00CD7B30">
        <w:rPr>
          <w:rFonts w:eastAsia="ArialMT"/>
        </w:rPr>
        <w:t>aper no. 235. Department for Business, Innovation and Skills</w:t>
      </w:r>
      <w:r>
        <w:rPr>
          <w:rFonts w:eastAsia="ArialMT"/>
        </w:rPr>
        <w:t xml:space="preserve"> [accessed: 7 December 2016]. </w:t>
      </w:r>
    </w:p>
    <w:p w:rsidR="00F467DD" w:rsidRDefault="00F467DD" w:rsidP="000D5ED8">
      <w:pPr>
        <w:pStyle w:val="Parabeforeanother"/>
      </w:pPr>
      <w:r w:rsidRPr="008D31A6">
        <w:t>Bohnet, I., van Geen, A. and Bazerman, M. (201</w:t>
      </w:r>
      <w:r>
        <w:t>6</w:t>
      </w:r>
      <w:r w:rsidRPr="008D31A6">
        <w:t>)</w:t>
      </w:r>
      <w:r>
        <w:t>, ‘</w:t>
      </w:r>
      <w:hyperlink r:id="rId33" w:history="1">
        <w:r w:rsidRPr="000D5ED8">
          <w:rPr>
            <w:rStyle w:val="Hyperlink"/>
          </w:rPr>
          <w:t>When Performance Trumps Gender Bias: Joint versus Separate Evaluation</w:t>
        </w:r>
      </w:hyperlink>
      <w:r>
        <w:t xml:space="preserve">’, Research </w:t>
      </w:r>
      <w:r w:rsidRPr="008D31A6">
        <w:t>Working Paper 12-0</w:t>
      </w:r>
      <w:r>
        <w:t>09</w:t>
      </w:r>
      <w:r w:rsidRPr="008D31A6">
        <w:t>.</w:t>
      </w:r>
      <w:r w:rsidRPr="008D31A6">
        <w:rPr>
          <w:i/>
        </w:rPr>
        <w:t xml:space="preserve"> </w:t>
      </w:r>
      <w:r w:rsidRPr="008D31A6">
        <w:t>Harvard Kennedy School</w:t>
      </w:r>
      <w:r>
        <w:t>, H</w:t>
      </w:r>
      <w:r w:rsidR="000D5ED8">
        <w:t xml:space="preserve">arvard University </w:t>
      </w:r>
      <w:r>
        <w:t xml:space="preserve"> [accessed: 7 December 2016].</w:t>
      </w:r>
    </w:p>
    <w:p w:rsidR="00422EE5" w:rsidRDefault="00422EE5" w:rsidP="00F467DD">
      <w:pPr>
        <w:pStyle w:val="Parabeforeanother"/>
        <w:spacing w:line="276" w:lineRule="auto"/>
      </w:pPr>
      <w:r>
        <w:t>Brynin, M. (2017), ‘</w:t>
      </w:r>
      <w:hyperlink r:id="rId34" w:history="1">
        <w:r w:rsidRPr="000D5ED8">
          <w:rPr>
            <w:rStyle w:val="Hyperlink"/>
          </w:rPr>
          <w:t>The gender pay gap</w:t>
        </w:r>
      </w:hyperlink>
      <w:r>
        <w:t>’. Equality and Human Rights Commission. [accessed: 10 July 2017]</w:t>
      </w:r>
    </w:p>
    <w:p w:rsidR="00F467DD" w:rsidRDefault="00F467DD" w:rsidP="00F467DD">
      <w:pPr>
        <w:pStyle w:val="Parabeforeanother"/>
        <w:spacing w:line="276" w:lineRule="auto"/>
      </w:pPr>
      <w:r>
        <w:t>Brynin, M. and Güveli, A. (2012), ‘</w:t>
      </w:r>
      <w:r w:rsidRPr="00DA7C32">
        <w:t>Understanding the ethnic pay gap in Britain</w:t>
      </w:r>
      <w:r>
        <w:t xml:space="preserve">’, </w:t>
      </w:r>
      <w:r w:rsidRPr="00DA7C32">
        <w:rPr>
          <w:i/>
        </w:rPr>
        <w:t>Work, Employment and Society</w:t>
      </w:r>
      <w:r w:rsidRPr="009229EB">
        <w:t>,</w:t>
      </w:r>
      <w:r w:rsidRPr="00DA7C32">
        <w:t xml:space="preserve"> </w:t>
      </w:r>
      <w:r>
        <w:t>26(4), pp. 574–87.</w:t>
      </w:r>
    </w:p>
    <w:p w:rsidR="00F467DD" w:rsidRDefault="00F467DD" w:rsidP="00F467DD">
      <w:pPr>
        <w:pStyle w:val="Parabeforeanother"/>
      </w:pPr>
      <w:r>
        <w:t>Brynin, M. and Longhi, S. (2015), ‘</w:t>
      </w:r>
      <w:hyperlink r:id="rId35" w:history="1">
        <w:r w:rsidRPr="000D5ED8">
          <w:rPr>
            <w:rStyle w:val="Hyperlink"/>
          </w:rPr>
          <w:t>The effect of occupation on poverty among ethnic minority groups’</w:t>
        </w:r>
      </w:hyperlink>
      <w:r>
        <w:t>. Institute for Social and Economic Research, University of Essex/Joseph Ro</w:t>
      </w:r>
      <w:r w:rsidR="000D5ED8">
        <w:t>wntree Foundation</w:t>
      </w:r>
      <w:r>
        <w:t xml:space="preserve"> [accessed: 7 December 2016]. </w:t>
      </w:r>
    </w:p>
    <w:p w:rsidR="00F467DD" w:rsidRDefault="00F467DD" w:rsidP="00F467DD">
      <w:pPr>
        <w:pStyle w:val="Parabeforeanother"/>
      </w:pPr>
      <w:r>
        <w:t>CEC (2009), ‘</w:t>
      </w:r>
      <w:r w:rsidRPr="000E6886">
        <w:t>Evaluation of the effectiveness of the current legal framework on equal pay for equal work or work of equal value in tackling the gender pay gap</w:t>
      </w:r>
      <w:r>
        <w:t>’. The European Evaluation Consortium 2007 (version of 19 July 2009).</w:t>
      </w:r>
    </w:p>
    <w:p w:rsidR="00F467DD" w:rsidRDefault="00F467DD" w:rsidP="00F467DD">
      <w:pPr>
        <w:pStyle w:val="Parabeforeanother"/>
      </w:pPr>
      <w:r>
        <w:t>Close the Gap (2012), ‘</w:t>
      </w:r>
      <w:hyperlink r:id="rId36" w:history="1">
        <w:r w:rsidRPr="000D5ED8">
          <w:rPr>
            <w:rStyle w:val="Hyperlink"/>
          </w:rPr>
          <w:t>Public Sector Equality Duty: Guidance for publishing information on gender and employment, equal pay, and occupational segregation</w:t>
        </w:r>
      </w:hyperlink>
      <w:r w:rsidR="000D5ED8">
        <w:t xml:space="preserve">’. Close the Gap </w:t>
      </w:r>
      <w:r>
        <w:t xml:space="preserve">[accessed: 7 December 2016].  </w:t>
      </w:r>
    </w:p>
    <w:p w:rsidR="00F467DD" w:rsidRDefault="00F467DD" w:rsidP="00F467DD">
      <w:pPr>
        <w:pStyle w:val="Parabeforeanother"/>
      </w:pPr>
      <w:r>
        <w:t>Close the Gap (2015), ‘</w:t>
      </w:r>
      <w:hyperlink r:id="rId37" w:history="1">
        <w:r w:rsidRPr="000D5ED8">
          <w:rPr>
            <w:rStyle w:val="Hyperlink"/>
          </w:rPr>
          <w:t>Making Progress? An assessment of public sector employers’ compliance with the public sector equality duty</w:t>
        </w:r>
      </w:hyperlink>
      <w:r>
        <w:t>’,</w:t>
      </w:r>
      <w:r w:rsidRPr="00B25D74">
        <w:t xml:space="preserve"> </w:t>
      </w:r>
      <w:r w:rsidR="000D5ED8">
        <w:t xml:space="preserve">Close the Gap Working Paper 15 </w:t>
      </w:r>
      <w:r>
        <w:t>[accessed: 7 December 2016].</w:t>
      </w:r>
    </w:p>
    <w:p w:rsidR="00F467DD" w:rsidRDefault="00F467DD" w:rsidP="00F467DD">
      <w:pPr>
        <w:pStyle w:val="Parabeforeanother"/>
      </w:pPr>
      <w:r>
        <w:t>Davies, M. (2011). ‘</w:t>
      </w:r>
      <w:hyperlink r:id="rId38" w:history="1">
        <w:r w:rsidRPr="000D5ED8">
          <w:rPr>
            <w:rStyle w:val="Hyperlink"/>
          </w:rPr>
          <w:t>Women on Boards</w:t>
        </w:r>
      </w:hyperlink>
      <w:r>
        <w:t xml:space="preserve">’. Department for </w:t>
      </w:r>
      <w:r w:rsidR="000D5ED8">
        <w:t xml:space="preserve">Business Innovation and Skills </w:t>
      </w:r>
      <w:r>
        <w:t xml:space="preserve">[accessed: 7 December 2016]. </w:t>
      </w:r>
    </w:p>
    <w:p w:rsidR="00F467DD" w:rsidRDefault="00F467DD" w:rsidP="00F467DD">
      <w:pPr>
        <w:pStyle w:val="Parabeforeanother"/>
      </w:pPr>
      <w:r>
        <w:t>Debenhams (2014) ‘</w:t>
      </w:r>
      <w:hyperlink r:id="rId39" w:history="1">
        <w:r w:rsidRPr="000D5ED8">
          <w:rPr>
            <w:rStyle w:val="Hyperlink"/>
          </w:rPr>
          <w:t>Annual Report and Accounts 2014</w:t>
        </w:r>
      </w:hyperlink>
      <w:r w:rsidR="000D5ED8">
        <w:t xml:space="preserve">’, Debenhams plc </w:t>
      </w:r>
      <w:r>
        <w:t>[accessed: 9 March 2017]</w:t>
      </w:r>
    </w:p>
    <w:p w:rsidR="00F467DD" w:rsidRDefault="00F467DD" w:rsidP="00F467DD">
      <w:pPr>
        <w:pStyle w:val="Parabeforeanother"/>
      </w:pPr>
      <w:r>
        <w:t xml:space="preserve">Department for Culture, Media and Sport </w:t>
      </w:r>
      <w:r w:rsidRPr="00393526">
        <w:t>(2014)</w:t>
      </w:r>
      <w:r>
        <w:t>,</w:t>
      </w:r>
      <w:r w:rsidRPr="00393526">
        <w:t xml:space="preserve"> </w:t>
      </w:r>
      <w:r>
        <w:t>‘</w:t>
      </w:r>
      <w:hyperlink r:id="rId40" w:history="1">
        <w:r w:rsidRPr="000D5ED8">
          <w:rPr>
            <w:rStyle w:val="Hyperlink"/>
          </w:rPr>
          <w:t>Secondary Analysis of the Gender Pay Gap: Changes in the gender pay gap over time</w:t>
        </w:r>
      </w:hyperlink>
      <w:r>
        <w:t>’</w:t>
      </w:r>
      <w:r w:rsidRPr="00857497">
        <w:t>.</w:t>
      </w:r>
      <w:r w:rsidRPr="00393526">
        <w:t xml:space="preserve"> Departme</w:t>
      </w:r>
      <w:r>
        <w:t>n</w:t>
      </w:r>
      <w:r w:rsidR="000D5ED8">
        <w:t xml:space="preserve">t for Culture, Media and Sport </w:t>
      </w:r>
      <w:r>
        <w:t xml:space="preserve">[accessed: 7 December 2016]. </w:t>
      </w:r>
    </w:p>
    <w:p w:rsidR="00F467DD" w:rsidRDefault="00F467DD" w:rsidP="00F467DD">
      <w:pPr>
        <w:pStyle w:val="Parabeforeanother"/>
      </w:pPr>
      <w:r>
        <w:t>Dewson, S., Gloster, R., Chubb, C., Carter, M. and Reilly, P. (2011), ‘</w:t>
      </w:r>
      <w:hyperlink r:id="rId41" w:history="1">
        <w:r w:rsidRPr="000D5ED8">
          <w:rPr>
            <w:rStyle w:val="Hyperlink"/>
          </w:rPr>
          <w:t>Voluntary Gender Equality Reporting in Organisations with 150 to 249 Employees</w:t>
        </w:r>
      </w:hyperlink>
      <w:r>
        <w:t>’.</w:t>
      </w:r>
      <w:r w:rsidRPr="000F73E8">
        <w:t xml:space="preserve"> </w:t>
      </w:r>
      <w:r w:rsidR="000D5ED8">
        <w:t xml:space="preserve">Government Equalities Office </w:t>
      </w:r>
      <w:r>
        <w:t>[accessed: 7 December 2016].</w:t>
      </w:r>
    </w:p>
    <w:p w:rsidR="00F467DD" w:rsidRDefault="00F467DD" w:rsidP="00F467DD">
      <w:pPr>
        <w:pStyle w:val="Parabeforeanother"/>
      </w:pPr>
      <w:r>
        <w:lastRenderedPageBreak/>
        <w:t>Dewson, S., Hill, D., Meager, N. and Willison, R.  (2009), ‘</w:t>
      </w:r>
      <w:hyperlink r:id="rId42" w:history="1">
        <w:r w:rsidRPr="000D5ED8">
          <w:rPr>
            <w:rStyle w:val="Hyperlink"/>
          </w:rPr>
          <w:t>Evaluation of Access to Work: Core Evaluation</w:t>
        </w:r>
      </w:hyperlink>
      <w:r w:rsidRPr="002C633B">
        <w:t>’</w:t>
      </w:r>
      <w:r>
        <w:t>, Research Report 619. Department for Work and Pensi</w:t>
      </w:r>
      <w:r w:rsidR="000D5ED8">
        <w:t xml:space="preserve">ons </w:t>
      </w:r>
      <w:r>
        <w:t xml:space="preserve">[accessed: 7 December 2016]. </w:t>
      </w:r>
    </w:p>
    <w:p w:rsidR="00F467DD" w:rsidRDefault="00F467DD" w:rsidP="00F467DD">
      <w:pPr>
        <w:pStyle w:val="Parabeforeanother"/>
      </w:pPr>
      <w:r>
        <w:t xml:space="preserve">DWP (2015), </w:t>
      </w:r>
      <w:hyperlink r:id="rId43" w:history="1">
        <w:r w:rsidRPr="000D5ED8">
          <w:rPr>
            <w:rStyle w:val="Hyperlink"/>
            <w:i/>
          </w:rPr>
          <w:t>Press Release:</w:t>
        </w:r>
        <w:r w:rsidRPr="000D5ED8">
          <w:rPr>
            <w:rStyle w:val="Hyperlink"/>
          </w:rPr>
          <w:t xml:space="preserve"> </w:t>
        </w:r>
        <w:r w:rsidRPr="000D5ED8">
          <w:rPr>
            <w:rStyle w:val="Hyperlink"/>
            <w:i/>
          </w:rPr>
          <w:t>Thousands of disabled people supported by Access to Work</w:t>
        </w:r>
      </w:hyperlink>
      <w:r>
        <w:t>. Department f</w:t>
      </w:r>
      <w:r w:rsidR="000D5ED8">
        <w:t xml:space="preserve">or Work and Pensions. [ONLINE] </w:t>
      </w:r>
      <w:r>
        <w:t>[accessed: 7 December 2016].</w:t>
      </w:r>
    </w:p>
    <w:p w:rsidR="00F467DD" w:rsidRDefault="00F467DD" w:rsidP="00F467DD">
      <w:pPr>
        <w:pStyle w:val="Parabeforeanother"/>
      </w:pPr>
      <w:r w:rsidRPr="007949CB">
        <w:t>EHRC (2009)</w:t>
      </w:r>
      <w:r>
        <w:t>,</w:t>
      </w:r>
      <w:r w:rsidRPr="007949CB">
        <w:t xml:space="preserve"> </w:t>
      </w:r>
      <w:r>
        <w:t>‘</w:t>
      </w:r>
      <w:r w:rsidRPr="002C633B">
        <w:t>Working Better: Meeting the changing needs of families, workers and employers in the 21</w:t>
      </w:r>
      <w:r w:rsidRPr="002C633B">
        <w:rPr>
          <w:vertAlign w:val="superscript"/>
        </w:rPr>
        <w:t>st</w:t>
      </w:r>
      <w:r w:rsidRPr="002C633B">
        <w:t xml:space="preserve"> century</w:t>
      </w:r>
      <w:r>
        <w:t>’</w:t>
      </w:r>
      <w:r w:rsidRPr="007949CB">
        <w:t>.</w:t>
      </w:r>
      <w:r>
        <w:t xml:space="preserve"> Equality and Human Rights Commission. </w:t>
      </w:r>
    </w:p>
    <w:p w:rsidR="00F467DD" w:rsidRDefault="00054304" w:rsidP="00DD7A76">
      <w:pPr>
        <w:pStyle w:val="Parabeforeanother"/>
      </w:pPr>
      <w:r>
        <w:t>EHRC (2011),‘</w:t>
      </w:r>
      <w:hyperlink r:id="rId44" w:history="1">
        <w:r w:rsidR="00F467DD" w:rsidRPr="000D5ED8">
          <w:rPr>
            <w:rStyle w:val="Hyperlink"/>
          </w:rPr>
          <w:t>The essential guide to the public sector equality duty: An overview</w:t>
        </w:r>
        <w:r w:rsidR="00DD7A76" w:rsidRPr="000D5ED8">
          <w:rPr>
            <w:rStyle w:val="Hyperlink"/>
          </w:rPr>
          <w:t xml:space="preserve"> </w:t>
        </w:r>
        <w:r w:rsidR="00F467DD" w:rsidRPr="000D5ED8">
          <w:rPr>
            <w:rStyle w:val="Hyperlink"/>
          </w:rPr>
          <w:t>for listed public authorities in Wales</w:t>
        </w:r>
      </w:hyperlink>
      <w:r w:rsidR="00F467DD">
        <w:t>’. Equality and Hum</w:t>
      </w:r>
      <w:r w:rsidR="000D5ED8">
        <w:t xml:space="preserve">an Rights Commission </w:t>
      </w:r>
      <w:r w:rsidR="00F467DD">
        <w:t xml:space="preserve">[accessed 9 March 2017]  </w:t>
      </w:r>
    </w:p>
    <w:p w:rsidR="00F467DD" w:rsidRDefault="00F467DD" w:rsidP="00F467DD">
      <w:pPr>
        <w:pStyle w:val="Parabeforeanother"/>
      </w:pPr>
      <w:r>
        <w:rPr>
          <w:bCs/>
          <w:lang w:val="en"/>
        </w:rPr>
        <w:t>EHRC</w:t>
      </w:r>
      <w:r w:rsidRPr="00D72909">
        <w:t xml:space="preserve"> (2012), </w:t>
      </w:r>
      <w:r>
        <w:t>‘</w:t>
      </w:r>
      <w:hyperlink r:id="rId45" w:history="1">
        <w:r w:rsidRPr="000D5ED8">
          <w:rPr>
            <w:rStyle w:val="Hyperlink"/>
          </w:rPr>
          <w:t>Working better: the perfect partnership – workplace solutions for disabled people and business</w:t>
        </w:r>
      </w:hyperlink>
      <w:r>
        <w:t>’</w:t>
      </w:r>
      <w:r w:rsidRPr="00D72909">
        <w:t>.</w:t>
      </w:r>
      <w:r>
        <w:t xml:space="preserve"> </w:t>
      </w:r>
      <w:r w:rsidRPr="00B26716">
        <w:t>Equality and Human Rights Commission Scotland</w:t>
      </w:r>
      <w:r w:rsidR="000D5ED8">
        <w:t xml:space="preserve"> </w:t>
      </w:r>
      <w:r>
        <w:t xml:space="preserve">[accessed: 7 December 2016]. </w:t>
      </w:r>
    </w:p>
    <w:p w:rsidR="00F467DD" w:rsidRDefault="00F467DD" w:rsidP="00F467DD">
      <w:pPr>
        <w:pStyle w:val="Parabeforeanother"/>
      </w:pPr>
      <w:r>
        <w:t>EHRC (2015a), ‘</w:t>
      </w:r>
      <w:hyperlink r:id="rId46" w:history="1">
        <w:r w:rsidRPr="000D5ED8">
          <w:rPr>
            <w:rStyle w:val="Hyperlink"/>
          </w:rPr>
          <w:t>Measuring up? Report 4: Practice – A report of public authorities practice in meeting the Scottish Specific Equality Duties</w:t>
        </w:r>
      </w:hyperlink>
      <w:r>
        <w:t>’. Equali</w:t>
      </w:r>
      <w:r w:rsidR="000D5ED8">
        <w:t xml:space="preserve">ty and Human Rights Commission </w:t>
      </w:r>
      <w:r>
        <w:t>[accessed: 7 December 2016].</w:t>
      </w:r>
    </w:p>
    <w:p w:rsidR="00F467DD" w:rsidRDefault="00F467DD" w:rsidP="00F467DD">
      <w:pPr>
        <w:pStyle w:val="Parabeforeanother"/>
      </w:pPr>
      <w:r>
        <w:t>EHRC (2015b), ‘</w:t>
      </w:r>
      <w:hyperlink r:id="rId47" w:history="1">
        <w:r w:rsidRPr="000D5ED8">
          <w:rPr>
            <w:rStyle w:val="Hyperlink"/>
          </w:rPr>
          <w:t>Small Business, Enterprise and Employment Bill, House of Lords: Briefing in support of New Clause on Gender Pay Gap Information</w:t>
        </w:r>
      </w:hyperlink>
      <w:r>
        <w:t>’. Equali</w:t>
      </w:r>
      <w:r w:rsidR="000D5ED8">
        <w:t xml:space="preserve">ty and Human Rights Commission </w:t>
      </w:r>
      <w:r>
        <w:t>[accessed: 7 December 2016].</w:t>
      </w:r>
    </w:p>
    <w:p w:rsidR="00F467DD" w:rsidRDefault="00F467DD" w:rsidP="00F467DD">
      <w:pPr>
        <w:pStyle w:val="Parabeforeanother"/>
      </w:pPr>
      <w:r>
        <w:t>EHRC (2015c), ‘</w:t>
      </w:r>
      <w:r w:rsidRPr="002C633B">
        <w:t>Written Evidence to the House of Lords Select Committee on the Equality Act 2010 and Disability</w:t>
      </w:r>
      <w:r>
        <w:t>’</w:t>
      </w:r>
      <w:r w:rsidRPr="005C5CBC">
        <w:t>, submitted 3 September 2015.</w:t>
      </w:r>
      <w:r>
        <w:t xml:space="preserve"> Equality and Human Rights Commission. </w:t>
      </w:r>
    </w:p>
    <w:p w:rsidR="00F467DD" w:rsidRPr="0095342A" w:rsidRDefault="00F467DD" w:rsidP="00F467DD">
      <w:pPr>
        <w:pStyle w:val="Parabeforeanother"/>
      </w:pPr>
      <w:r>
        <w:t>EHRC (2016a), ‘</w:t>
      </w:r>
      <w:hyperlink r:id="rId48" w:history="1">
        <w:r w:rsidRPr="000D5ED8">
          <w:rPr>
            <w:rStyle w:val="Hyperlink"/>
          </w:rPr>
          <w:t>Consultation response: Mandatory Gender Pay Gap Reporting</w:t>
        </w:r>
      </w:hyperlink>
      <w:r>
        <w:t>’</w:t>
      </w:r>
      <w:r w:rsidRPr="00EA4F88">
        <w:rPr>
          <w:i/>
        </w:rPr>
        <w:t>.</w:t>
      </w:r>
      <w:r>
        <w:rPr>
          <w:i/>
          <w:color w:val="3D3A3B"/>
          <w:lang w:val="en"/>
        </w:rPr>
        <w:t xml:space="preserve"> </w:t>
      </w:r>
      <w:r>
        <w:t>Equali</w:t>
      </w:r>
      <w:r w:rsidR="000D5ED8">
        <w:t xml:space="preserve">ty and Human Rights Commission </w:t>
      </w:r>
      <w:r>
        <w:t>[accessed: 7 December 2016].</w:t>
      </w:r>
    </w:p>
    <w:p w:rsidR="00F467DD" w:rsidRDefault="00F467DD" w:rsidP="00F467DD">
      <w:pPr>
        <w:pStyle w:val="Parabeforeanother"/>
      </w:pPr>
      <w:r w:rsidRPr="007949CB">
        <w:t>EHRC (2016b)</w:t>
      </w:r>
      <w:r>
        <w:t>, ‘</w:t>
      </w:r>
      <w:hyperlink r:id="rId49" w:history="1">
        <w:r w:rsidRPr="000D5ED8">
          <w:rPr>
            <w:rStyle w:val="Hyperlink"/>
          </w:rPr>
          <w:t>An inquiry into fairness, transparency and diversity in FTSE 350 board appointments</w:t>
        </w:r>
      </w:hyperlink>
      <w:r>
        <w:t>’</w:t>
      </w:r>
      <w:r w:rsidRPr="002C633B">
        <w:rPr>
          <w:i/>
        </w:rPr>
        <w:t>.</w:t>
      </w:r>
      <w:r>
        <w:t xml:space="preserve"> </w:t>
      </w:r>
      <w:r w:rsidRPr="000359DE">
        <w:t>Equal</w:t>
      </w:r>
      <w:r w:rsidR="000D5ED8">
        <w:t xml:space="preserve">ity and Human Rights Commission </w:t>
      </w:r>
      <w:r>
        <w:t xml:space="preserve">[accessed: 7 December 2016]. </w:t>
      </w:r>
    </w:p>
    <w:p w:rsidR="00F467DD" w:rsidRDefault="00F467DD" w:rsidP="00F467DD">
      <w:pPr>
        <w:pStyle w:val="Parabeforeanother"/>
      </w:pPr>
      <w:r>
        <w:t>EHRC Scotland (2013), ‘</w:t>
      </w:r>
      <w:hyperlink r:id="rId50" w:history="1">
        <w:r w:rsidRPr="000D5ED8">
          <w:rPr>
            <w:rStyle w:val="Hyperlink"/>
          </w:rPr>
          <w:t>Measuring up? Monitoring Public Authorities performance against the Scottish Specific Equality Duties</w:t>
        </w:r>
      </w:hyperlink>
      <w:r>
        <w:t>’</w:t>
      </w:r>
      <w:r w:rsidRPr="00FB1D63">
        <w:t>.</w:t>
      </w:r>
      <w:r>
        <w:t xml:space="preserve"> Equality and Human Rights Commissi</w:t>
      </w:r>
      <w:r w:rsidR="000D5ED8">
        <w:t xml:space="preserve">on Scotland </w:t>
      </w:r>
      <w:r>
        <w:t xml:space="preserve">[accessed: 7 December 2016]. </w:t>
      </w:r>
    </w:p>
    <w:p w:rsidR="00F467DD" w:rsidRPr="0081659E" w:rsidRDefault="00F467DD" w:rsidP="00DD7A76">
      <w:pPr>
        <w:pStyle w:val="Parabeforeanother"/>
      </w:pPr>
      <w:r w:rsidRPr="0081659E">
        <w:t>EHRC (2014), ‘</w:t>
      </w:r>
      <w:hyperlink r:id="rId51" w:history="1">
        <w:r w:rsidRPr="000D5ED8">
          <w:rPr>
            <w:rStyle w:val="Hyperlink"/>
          </w:rPr>
          <w:t>Technical Guidance on the Public Sector Equality Duty: Wales</w:t>
        </w:r>
      </w:hyperlink>
      <w:r w:rsidRPr="0081659E">
        <w:t>’</w:t>
      </w:r>
      <w:r w:rsidR="000D5ED8">
        <w:t>.</w:t>
      </w:r>
      <w:r w:rsidRPr="0081659E">
        <w:t xml:space="preserve"> Equality a</w:t>
      </w:r>
      <w:r>
        <w:t>nd Human Rights Commission</w:t>
      </w:r>
      <w:r w:rsidR="000D5ED8">
        <w:t xml:space="preserve"> </w:t>
      </w:r>
      <w:r w:rsidRPr="0081659E">
        <w:t>[accessed: 9 March 2017]</w:t>
      </w:r>
    </w:p>
    <w:p w:rsidR="00F467DD" w:rsidRPr="000359DE" w:rsidRDefault="00F467DD" w:rsidP="00F467DD">
      <w:pPr>
        <w:pStyle w:val="Parabeforeanother"/>
      </w:pPr>
      <w:r>
        <w:lastRenderedPageBreak/>
        <w:t>EHRC Wales (2014), ‘</w:t>
      </w:r>
      <w:hyperlink r:id="rId52" w:history="1">
        <w:r w:rsidRPr="000D5ED8">
          <w:rPr>
            <w:rStyle w:val="Hyperlink"/>
          </w:rPr>
          <w:t>EHRC Monitoring of the Public Sector Equality Duty in Wales: Universities report</w:t>
        </w:r>
      </w:hyperlink>
      <w:r>
        <w:t>’</w:t>
      </w:r>
      <w:r w:rsidRPr="00502B39">
        <w:t xml:space="preserve">. </w:t>
      </w:r>
      <w:r>
        <w:t>Equality and</w:t>
      </w:r>
      <w:r w:rsidR="000D5ED8">
        <w:t xml:space="preserve"> Human Rights Commission Wales </w:t>
      </w:r>
      <w:r>
        <w:t>[accessed: 7 December 2016].</w:t>
      </w:r>
    </w:p>
    <w:p w:rsidR="00F467DD" w:rsidRPr="008D31A6" w:rsidRDefault="00F467DD" w:rsidP="00F467DD">
      <w:pPr>
        <w:pStyle w:val="Parabeforeanother"/>
      </w:pPr>
      <w:r w:rsidRPr="008D31A6">
        <w:t>Elvira, M. and Graham, M. (2002)</w:t>
      </w:r>
      <w:r>
        <w:t>, ‘</w:t>
      </w:r>
      <w:r w:rsidRPr="002C633B">
        <w:t>Not Just a Formality: Pay System Formalization and Sex-related Earnings Effects</w:t>
      </w:r>
      <w:r>
        <w:t>’</w:t>
      </w:r>
      <w:r w:rsidRPr="002C633B">
        <w:t>,</w:t>
      </w:r>
      <w:r w:rsidRPr="008D31A6">
        <w:t xml:space="preserve"> </w:t>
      </w:r>
      <w:r w:rsidRPr="002C633B">
        <w:rPr>
          <w:i/>
        </w:rPr>
        <w:t>Organisation Science</w:t>
      </w:r>
      <w:r>
        <w:t>,</w:t>
      </w:r>
      <w:r w:rsidRPr="008D31A6">
        <w:t xml:space="preserve"> 13</w:t>
      </w:r>
      <w:r>
        <w:t>, pp.</w:t>
      </w:r>
      <w:r w:rsidRPr="008D31A6">
        <w:t xml:space="preserve"> 601</w:t>
      </w:r>
      <w:r>
        <w:t>–</w:t>
      </w:r>
      <w:r w:rsidRPr="008D31A6">
        <w:t>17</w:t>
      </w:r>
      <w:r>
        <w:t>.</w:t>
      </w:r>
      <w:r w:rsidRPr="008D31A6">
        <w:t xml:space="preserve"> </w:t>
      </w:r>
    </w:p>
    <w:p w:rsidR="00F467DD" w:rsidRDefault="00F467DD" w:rsidP="00F467DD">
      <w:pPr>
        <w:pStyle w:val="Parabeforeanother"/>
      </w:pPr>
      <w:r>
        <w:t>ENEI (2014), ‘</w:t>
      </w:r>
      <w:hyperlink r:id="rId53" w:history="1">
        <w:r w:rsidRPr="000D5ED8">
          <w:rPr>
            <w:rStyle w:val="Hyperlink"/>
          </w:rPr>
          <w:t>Disability: A Research Study on Unconscious Bias</w:t>
        </w:r>
      </w:hyperlink>
      <w:r>
        <w:t>’. Employers Ne</w:t>
      </w:r>
      <w:r w:rsidR="000D5ED8">
        <w:t xml:space="preserve">twork for Equality &amp; Inclusion </w:t>
      </w:r>
      <w:r>
        <w:t xml:space="preserve">[accessed: 7 December 2016]. </w:t>
      </w:r>
    </w:p>
    <w:p w:rsidR="00F467DD" w:rsidRDefault="00F467DD" w:rsidP="00F467DD">
      <w:pPr>
        <w:pStyle w:val="Parabeforeanother"/>
      </w:pPr>
      <w:r>
        <w:t>Eurofound (2010), ‘</w:t>
      </w:r>
      <w:hyperlink r:id="rId54" w:history="1">
        <w:r w:rsidRPr="000D5ED8">
          <w:rPr>
            <w:rStyle w:val="Hyperlink"/>
          </w:rPr>
          <w:t>Addressing the gender pay gap: Government and social partner actions</w:t>
        </w:r>
      </w:hyperlink>
      <w:r>
        <w:t xml:space="preserve">’. European Foundation for the Improvement of </w:t>
      </w:r>
      <w:r w:rsidR="000D5ED8">
        <w:t xml:space="preserve">Living and Working Conditions </w:t>
      </w:r>
      <w:r>
        <w:t xml:space="preserve">[accessed: 7 December 2016]. </w:t>
      </w:r>
    </w:p>
    <w:p w:rsidR="00F467DD" w:rsidRDefault="00F467DD" w:rsidP="00F467DD">
      <w:pPr>
        <w:pStyle w:val="Parabeforeanother"/>
      </w:pPr>
      <w:r>
        <w:t>European Commission (2013), ‘</w:t>
      </w:r>
      <w:hyperlink r:id="rId55" w:history="1">
        <w:r w:rsidRPr="000D5ED8">
          <w:rPr>
            <w:rStyle w:val="Hyperlink"/>
          </w:rPr>
          <w:t>Tackling the gender pay gap in the European Union</w:t>
        </w:r>
      </w:hyperlink>
      <w:r>
        <w:t>’</w:t>
      </w:r>
      <w:r w:rsidRPr="00374205">
        <w:rPr>
          <w:i/>
        </w:rPr>
        <w:t xml:space="preserve">. </w:t>
      </w:r>
      <w:r w:rsidRPr="002C633B">
        <w:t>European Commission</w:t>
      </w:r>
      <w:r>
        <w:t>. Luxembourg: Publication</w:t>
      </w:r>
      <w:r w:rsidR="000D5ED8">
        <w:t xml:space="preserve">s Office of the European Union </w:t>
      </w:r>
      <w:r>
        <w:t xml:space="preserve">[accessed: 7 December 2016]. </w:t>
      </w:r>
    </w:p>
    <w:p w:rsidR="00F467DD" w:rsidRDefault="00F467DD" w:rsidP="00F467DD">
      <w:pPr>
        <w:pStyle w:val="Parabeforeanother"/>
      </w:pPr>
      <w:r>
        <w:t xml:space="preserve">Eurostat (2015), </w:t>
      </w:r>
      <w:hyperlink r:id="rId56" w:history="1">
        <w:r w:rsidRPr="000D5ED8">
          <w:rPr>
            <w:rStyle w:val="Hyperlink"/>
            <w:i/>
          </w:rPr>
          <w:t>Gender pay gap in unadjusted form</w:t>
        </w:r>
      </w:hyperlink>
      <w:r>
        <w:rPr>
          <w:i/>
        </w:rPr>
        <w:t xml:space="preserve">. </w:t>
      </w:r>
      <w:r w:rsidRPr="000D5ED8">
        <w:t>[ONLINE]</w:t>
      </w:r>
      <w:r w:rsidR="000D5ED8">
        <w:t xml:space="preserve"> </w:t>
      </w:r>
      <w:r>
        <w:t>[accessed: 7 February 2017].</w:t>
      </w:r>
    </w:p>
    <w:p w:rsidR="00F467DD" w:rsidRDefault="00F467DD" w:rsidP="00F467DD">
      <w:pPr>
        <w:pStyle w:val="Parabeforeanother"/>
      </w:pPr>
      <w:r>
        <w:t>Eversheds (2012</w:t>
      </w:r>
      <w:r w:rsidRPr="00374205">
        <w:t>)</w:t>
      </w:r>
      <w:r>
        <w:t>,</w:t>
      </w:r>
      <w:r w:rsidRPr="00374205">
        <w:t xml:space="preserve"> </w:t>
      </w:r>
      <w:hyperlink r:id="rId57" w:history="1">
        <w:r w:rsidRPr="000D5ED8">
          <w:rPr>
            <w:rStyle w:val="Hyperlink"/>
            <w:i/>
          </w:rPr>
          <w:t>Think, Act, Report Case study</w:t>
        </w:r>
      </w:hyperlink>
      <w:r>
        <w:t xml:space="preserve">. Government Equalities Office. </w:t>
      </w:r>
      <w:r w:rsidR="000D5ED8">
        <w:t>[ONLINE]</w:t>
      </w:r>
      <w:r w:rsidRPr="00A77012">
        <w:t xml:space="preserve"> </w:t>
      </w:r>
      <w:r>
        <w:t xml:space="preserve">[accessed: 7 December 2016]. </w:t>
      </w:r>
    </w:p>
    <w:p w:rsidR="00F467DD" w:rsidRDefault="00F467DD" w:rsidP="00F467DD">
      <w:pPr>
        <w:pStyle w:val="Parabeforeanother"/>
      </w:pPr>
      <w:r>
        <w:t xml:space="preserve">Eversheds (2015), </w:t>
      </w:r>
      <w:hyperlink r:id="rId58" w:history="1">
        <w:r w:rsidRPr="000D5ED8">
          <w:rPr>
            <w:rStyle w:val="Hyperlink"/>
            <w:i/>
          </w:rPr>
          <w:t>UK HR e-briefing – Gender pay reporting by employers across the European Union</w:t>
        </w:r>
      </w:hyperlink>
      <w:r w:rsidR="000D5ED8">
        <w:t xml:space="preserve">. Eversheds. [ONLINE] </w:t>
      </w:r>
      <w:r>
        <w:t xml:space="preserve">[accessed: 7 December 2016]. </w:t>
      </w:r>
    </w:p>
    <w:p w:rsidR="00F467DD" w:rsidRPr="000D5ED8" w:rsidRDefault="00F467DD" w:rsidP="000D5ED8">
      <w:pPr>
        <w:autoSpaceDE w:val="0"/>
        <w:autoSpaceDN w:val="0"/>
        <w:adjustRightInd w:val="0"/>
        <w:spacing w:line="312" w:lineRule="auto"/>
        <w:rPr>
          <w:rStyle w:val="Hyperlink"/>
          <w:rFonts w:eastAsia="ArialMT" w:cs="Arial"/>
          <w:iCs/>
          <w:szCs w:val="24"/>
        </w:rPr>
      </w:pPr>
      <w:r w:rsidRPr="007949CB">
        <w:rPr>
          <w:rFonts w:eastAsia="ArialMT" w:cs="Arial"/>
          <w:szCs w:val="24"/>
        </w:rPr>
        <w:t>Fawcett Society (2013)</w:t>
      </w:r>
      <w:r>
        <w:rPr>
          <w:rFonts w:eastAsia="ArialMT" w:cs="Arial"/>
          <w:szCs w:val="24"/>
        </w:rPr>
        <w:t>,</w:t>
      </w:r>
      <w:r w:rsidRPr="007949CB">
        <w:rPr>
          <w:rFonts w:eastAsia="ArialMT" w:cs="Arial"/>
          <w:szCs w:val="24"/>
        </w:rPr>
        <w:t xml:space="preserve"> </w:t>
      </w:r>
      <w:r>
        <w:rPr>
          <w:rFonts w:eastAsia="ArialMT" w:cs="Arial"/>
          <w:szCs w:val="24"/>
        </w:rPr>
        <w:t>‘</w:t>
      </w:r>
      <w:r w:rsidR="000D5ED8">
        <w:rPr>
          <w:rFonts w:eastAsia="ArialMT" w:cs="Arial"/>
          <w:iCs/>
          <w:szCs w:val="24"/>
        </w:rPr>
        <w:fldChar w:fldCharType="begin"/>
      </w:r>
      <w:r w:rsidR="000D5ED8">
        <w:rPr>
          <w:rFonts w:eastAsia="ArialMT" w:cs="Arial"/>
          <w:iCs/>
          <w:szCs w:val="24"/>
        </w:rPr>
        <w:instrText xml:space="preserve"> HYPERLINK "http://fawcettsociety.org.uk/wp-content/uploads/2013/04/Fawcett-The-changing-labour-market.pdf" </w:instrText>
      </w:r>
      <w:r w:rsidR="000D5ED8">
        <w:rPr>
          <w:rFonts w:eastAsia="ArialMT" w:cs="Arial"/>
          <w:iCs/>
          <w:szCs w:val="24"/>
        </w:rPr>
        <w:fldChar w:fldCharType="separate"/>
      </w:r>
      <w:r w:rsidRPr="000D5ED8">
        <w:rPr>
          <w:rStyle w:val="Hyperlink"/>
          <w:rFonts w:eastAsia="ArialMT" w:cs="Arial"/>
          <w:iCs/>
          <w:szCs w:val="24"/>
        </w:rPr>
        <w:t>The changing labour market: delivering for women,</w:t>
      </w:r>
    </w:p>
    <w:p w:rsidR="000D5ED8" w:rsidRPr="000D5ED8" w:rsidRDefault="00F467DD" w:rsidP="000D5ED8">
      <w:pPr>
        <w:pStyle w:val="Parabeforeanother"/>
        <w:spacing w:after="0"/>
        <w:rPr>
          <w:rFonts w:eastAsia="ArialMT"/>
        </w:rPr>
      </w:pPr>
      <w:r w:rsidRPr="000D5ED8">
        <w:rPr>
          <w:rStyle w:val="Hyperlink"/>
          <w:rFonts w:eastAsia="ArialMT"/>
          <w:iCs/>
        </w:rPr>
        <w:t>delivering for growth</w:t>
      </w:r>
      <w:r w:rsidR="000D5ED8">
        <w:rPr>
          <w:rFonts w:eastAsia="ArialMT"/>
          <w:iCs/>
        </w:rPr>
        <w:fldChar w:fldCharType="end"/>
      </w:r>
      <w:r>
        <w:rPr>
          <w:rFonts w:eastAsia="ArialMT"/>
          <w:iCs/>
        </w:rPr>
        <w:t>’</w:t>
      </w:r>
      <w:r w:rsidRPr="00D13706">
        <w:rPr>
          <w:rFonts w:eastAsia="ArialMT"/>
        </w:rPr>
        <w:t>.</w:t>
      </w:r>
      <w:r w:rsidR="000D5ED8">
        <w:rPr>
          <w:rFonts w:eastAsia="ArialMT"/>
        </w:rPr>
        <w:t xml:space="preserve"> Fawcett Society </w:t>
      </w:r>
      <w:r>
        <w:t>[accessed: 7 December 2016].</w:t>
      </w:r>
    </w:p>
    <w:p w:rsidR="00F467DD" w:rsidRDefault="00F467DD" w:rsidP="000D5ED8">
      <w:pPr>
        <w:pStyle w:val="Parabeforeanother"/>
        <w:spacing w:before="160"/>
      </w:pPr>
      <w:r>
        <w:t>Fawcett Society (2014), ‘</w:t>
      </w:r>
      <w:hyperlink r:id="rId59" w:history="1">
        <w:r w:rsidRPr="000D5ED8">
          <w:rPr>
            <w:rStyle w:val="Hyperlink"/>
          </w:rPr>
          <w:t>The time to act is now: Fawcett’s Gender Pay Gap Briefing’</w:t>
        </w:r>
      </w:hyperlink>
      <w:r w:rsidR="000D5ED8">
        <w:t xml:space="preserve">. Fawcett Society </w:t>
      </w:r>
      <w:r>
        <w:t>[accessed 7 December 2016].</w:t>
      </w:r>
    </w:p>
    <w:p w:rsidR="00F467DD" w:rsidRDefault="00F467DD" w:rsidP="00F467DD">
      <w:pPr>
        <w:pStyle w:val="Parabeforeanother"/>
      </w:pPr>
      <w:r>
        <w:t xml:space="preserve">GEO (2011), </w:t>
      </w:r>
      <w:r w:rsidR="000D5ED8">
        <w:t>‘</w:t>
      </w:r>
      <w:hyperlink r:id="rId60" w:history="1">
        <w:r w:rsidRPr="000D5ED8">
          <w:rPr>
            <w:rStyle w:val="Hyperlink"/>
          </w:rPr>
          <w:t>Voluntary Gender Equality Reporting: Baseline Report 2011</w:t>
        </w:r>
      </w:hyperlink>
      <w:r w:rsidR="000D5ED8">
        <w:t>’</w:t>
      </w:r>
      <w:r>
        <w:t>. Gover</w:t>
      </w:r>
      <w:r w:rsidR="000D5ED8">
        <w:t xml:space="preserve">nment Equalities Office </w:t>
      </w:r>
      <w:r>
        <w:t>[accessed 9 Match 2017]</w:t>
      </w:r>
    </w:p>
    <w:p w:rsidR="00F467DD" w:rsidRDefault="00F467DD" w:rsidP="00F467DD">
      <w:pPr>
        <w:pStyle w:val="Parabeforeanother"/>
      </w:pPr>
      <w:r>
        <w:t>GEO (2012a), ‘</w:t>
      </w:r>
      <w:hyperlink r:id="rId61" w:history="1">
        <w:r w:rsidRPr="000D5ED8">
          <w:rPr>
            <w:rStyle w:val="Hyperlink"/>
          </w:rPr>
          <w:t>Legislative proposals to promote equal pay: Impact Assessment</w:t>
        </w:r>
      </w:hyperlink>
      <w:r>
        <w:t>’</w:t>
      </w:r>
      <w:r w:rsidR="000D5ED8">
        <w:t xml:space="preserve">. Government Equalities Office </w:t>
      </w:r>
      <w:r>
        <w:t xml:space="preserve">[accessed: 7 December 2016]. </w:t>
      </w:r>
    </w:p>
    <w:p w:rsidR="00AC385F" w:rsidRDefault="00F467DD" w:rsidP="00F467DD">
      <w:pPr>
        <w:pStyle w:val="Parabeforeanother"/>
      </w:pPr>
      <w:r>
        <w:t>GEO (2012b), ‘</w:t>
      </w:r>
      <w:hyperlink r:id="rId62" w:history="1">
        <w:r w:rsidRPr="000D5ED8">
          <w:rPr>
            <w:rStyle w:val="Hyperlink"/>
          </w:rPr>
          <w:t>Modern Workplaces: Government Response Consultation on Equal Pay</w:t>
        </w:r>
      </w:hyperlink>
      <w:r>
        <w:t>’</w:t>
      </w:r>
      <w:r w:rsidR="000D5ED8">
        <w:t xml:space="preserve">. Government Equalities Office </w:t>
      </w:r>
      <w:r>
        <w:t xml:space="preserve">[accessed: 7 December 2016]. </w:t>
      </w:r>
    </w:p>
    <w:p w:rsidR="00F467DD" w:rsidRDefault="00F467DD" w:rsidP="00F467DD">
      <w:pPr>
        <w:pStyle w:val="Parabeforeanother"/>
      </w:pPr>
      <w:r>
        <w:t>GEO (2014), ‘</w:t>
      </w:r>
      <w:hyperlink r:id="rId63" w:history="1">
        <w:r w:rsidRPr="00AC385F">
          <w:rPr>
            <w:rStyle w:val="Hyperlink"/>
          </w:rPr>
          <w:t>Think, Act, Report:</w:t>
        </w:r>
        <w:r w:rsidRPr="00AC385F">
          <w:rPr>
            <w:rStyle w:val="Hyperlink"/>
            <w:i/>
          </w:rPr>
          <w:t xml:space="preserve"> </w:t>
        </w:r>
        <w:r w:rsidRPr="00AC385F">
          <w:rPr>
            <w:rStyle w:val="Hyperlink"/>
          </w:rPr>
          <w:t>Mending the Gap</w:t>
        </w:r>
      </w:hyperlink>
      <w:r>
        <w:t>’</w:t>
      </w:r>
      <w:r w:rsidR="00AC385F">
        <w:t xml:space="preserve">. Government Equalities Office </w:t>
      </w:r>
      <w:r>
        <w:t xml:space="preserve">[accessed: 7 December 2016]. </w:t>
      </w:r>
    </w:p>
    <w:p w:rsidR="00F467DD" w:rsidRDefault="00F467DD" w:rsidP="00F467DD">
      <w:pPr>
        <w:pStyle w:val="Parabeforeanother"/>
      </w:pPr>
      <w:r>
        <w:lastRenderedPageBreak/>
        <w:t>GEO (2015), ‘</w:t>
      </w:r>
      <w:hyperlink r:id="rId64" w:history="1">
        <w:r w:rsidRPr="00AC385F">
          <w:rPr>
            <w:rStyle w:val="Hyperlink"/>
          </w:rPr>
          <w:t>Closing the Gender Pay Gap: Government Consultation</w:t>
        </w:r>
      </w:hyperlink>
      <w:r>
        <w:t>’</w:t>
      </w:r>
      <w:r w:rsidR="00AC385F">
        <w:t xml:space="preserve">. Government Equalities Office </w:t>
      </w:r>
      <w:r>
        <w:t xml:space="preserve">[accessed: 7 December 2016]. </w:t>
      </w:r>
    </w:p>
    <w:p w:rsidR="00F467DD" w:rsidRDefault="00F467DD" w:rsidP="00F467DD">
      <w:pPr>
        <w:pStyle w:val="Parabeforeanother"/>
      </w:pPr>
      <w:r>
        <w:t xml:space="preserve">Goldin, C. (2014). ‘A Grand Gender Convergence: Its Last Chapter’, </w:t>
      </w:r>
      <w:r w:rsidRPr="00C045E7">
        <w:rPr>
          <w:i/>
        </w:rPr>
        <w:t>American Economic Review</w:t>
      </w:r>
      <w:r>
        <w:t>, 104(4), pp. 1091–1119.</w:t>
      </w:r>
    </w:p>
    <w:p w:rsidR="00F467DD" w:rsidRDefault="00F467DD" w:rsidP="00F467DD">
      <w:pPr>
        <w:pStyle w:val="Parabeforeanother"/>
      </w:pPr>
      <w:r>
        <w:t xml:space="preserve">Gov.uk (2014), </w:t>
      </w:r>
      <w:hyperlink r:id="rId65" w:history="1">
        <w:r w:rsidRPr="00AC385F">
          <w:rPr>
            <w:rStyle w:val="Hyperlink"/>
            <w:i/>
          </w:rPr>
          <w:t>Disability Confident campaign</w:t>
        </w:r>
      </w:hyperlink>
      <w:r w:rsidR="00AC385F">
        <w:t xml:space="preserve">. [ONLINE] </w:t>
      </w:r>
      <w:r>
        <w:t>[accessed: 8 October 2015].</w:t>
      </w:r>
    </w:p>
    <w:p w:rsidR="00F467DD" w:rsidRDefault="00F467DD" w:rsidP="00F467DD">
      <w:pPr>
        <w:pStyle w:val="Parabeforeanother"/>
      </w:pPr>
      <w:r>
        <w:t xml:space="preserve">Gov.uk (2015), </w:t>
      </w:r>
      <w:hyperlink r:id="rId66" w:history="1">
        <w:r w:rsidRPr="00AC385F">
          <w:rPr>
            <w:rStyle w:val="Hyperlink"/>
            <w:i/>
          </w:rPr>
          <w:t>Press Release:</w:t>
        </w:r>
        <w:r w:rsidRPr="00AC385F">
          <w:rPr>
            <w:rStyle w:val="Hyperlink"/>
          </w:rPr>
          <w:t xml:space="preserve"> </w:t>
        </w:r>
        <w:r w:rsidRPr="00AC385F">
          <w:rPr>
            <w:rStyle w:val="Hyperlink"/>
            <w:i/>
          </w:rPr>
          <w:t>PM announces new measures to eradicate gender pay inequality</w:t>
        </w:r>
      </w:hyperlink>
      <w:r w:rsidR="00AC385F">
        <w:t xml:space="preserve">. 25 October 2015. [ONLINE] </w:t>
      </w:r>
      <w:r>
        <w:t>[accessed: 30 March 2016].</w:t>
      </w:r>
    </w:p>
    <w:p w:rsidR="00F467DD" w:rsidRPr="00B70FE3" w:rsidRDefault="00F467DD" w:rsidP="00F467DD">
      <w:pPr>
        <w:pStyle w:val="Parabeforeanother"/>
      </w:pPr>
      <w:r>
        <w:t xml:space="preserve">Gov.uk (2016), </w:t>
      </w:r>
      <w:hyperlink r:id="rId67" w:history="1">
        <w:r w:rsidRPr="00AC385F">
          <w:rPr>
            <w:rStyle w:val="Hyperlink"/>
            <w:i/>
            <w:lang w:val="en"/>
          </w:rPr>
          <w:t>Recruitment and disabled people</w:t>
        </w:r>
      </w:hyperlink>
      <w:r w:rsidR="00AC385F">
        <w:rPr>
          <w:lang w:val="en"/>
        </w:rPr>
        <w:t xml:space="preserve">. [ONLINE] </w:t>
      </w:r>
      <w:r>
        <w:rPr>
          <w:lang w:val="en"/>
        </w:rPr>
        <w:t xml:space="preserve">[accessed: 23 September 2016]. </w:t>
      </w:r>
    </w:p>
    <w:p w:rsidR="00F467DD" w:rsidRDefault="00F467DD" w:rsidP="00F467DD">
      <w:pPr>
        <w:pStyle w:val="Parabeforeanother"/>
      </w:pPr>
      <w:r>
        <w:t xml:space="preserve">Gow, L. and Middlemiss, S. (2011), ‘Equal pay legislation and its impact on the gender pay gap’, </w:t>
      </w:r>
      <w:r w:rsidRPr="00C045E7">
        <w:rPr>
          <w:i/>
        </w:rPr>
        <w:t>International Journal of Discrimination and the Law</w:t>
      </w:r>
      <w:r>
        <w:t>, 11(4), pp. 164–86.</w:t>
      </w:r>
    </w:p>
    <w:p w:rsidR="00F467DD" w:rsidRDefault="00F467DD" w:rsidP="00F467DD">
      <w:pPr>
        <w:pStyle w:val="Parabeforeanother"/>
      </w:pPr>
      <w:r>
        <w:t>Heath, A. and Cheung, S.Y. (2006), ‘</w:t>
      </w:r>
      <w:hyperlink r:id="rId68" w:history="1">
        <w:r w:rsidRPr="00AC385F">
          <w:rPr>
            <w:rStyle w:val="Hyperlink"/>
          </w:rPr>
          <w:t>Ethnic Penalties in the Labour Market: Employers and Discrimination</w:t>
        </w:r>
      </w:hyperlink>
      <w:r>
        <w:t>’, Research Report 341. D</w:t>
      </w:r>
      <w:r w:rsidR="00AC385F">
        <w:t>epartment for Work and Pensions</w:t>
      </w:r>
      <w:r>
        <w:t xml:space="preserve"> [accessed: 7 December 2016]. </w:t>
      </w:r>
    </w:p>
    <w:p w:rsidR="00F467DD" w:rsidRDefault="00F467DD" w:rsidP="00F467DD">
      <w:pPr>
        <w:pStyle w:val="Parabeforeanother"/>
      </w:pPr>
      <w:r>
        <w:t xml:space="preserve">Hensvik, L. (2014), ‘Manager impartiality: Worker-firm matching and the gender wage gap’, </w:t>
      </w:r>
      <w:r w:rsidRPr="00C045E7">
        <w:rPr>
          <w:i/>
        </w:rPr>
        <w:t xml:space="preserve">Industrial </w:t>
      </w:r>
      <w:r>
        <w:rPr>
          <w:i/>
        </w:rPr>
        <w:t xml:space="preserve">and </w:t>
      </w:r>
      <w:r w:rsidRPr="00C045E7">
        <w:rPr>
          <w:i/>
        </w:rPr>
        <w:t>Labor Relations Review</w:t>
      </w:r>
      <w:r>
        <w:t>, 67(2), pp. 395–421.</w:t>
      </w:r>
    </w:p>
    <w:p w:rsidR="00F467DD" w:rsidRDefault="00F467DD" w:rsidP="00F467DD">
      <w:pPr>
        <w:pStyle w:val="Parabeforeanother"/>
        <w:rPr>
          <w:color w:val="003366"/>
          <w:sz w:val="19"/>
          <w:szCs w:val="19"/>
        </w:rPr>
      </w:pPr>
      <w:r w:rsidRPr="002C633B">
        <w:t xml:space="preserve">Hills, J., Brewer, M., Jenkins, S., Lister, R., Lupton, R., Machin, S., Mills, C., Modood, T., Rees, </w:t>
      </w:r>
      <w:r>
        <w:t>T.</w:t>
      </w:r>
      <w:r w:rsidRPr="002C633B">
        <w:t xml:space="preserve"> and Riddell, S.</w:t>
      </w:r>
      <w:r>
        <w:t xml:space="preserve"> </w:t>
      </w:r>
      <w:r w:rsidRPr="002C633B">
        <w:t>(2010)</w:t>
      </w:r>
      <w:r>
        <w:t>,</w:t>
      </w:r>
      <w:r w:rsidRPr="002C633B">
        <w:t xml:space="preserve"> </w:t>
      </w:r>
      <w:r>
        <w:t>‘</w:t>
      </w:r>
      <w:r w:rsidRPr="002C633B">
        <w:t>A</w:t>
      </w:r>
      <w:hyperlink r:id="rId69" w:history="1">
        <w:r w:rsidRPr="00AC385F">
          <w:rPr>
            <w:rStyle w:val="Hyperlink"/>
          </w:rPr>
          <w:t>n anatomy of economic inequality in the UK: Report of the National Equality Panel</w:t>
        </w:r>
      </w:hyperlink>
      <w:r>
        <w:t>’</w:t>
      </w:r>
      <w:r w:rsidR="00AC385F">
        <w:t>. G</w:t>
      </w:r>
      <w:r w:rsidRPr="002C633B">
        <w:t xml:space="preserve">overnment Equalities Office. </w:t>
      </w:r>
      <w:r w:rsidRPr="00AC385F">
        <w:rPr>
          <w:sz w:val="19"/>
          <w:szCs w:val="19"/>
        </w:rPr>
        <w:t>[</w:t>
      </w:r>
      <w:r w:rsidRPr="00AC385F">
        <w:rPr>
          <w:rStyle w:val="Hyperlink"/>
          <w:color w:val="auto"/>
          <w:u w:val="none"/>
        </w:rPr>
        <w:t>accessed: 7 December 2016].</w:t>
      </w:r>
      <w:r w:rsidRPr="00AC385F">
        <w:rPr>
          <w:sz w:val="19"/>
          <w:szCs w:val="19"/>
        </w:rPr>
        <w:t xml:space="preserve"> </w:t>
      </w:r>
    </w:p>
    <w:p w:rsidR="00F467DD" w:rsidRDefault="00F467DD" w:rsidP="00AC385F">
      <w:pPr>
        <w:pStyle w:val="Parabeforeanother"/>
      </w:pPr>
      <w:r w:rsidRPr="00A212DF">
        <w:t>Hoque, K., Bacon, N. and Parr, D</w:t>
      </w:r>
      <w:r>
        <w:t>.</w:t>
      </w:r>
      <w:r w:rsidRPr="00A212DF">
        <w:t xml:space="preserve"> (2014)</w:t>
      </w:r>
      <w:r>
        <w:t>,</w:t>
      </w:r>
      <w:r w:rsidRPr="00A212DF">
        <w:t xml:space="preserve"> </w:t>
      </w:r>
      <w:r>
        <w:t xml:space="preserve">‘Employer disability practice in Britain: assessing the impact of the Positive About Disabled People ‘Two Ticks’ symbol’, </w:t>
      </w:r>
      <w:r w:rsidRPr="00C045E7">
        <w:rPr>
          <w:i/>
        </w:rPr>
        <w:t xml:space="preserve">Work Employment </w:t>
      </w:r>
      <w:r>
        <w:rPr>
          <w:i/>
        </w:rPr>
        <w:t xml:space="preserve">and </w:t>
      </w:r>
      <w:r w:rsidRPr="00C045E7">
        <w:rPr>
          <w:i/>
        </w:rPr>
        <w:t>Society</w:t>
      </w:r>
      <w:r>
        <w:rPr>
          <w:i/>
        </w:rPr>
        <w:t>,</w:t>
      </w:r>
      <w:r>
        <w:t xml:space="preserve"> 28(3), pp. 430–51.</w:t>
      </w:r>
    </w:p>
    <w:p w:rsidR="00F467DD" w:rsidRPr="00D23351" w:rsidRDefault="00F467DD" w:rsidP="00F467DD">
      <w:pPr>
        <w:pStyle w:val="Parabeforeanother"/>
      </w:pPr>
      <w:r w:rsidRPr="00B24709">
        <w:t>Hutchinson, J</w:t>
      </w:r>
      <w:r>
        <w:t>.,</w:t>
      </w:r>
      <w:r w:rsidRPr="00B24709">
        <w:t xml:space="preserve"> Rolfe, H</w:t>
      </w:r>
      <w:r>
        <w:t>.,</w:t>
      </w:r>
      <w:r w:rsidRPr="00B24709">
        <w:t xml:space="preserve"> Moore, N</w:t>
      </w:r>
      <w:r>
        <w:t>.,</w:t>
      </w:r>
      <w:r w:rsidRPr="00B24709">
        <w:t xml:space="preserve"> Bysshe, S</w:t>
      </w:r>
      <w:r>
        <w:t>., and</w:t>
      </w:r>
      <w:r w:rsidRPr="00B24709">
        <w:t xml:space="preserve"> Bentley, K</w:t>
      </w:r>
      <w:r>
        <w:t>.</w:t>
      </w:r>
      <w:r w:rsidRPr="00B24709">
        <w:t xml:space="preserve"> (2011)</w:t>
      </w:r>
      <w:r>
        <w:t>,</w:t>
      </w:r>
      <w:r w:rsidRPr="00B24709">
        <w:t xml:space="preserve"> </w:t>
      </w:r>
      <w:r>
        <w:t>‘</w:t>
      </w:r>
      <w:hyperlink r:id="rId70" w:history="1">
        <w:r w:rsidRPr="00AC385F">
          <w:rPr>
            <w:rStyle w:val="Hyperlink"/>
          </w:rPr>
          <w:t>All things being equal? Equality and Diversity in careers education, information, advice and guidance</w:t>
        </w:r>
      </w:hyperlink>
      <w:r>
        <w:t>’</w:t>
      </w:r>
      <w:r w:rsidRPr="002C633B">
        <w:t xml:space="preserve">, </w:t>
      </w:r>
      <w:r w:rsidRPr="00D23351">
        <w:t>Research</w:t>
      </w:r>
      <w:r>
        <w:rPr>
          <w:i/>
        </w:rPr>
        <w:t xml:space="preserve"> </w:t>
      </w:r>
      <w:r>
        <w:t>R</w:t>
      </w:r>
      <w:r w:rsidRPr="00B24709">
        <w:t>eport 7</w:t>
      </w:r>
      <w:r>
        <w:t>1.</w:t>
      </w:r>
      <w:r w:rsidRPr="00B24709">
        <w:t xml:space="preserve"> Equal</w:t>
      </w:r>
      <w:r w:rsidR="00AC385F">
        <w:t>ity and Human Rights Commission</w:t>
      </w:r>
      <w:r w:rsidRPr="00D23351">
        <w:t xml:space="preserve"> [accessed</w:t>
      </w:r>
      <w:r>
        <w:t>:</w:t>
      </w:r>
      <w:r w:rsidRPr="00D23351">
        <w:t xml:space="preserve"> 7 December 2016]. </w:t>
      </w:r>
    </w:p>
    <w:p w:rsidR="00F467DD" w:rsidRDefault="00F467DD" w:rsidP="00F467DD">
      <w:pPr>
        <w:pStyle w:val="Parabeforeanother"/>
      </w:pPr>
      <w:r>
        <w:t>IDS (2012), ‘</w:t>
      </w:r>
      <w:hyperlink r:id="rId71" w:history="1">
        <w:r w:rsidRPr="00AC385F">
          <w:rPr>
            <w:rStyle w:val="Hyperlink"/>
          </w:rPr>
          <w:t>Equal Pay Cases and Pay Audits: A report for the Government Equalities Office</w:t>
        </w:r>
      </w:hyperlink>
      <w:r>
        <w:t>’</w:t>
      </w:r>
      <w:r w:rsidRPr="0074755A">
        <w:t>.</w:t>
      </w:r>
      <w:r w:rsidR="00AC385F">
        <w:t xml:space="preserve"> Incomes Data Services </w:t>
      </w:r>
      <w:r>
        <w:t xml:space="preserve">[accessed: 7 December 2016]. </w:t>
      </w:r>
    </w:p>
    <w:p w:rsidR="00F467DD" w:rsidRDefault="00F467DD" w:rsidP="00F467DD">
      <w:pPr>
        <w:pStyle w:val="Parabeforeanother"/>
      </w:pPr>
      <w:r>
        <w:t>IES (2014), ‘</w:t>
      </w:r>
      <w:hyperlink r:id="rId72" w:history="1">
        <w:r w:rsidRPr="00AC385F">
          <w:rPr>
            <w:rStyle w:val="Hyperlink"/>
          </w:rPr>
          <w:t>IES Perspectives on HR 2014</w:t>
        </w:r>
      </w:hyperlink>
      <w:r>
        <w:t>’,</w:t>
      </w:r>
      <w:r w:rsidRPr="004D6C92">
        <w:t xml:space="preserve"> Report 504</w:t>
      </w:r>
      <w:r>
        <w:t>. Brighton: Institute for Employment St</w:t>
      </w:r>
      <w:r w:rsidR="00AC385F">
        <w:t xml:space="preserve">udies. ISBN: 978 1 85184 452 4 </w:t>
      </w:r>
      <w:r>
        <w:t xml:space="preserve">[accessed: 7 December 2016]. </w:t>
      </w:r>
    </w:p>
    <w:p w:rsidR="00F467DD" w:rsidRDefault="00F467DD" w:rsidP="00F467DD">
      <w:pPr>
        <w:pStyle w:val="Parabeforeanother"/>
      </w:pPr>
      <w:r>
        <w:lastRenderedPageBreak/>
        <w:t>IFF Research (2015), ‘</w:t>
      </w:r>
      <w:hyperlink r:id="rId73" w:history="1">
        <w:r w:rsidRPr="00AC385F">
          <w:rPr>
            <w:rStyle w:val="Hyperlink"/>
          </w:rPr>
          <w:t>Company Reporting: Gender Pay Data, Prepared for Government Equalities Office</w:t>
        </w:r>
      </w:hyperlink>
      <w:r w:rsidR="00AC385F">
        <w:t xml:space="preserve">’. IFF Research </w:t>
      </w:r>
      <w:r>
        <w:t xml:space="preserve">[accessed: 7 December 2016]. </w:t>
      </w:r>
    </w:p>
    <w:p w:rsidR="00F467DD" w:rsidRPr="00CD7B30" w:rsidRDefault="00F467DD" w:rsidP="004522EC">
      <w:pPr>
        <w:pStyle w:val="Parabeforeanother"/>
      </w:pPr>
      <w:r w:rsidRPr="00CD7B30">
        <w:t>IFS (2014)</w:t>
      </w:r>
      <w:r>
        <w:t>,</w:t>
      </w:r>
      <w:r w:rsidRPr="00CD7B30">
        <w:t xml:space="preserve"> </w:t>
      </w:r>
      <w:r>
        <w:t>‘</w:t>
      </w:r>
      <w:hyperlink r:id="rId74" w:history="1">
        <w:r w:rsidRPr="00AC385F">
          <w:rPr>
            <w:rStyle w:val="Hyperlink"/>
          </w:rPr>
          <w:t>The impact of free early education for 3 year olds in England</w:t>
        </w:r>
      </w:hyperlink>
      <w:r>
        <w:t>’</w:t>
      </w:r>
      <w:r w:rsidRPr="00CD7B30">
        <w:rPr>
          <w:i/>
        </w:rPr>
        <w:t xml:space="preserve">. </w:t>
      </w:r>
      <w:r w:rsidR="00AC385F">
        <w:t xml:space="preserve">Institute of Fiscal Studies </w:t>
      </w:r>
      <w:r>
        <w:t xml:space="preserve">[accessed: 7 December 2016]. </w:t>
      </w:r>
    </w:p>
    <w:p w:rsidR="00F467DD" w:rsidRPr="00B24709" w:rsidRDefault="00F467DD" w:rsidP="00F467DD">
      <w:pPr>
        <w:pStyle w:val="Parabeforeanother"/>
        <w:rPr>
          <w:rStyle w:val="Hyperlink"/>
        </w:rPr>
      </w:pPr>
      <w:r w:rsidRPr="00B24709">
        <w:t>Isaac, C., Lee, B. and Carnes, M.</w:t>
      </w:r>
      <w:r>
        <w:t xml:space="preserve"> (2009),</w:t>
      </w:r>
      <w:r w:rsidRPr="00B24709">
        <w:rPr>
          <w:i/>
        </w:rPr>
        <w:t xml:space="preserve"> </w:t>
      </w:r>
      <w:r>
        <w:t>‘</w:t>
      </w:r>
      <w:r w:rsidRPr="002C633B">
        <w:t>Interventions that affect gender bias in hiring: a systematic review</w:t>
      </w:r>
      <w:r>
        <w:t>’,</w:t>
      </w:r>
      <w:r w:rsidRPr="00B24709">
        <w:rPr>
          <w:i/>
        </w:rPr>
        <w:t xml:space="preserve"> </w:t>
      </w:r>
      <w:r w:rsidRPr="002C633B">
        <w:rPr>
          <w:i/>
        </w:rPr>
        <w:t>Academic Medicine</w:t>
      </w:r>
      <w:r w:rsidRPr="00B24709">
        <w:t>, 84</w:t>
      </w:r>
      <w:r>
        <w:t>(10), pp. 1440–46</w:t>
      </w:r>
      <w:r w:rsidRPr="00B24709">
        <w:t xml:space="preserve">. </w:t>
      </w:r>
    </w:p>
    <w:p w:rsidR="00F467DD" w:rsidRDefault="00F467DD" w:rsidP="00F467DD">
      <w:pPr>
        <w:pStyle w:val="Parabeforeanother"/>
      </w:pPr>
      <w:r>
        <w:t>John Lewis (2014), ‘</w:t>
      </w:r>
      <w:r w:rsidRPr="002C633B">
        <w:t>I</w:t>
      </w:r>
      <w:hyperlink r:id="rId75" w:history="1">
        <w:r w:rsidRPr="00AC385F">
          <w:rPr>
            <w:rStyle w:val="Hyperlink"/>
          </w:rPr>
          <w:t>n the hands of our Partners: John Lewis Partnership Plc Annual Report and Accounts 2014</w:t>
        </w:r>
      </w:hyperlink>
      <w:r w:rsidR="00AC385F">
        <w:t xml:space="preserve">’ </w:t>
      </w:r>
      <w:r>
        <w:t>[accessed: 7 December 2016].</w:t>
      </w:r>
    </w:p>
    <w:p w:rsidR="00F467DD" w:rsidRDefault="00F467DD" w:rsidP="00F467DD">
      <w:pPr>
        <w:pStyle w:val="Parabeforeanother"/>
      </w:pPr>
      <w:r w:rsidRPr="00B94CC8">
        <w:t xml:space="preserve">Joshi, </w:t>
      </w:r>
      <w:r>
        <w:t xml:space="preserve">A., </w:t>
      </w:r>
      <w:r w:rsidRPr="00B94CC8">
        <w:t>Son</w:t>
      </w:r>
      <w:r>
        <w:t xml:space="preserve">, J., and </w:t>
      </w:r>
      <w:r w:rsidRPr="00B94CC8">
        <w:t>Roh</w:t>
      </w:r>
      <w:r>
        <w:t xml:space="preserve">, H. </w:t>
      </w:r>
      <w:r w:rsidRPr="00B94CC8">
        <w:t>(2015)</w:t>
      </w:r>
      <w:r>
        <w:t>,</w:t>
      </w:r>
      <w:r w:rsidRPr="00B94CC8">
        <w:t xml:space="preserve"> </w:t>
      </w:r>
      <w:r>
        <w:t>‘</w:t>
      </w:r>
      <w:r w:rsidRPr="002C633B">
        <w:t>When Can Women Close the Gap? A Meta-Analytic Test of Sex Differences in Performance and Rewards</w:t>
      </w:r>
      <w:r>
        <w:t>’,</w:t>
      </w:r>
      <w:r w:rsidRPr="00CB3806">
        <w:t xml:space="preserve"> </w:t>
      </w:r>
      <w:r w:rsidRPr="002C633B">
        <w:rPr>
          <w:i/>
        </w:rPr>
        <w:t>Academy of Management Journal</w:t>
      </w:r>
      <w:r w:rsidRPr="00B94CC8">
        <w:t>, 58</w:t>
      </w:r>
      <w:r>
        <w:t>(</w:t>
      </w:r>
      <w:r w:rsidRPr="00B94CC8">
        <w:t>5</w:t>
      </w:r>
      <w:r>
        <w:t>), pp.</w:t>
      </w:r>
      <w:r w:rsidRPr="00B94CC8">
        <w:t xml:space="preserve"> 1516</w:t>
      </w:r>
      <w:r>
        <w:t>–</w:t>
      </w:r>
      <w:r w:rsidRPr="00B94CC8">
        <w:t>45</w:t>
      </w:r>
      <w:r>
        <w:t>.</w:t>
      </w:r>
    </w:p>
    <w:p w:rsidR="00F467DD" w:rsidRDefault="00F467DD" w:rsidP="00F467DD">
      <w:pPr>
        <w:pStyle w:val="Parabeforeanother"/>
      </w:pPr>
      <w:r>
        <w:t>Kaas, L. (2009), ‘Does Equal Pay Legislation Reduce Labour Market Inequality?’,</w:t>
      </w:r>
      <w:r w:rsidRPr="002649BF">
        <w:rPr>
          <w:i/>
        </w:rPr>
        <w:t xml:space="preserve"> The Scandinavian Journal of Economics</w:t>
      </w:r>
      <w:r>
        <w:t>,</w:t>
      </w:r>
      <w:r w:rsidRPr="002649BF">
        <w:t xml:space="preserve"> </w:t>
      </w:r>
      <w:r>
        <w:t>111(1), pp. 51–71.</w:t>
      </w:r>
    </w:p>
    <w:p w:rsidR="00F467DD" w:rsidRDefault="00F467DD" w:rsidP="00F467DD">
      <w:pPr>
        <w:pStyle w:val="Parabeforeanother"/>
      </w:pPr>
      <w:r>
        <w:t xml:space="preserve">KPMG (2014), </w:t>
      </w:r>
      <w:hyperlink r:id="rId76" w:history="1">
        <w:r w:rsidRPr="00AC385F">
          <w:rPr>
            <w:rStyle w:val="Hyperlink"/>
            <w:i/>
          </w:rPr>
          <w:t>Press Release:</w:t>
        </w:r>
        <w:r w:rsidRPr="00AC385F">
          <w:rPr>
            <w:rStyle w:val="Hyperlink"/>
          </w:rPr>
          <w:t xml:space="preserve"> </w:t>
        </w:r>
        <w:r w:rsidRPr="00AC385F">
          <w:rPr>
            <w:rStyle w:val="Hyperlink"/>
            <w:i/>
          </w:rPr>
          <w:t>KPMG announces detailed diversity targets and greater staff profile transparency</w:t>
        </w:r>
      </w:hyperlink>
      <w:r w:rsidR="00AC385F">
        <w:t xml:space="preserve">. KPMG. [ONLINE] </w:t>
      </w:r>
      <w:r>
        <w:t>[accessed: 7 October 2015]</w:t>
      </w:r>
    </w:p>
    <w:p w:rsidR="00F467DD" w:rsidRDefault="00F467DD" w:rsidP="00F467DD">
      <w:pPr>
        <w:pStyle w:val="Parabeforeanother"/>
      </w:pPr>
      <w:r w:rsidRPr="00D72909">
        <w:t>Krause,</w:t>
      </w:r>
      <w:r>
        <w:t xml:space="preserve"> A.,</w:t>
      </w:r>
      <w:r w:rsidRPr="00D72909">
        <w:t xml:space="preserve"> Rinne</w:t>
      </w:r>
      <w:r>
        <w:t>, U.</w:t>
      </w:r>
      <w:r w:rsidRPr="00D72909">
        <w:t>, Zimmermann</w:t>
      </w:r>
      <w:r>
        <w:t>, K.</w:t>
      </w:r>
      <w:r w:rsidRPr="00D72909">
        <w:t>, BöschenI</w:t>
      </w:r>
      <w:r>
        <w:t>, I.</w:t>
      </w:r>
      <w:r w:rsidRPr="00D72909">
        <w:t xml:space="preserve">, </w:t>
      </w:r>
      <w:r>
        <w:t xml:space="preserve">and </w:t>
      </w:r>
      <w:r w:rsidRPr="00D72909">
        <w:t>Alt</w:t>
      </w:r>
      <w:r>
        <w:t>, R.</w:t>
      </w:r>
      <w:r w:rsidRPr="00D72909">
        <w:t xml:space="preserve"> (2012), </w:t>
      </w:r>
      <w:r>
        <w:t>‘</w:t>
      </w:r>
      <w:hyperlink r:id="rId77" w:history="1">
        <w:r w:rsidRPr="00AC385F">
          <w:rPr>
            <w:rStyle w:val="Hyperlink"/>
          </w:rPr>
          <w:t>Pilot Project: Anonymized Application procedure – final report’</w:t>
        </w:r>
      </w:hyperlink>
      <w:r>
        <w:t>,</w:t>
      </w:r>
      <w:r w:rsidRPr="00D72909">
        <w:t xml:space="preserve"> IZA Research Report 44. Bonn: Institute for the Study of Labor (IZA)</w:t>
      </w:r>
      <w:r w:rsidR="00AC385F">
        <w:t xml:space="preserve"> </w:t>
      </w:r>
      <w:r>
        <w:t xml:space="preserve">[accessed: 7 December 2016]. </w:t>
      </w:r>
    </w:p>
    <w:p w:rsidR="00F467DD" w:rsidRDefault="00F467DD" w:rsidP="00F467DD">
      <w:pPr>
        <w:pStyle w:val="Parabeforeanother"/>
      </w:pPr>
      <w:r>
        <w:t>London Economics (2015), ‘</w:t>
      </w:r>
      <w:hyperlink r:id="rId78" w:history="1">
        <w:r w:rsidRPr="00AC385F">
          <w:rPr>
            <w:rStyle w:val="Hyperlink"/>
          </w:rPr>
          <w:t>The earnings and employment returns to A levels: A report to the Department for Education</w:t>
        </w:r>
      </w:hyperlink>
      <w:r w:rsidR="00AC385F">
        <w:t xml:space="preserve">’ </w:t>
      </w:r>
      <w:r>
        <w:t xml:space="preserve">[accessed: 7 December 2016].  </w:t>
      </w:r>
    </w:p>
    <w:p w:rsidR="00F467DD" w:rsidRDefault="00F467DD" w:rsidP="00F467DD">
      <w:pPr>
        <w:pStyle w:val="Parabeforeanother"/>
      </w:pPr>
      <w:r>
        <w:t>Longhi, S., Nicoletti, C. and Platt, L. (2009), ‘</w:t>
      </w:r>
      <w:hyperlink r:id="rId79" w:history="1">
        <w:r w:rsidRPr="00AC385F">
          <w:rPr>
            <w:rStyle w:val="Hyperlink"/>
          </w:rPr>
          <w:t>Decomposing wage gaps across the pay distribution: Investigating inequalities of ethno religious groups and disabled people</w:t>
        </w:r>
      </w:hyperlink>
      <w:r>
        <w:t xml:space="preserve">’, Institute for Social and Economic Research Working Paper Series, No. </w:t>
      </w:r>
      <w:r w:rsidRPr="00230F98">
        <w:t>2009-31</w:t>
      </w:r>
      <w:r>
        <w:t>, November</w:t>
      </w:r>
      <w:r w:rsidR="00AC385F">
        <w:t xml:space="preserve"> </w:t>
      </w:r>
      <w:r>
        <w:t>[accessed: 9 March 2017]</w:t>
      </w:r>
    </w:p>
    <w:p w:rsidR="00F467DD" w:rsidRDefault="00F467DD" w:rsidP="00F467DD">
      <w:pPr>
        <w:pStyle w:val="Parabeforeanother"/>
      </w:pPr>
      <w:r>
        <w:t xml:space="preserve">Longhi, S., Nicoletti, C. and Platt, L. (2012), ‘Interpreting Wage Gaps of Disabled Men: The Roles of Productivity and of Discrimination’, </w:t>
      </w:r>
      <w:r w:rsidRPr="002649BF">
        <w:rPr>
          <w:i/>
        </w:rPr>
        <w:t>Southern Economic Journal</w:t>
      </w:r>
      <w:r>
        <w:t xml:space="preserve">, 78(3), pp. 931–53. </w:t>
      </w:r>
    </w:p>
    <w:p w:rsidR="00F467DD" w:rsidRDefault="00F467DD" w:rsidP="00F467DD">
      <w:pPr>
        <w:pStyle w:val="Parabeforeanother"/>
      </w:pPr>
      <w:r>
        <w:t xml:space="preserve">Longhi, S., Nicoletti, C. and Platt, L. (2013), ‘Explained and unexplained wage gaps across the main ethno-religious groups in Great Britain’, </w:t>
      </w:r>
      <w:r w:rsidRPr="002649BF">
        <w:rPr>
          <w:i/>
        </w:rPr>
        <w:t>Oxford Economic Papers</w:t>
      </w:r>
      <w:r>
        <w:t>, 65(2), pp. 471–93.</w:t>
      </w:r>
    </w:p>
    <w:p w:rsidR="00F467DD" w:rsidRDefault="00F467DD" w:rsidP="00F467DD">
      <w:pPr>
        <w:pStyle w:val="Parabeforeanother"/>
      </w:pPr>
      <w:r>
        <w:t>Longhi, S. and Platt, L. (2008), ‘</w:t>
      </w:r>
      <w:hyperlink r:id="rId80" w:history="1">
        <w:r w:rsidRPr="00AC385F">
          <w:rPr>
            <w:rStyle w:val="Hyperlink"/>
          </w:rPr>
          <w:t>Pay Gaps Across Equality Areas</w:t>
        </w:r>
      </w:hyperlink>
      <w:r>
        <w:t>’, Research Report 9. Manchester: Equali</w:t>
      </w:r>
      <w:r w:rsidR="00AC385F">
        <w:t xml:space="preserve">ty and Human Rights Commission </w:t>
      </w:r>
      <w:r>
        <w:t xml:space="preserve">[accessed: 7 December 2016]. </w:t>
      </w:r>
    </w:p>
    <w:p w:rsidR="00F467DD" w:rsidRDefault="00F467DD" w:rsidP="00F467DD">
      <w:pPr>
        <w:pStyle w:val="Parabeforeanother"/>
      </w:pPr>
      <w:r>
        <w:lastRenderedPageBreak/>
        <w:t>LPC [Low Pay Commission]. (2015), ‘</w:t>
      </w:r>
      <w:hyperlink r:id="rId81" w:history="1">
        <w:r w:rsidRPr="00AC385F">
          <w:rPr>
            <w:rStyle w:val="Hyperlink"/>
          </w:rPr>
          <w:t>National Minimum Wage: Low Pay Commission Report 2015</w:t>
        </w:r>
      </w:hyperlink>
      <w:r w:rsidR="00AC385F">
        <w:t xml:space="preserve">’ </w:t>
      </w:r>
      <w:r>
        <w:t xml:space="preserve">[accessed: 7 December 2016]. </w:t>
      </w:r>
    </w:p>
    <w:p w:rsidR="00F467DD" w:rsidRDefault="00F467DD" w:rsidP="00F467DD">
      <w:pPr>
        <w:pStyle w:val="Parabeforeanother"/>
      </w:pPr>
      <w:r>
        <w:t xml:space="preserve">Manning, A. and Petrongolo, B. (2008), ‘The part-time pay penalty for women in Britain’, </w:t>
      </w:r>
      <w:r w:rsidRPr="002649BF">
        <w:rPr>
          <w:i/>
        </w:rPr>
        <w:t>The Economic Journal</w:t>
      </w:r>
      <w:r>
        <w:t>, 118(526), pp. F28–F51.</w:t>
      </w:r>
    </w:p>
    <w:p w:rsidR="00F467DD" w:rsidRDefault="00F467DD" w:rsidP="00F467DD">
      <w:pPr>
        <w:pStyle w:val="Parabeforeanother"/>
      </w:pPr>
      <w:r>
        <w:t>Meager, N. and Higgins, T. (2011), ‘</w:t>
      </w:r>
      <w:hyperlink r:id="rId82" w:history="1">
        <w:r w:rsidRPr="00AC385F">
          <w:rPr>
            <w:rStyle w:val="Hyperlink"/>
          </w:rPr>
          <w:t>Disability and Skills in a Changing Economy</w:t>
        </w:r>
      </w:hyperlink>
      <w:r>
        <w:t>’, Briefing Paper Series</w:t>
      </w:r>
      <w:r w:rsidRPr="00103D84">
        <w:t>.</w:t>
      </w:r>
      <w:r>
        <w:t xml:space="preserve"> London: UK Commission for E</w:t>
      </w:r>
      <w:r w:rsidR="00AC385F">
        <w:t xml:space="preserve">mployment and Skills </w:t>
      </w:r>
      <w:r>
        <w:t>[accessed: 7 December 2016].</w:t>
      </w:r>
    </w:p>
    <w:p w:rsidR="00F467DD" w:rsidRDefault="00F467DD" w:rsidP="00F467DD">
      <w:pPr>
        <w:pStyle w:val="Parabeforeanother"/>
      </w:pPr>
      <w:r>
        <w:t>Menino, T. (2013), ‘</w:t>
      </w:r>
      <w:hyperlink r:id="rId83" w:history="1">
        <w:r w:rsidRPr="00AC385F">
          <w:rPr>
            <w:rStyle w:val="Hyperlink"/>
          </w:rPr>
          <w:t>Boston – Closing the Wage Gap:</w:t>
        </w:r>
        <w:r w:rsidRPr="00AC385F">
          <w:rPr>
            <w:rStyle w:val="Hyperlink"/>
            <w:i/>
          </w:rPr>
          <w:t xml:space="preserve"> </w:t>
        </w:r>
        <w:r w:rsidRPr="00AC385F">
          <w:rPr>
            <w:rStyle w:val="Hyperlink"/>
          </w:rPr>
          <w:t>Becoming the Best City in America for Working Women</w:t>
        </w:r>
      </w:hyperlink>
      <w:r>
        <w:t>’. City</w:t>
      </w:r>
      <w:r w:rsidR="00AC385F">
        <w:t xml:space="preserve"> of Boston, Office of the Mayor</w:t>
      </w:r>
      <w:r>
        <w:t xml:space="preserve"> [accessed: 7 December 2016].</w:t>
      </w:r>
    </w:p>
    <w:p w:rsidR="00F467DD" w:rsidRDefault="00F467DD" w:rsidP="00F467DD">
      <w:pPr>
        <w:pStyle w:val="Parabeforeanother"/>
      </w:pPr>
      <w:r>
        <w:t xml:space="preserve">Metcalf, D. (2008), ‘Why has the British National Minimum Wage had Little or No Impact on Employment?’ </w:t>
      </w:r>
      <w:r>
        <w:rPr>
          <w:i/>
        </w:rPr>
        <w:t xml:space="preserve">Journal of Industrial Relations, </w:t>
      </w:r>
      <w:r>
        <w:t>50(3), pp. 489–512.</w:t>
      </w:r>
    </w:p>
    <w:p w:rsidR="00F467DD" w:rsidRDefault="00F467DD" w:rsidP="00F467DD">
      <w:pPr>
        <w:pStyle w:val="Parabeforeanother"/>
      </w:pPr>
      <w:r>
        <w:t>Metcalf, H. (2009), ‘</w:t>
      </w:r>
      <w:hyperlink r:id="rId84" w:history="1">
        <w:r w:rsidRPr="00AC385F">
          <w:rPr>
            <w:rStyle w:val="Hyperlink"/>
          </w:rPr>
          <w:t>Pay gaps across the equality strands: a review</w:t>
        </w:r>
      </w:hyperlink>
      <w:r>
        <w:t>’, Research Report 14. Manchester: Equali</w:t>
      </w:r>
      <w:r w:rsidR="00AC385F">
        <w:t xml:space="preserve">ty and Human Rights Commission </w:t>
      </w:r>
      <w:r>
        <w:t xml:space="preserve">[accessed: 7 December 2016]. </w:t>
      </w:r>
    </w:p>
    <w:p w:rsidR="00F467DD" w:rsidRDefault="00F467DD" w:rsidP="00F467DD">
      <w:pPr>
        <w:pStyle w:val="Parabeforeanother"/>
      </w:pPr>
      <w:r>
        <w:t>Mitchell, M., Beninger, K., Rahim, N. and Morrell, G. (2014), ‘</w:t>
      </w:r>
      <w:hyperlink r:id="rId85" w:history="1">
        <w:r w:rsidRPr="00AC385F">
          <w:rPr>
            <w:rStyle w:val="Hyperlink"/>
          </w:rPr>
          <w:t>Review of the Public Sector Equality Duty (PSED) in Wales</w:t>
        </w:r>
      </w:hyperlink>
      <w:r>
        <w:t>’</w:t>
      </w:r>
      <w:r w:rsidRPr="00E5285C">
        <w:t>.</w:t>
      </w:r>
      <w:r>
        <w:t xml:space="preserve"> NatCen Social Research for the Equality and</w:t>
      </w:r>
      <w:r w:rsidR="00AC385F">
        <w:t xml:space="preserve"> Human Rights Commission Wales </w:t>
      </w:r>
      <w:r>
        <w:t xml:space="preserve">[accessed: 7 December 2016]. </w:t>
      </w:r>
    </w:p>
    <w:p w:rsidR="00F467DD" w:rsidRDefault="00F467DD" w:rsidP="00F467DD">
      <w:pPr>
        <w:pStyle w:val="Parabeforeanother"/>
      </w:pPr>
      <w:r>
        <w:t xml:space="preserve">Moore, S. and Tailby, S. (2015), ‘The changing face of employment relations: equality and diversity’, </w:t>
      </w:r>
      <w:r w:rsidRPr="001154E4">
        <w:rPr>
          <w:i/>
        </w:rPr>
        <w:t>Employee Relations: The International Journal</w:t>
      </w:r>
      <w:r>
        <w:t>,</w:t>
      </w:r>
      <w:r w:rsidR="00370580">
        <w:t xml:space="preserve"> 37(6), pp. 507-</w:t>
      </w:r>
      <w:r>
        <w:t>19.</w:t>
      </w:r>
    </w:p>
    <w:p w:rsidR="00F467DD" w:rsidRDefault="00F467DD" w:rsidP="00F467DD">
      <w:pPr>
        <w:pStyle w:val="Parabeforeanother"/>
      </w:pPr>
      <w:r w:rsidRPr="0021290C">
        <w:t>Moss, P.</w:t>
      </w:r>
      <w:r>
        <w:t xml:space="preserve"> (ed.)</w:t>
      </w:r>
      <w:r w:rsidRPr="0021290C">
        <w:t xml:space="preserve"> </w:t>
      </w:r>
      <w:r>
        <w:t>(2012), ‘</w:t>
      </w:r>
      <w:r w:rsidRPr="00004134">
        <w:t>I</w:t>
      </w:r>
      <w:hyperlink r:id="rId86" w:history="1">
        <w:r w:rsidRPr="00AC385F">
          <w:rPr>
            <w:rStyle w:val="Hyperlink"/>
          </w:rPr>
          <w:t>nternational Review of Leave Policies and Related Research 2012</w:t>
        </w:r>
      </w:hyperlink>
      <w:r>
        <w:t>’</w:t>
      </w:r>
      <w:r w:rsidRPr="0021290C">
        <w:t>.</w:t>
      </w:r>
      <w:r>
        <w:t xml:space="preserve"> International Network on Leave Policies and Research.</w:t>
      </w:r>
      <w:r w:rsidRPr="0021290C">
        <w:t xml:space="preserve"> Institute of Education</w:t>
      </w:r>
      <w:r>
        <w:t>,</w:t>
      </w:r>
      <w:r w:rsidR="00AC385F">
        <w:t xml:space="preserve"> University of London </w:t>
      </w:r>
      <w:r>
        <w:t>[accessed: 7 December 2016].</w:t>
      </w:r>
    </w:p>
    <w:p w:rsidR="00F467DD" w:rsidRDefault="00F467DD" w:rsidP="00F467DD">
      <w:pPr>
        <w:pStyle w:val="Parabeforeanother"/>
      </w:pPr>
      <w:r>
        <w:t>NAO [National Audit Office] (2008), ‘</w:t>
      </w:r>
      <w:hyperlink r:id="rId87" w:history="1">
        <w:r w:rsidRPr="00AC385F">
          <w:rPr>
            <w:rStyle w:val="Hyperlink"/>
          </w:rPr>
          <w:t>Increasing employment rates for ethnic minorities</w:t>
        </w:r>
      </w:hyperlink>
      <w:r>
        <w:t>’. Department for Work and P</w:t>
      </w:r>
      <w:r w:rsidR="00AC385F">
        <w:t xml:space="preserve">ensions. National Audit Office </w:t>
      </w:r>
      <w:r>
        <w:t>[accessed: 7 December 2016].</w:t>
      </w:r>
    </w:p>
    <w:p w:rsidR="00EB4E8D" w:rsidRDefault="00EB4E8D" w:rsidP="00F467DD">
      <w:pPr>
        <w:pStyle w:val="Parabeforeanother"/>
      </w:pPr>
      <w:r>
        <w:t>National Childbirth Trust (2014), ‘</w:t>
      </w:r>
      <w:hyperlink r:id="rId88" w:history="1">
        <w:r w:rsidRPr="00AC385F">
          <w:rPr>
            <w:rStyle w:val="Hyperlink"/>
          </w:rPr>
          <w:t>Parental Leave Survey</w:t>
        </w:r>
      </w:hyperlink>
      <w:r w:rsidR="00771AB6">
        <w:t xml:space="preserve">’. Survation </w:t>
      </w:r>
      <w:r>
        <w:t>[accessed</w:t>
      </w:r>
      <w:r w:rsidR="00C708D6">
        <w:t>:</w:t>
      </w:r>
      <w:r>
        <w:t xml:space="preserve"> 15 May 2017]</w:t>
      </w:r>
    </w:p>
    <w:p w:rsidR="00F467DD" w:rsidRDefault="00F467DD" w:rsidP="00F467DD">
      <w:pPr>
        <w:pStyle w:val="Parabeforeanother"/>
      </w:pPr>
      <w:r w:rsidRPr="00393526">
        <w:t>Neub</w:t>
      </w:r>
      <w:r>
        <w:t>u</w:t>
      </w:r>
      <w:r w:rsidRPr="00393526">
        <w:t>rger, J., Joshi, H. and Dex, S. (20</w:t>
      </w:r>
      <w:r>
        <w:t>1</w:t>
      </w:r>
      <w:r w:rsidRPr="00393526">
        <w:t>1)</w:t>
      </w:r>
      <w:r>
        <w:t>,</w:t>
      </w:r>
      <w:r w:rsidRPr="00393526">
        <w:t xml:space="preserve"> </w:t>
      </w:r>
      <w:r>
        <w:t>‘</w:t>
      </w:r>
      <w:hyperlink r:id="rId89" w:history="1">
        <w:r w:rsidRPr="00771AB6">
          <w:rPr>
            <w:rStyle w:val="Hyperlink"/>
          </w:rPr>
          <w:t>Part-time working and pay among Millennium Cohort Study mothers</w:t>
        </w:r>
      </w:hyperlink>
      <w:r>
        <w:t>’,</w:t>
      </w:r>
      <w:r w:rsidRPr="00393526">
        <w:t xml:space="preserve"> CLS</w:t>
      </w:r>
      <w:r>
        <w:t xml:space="preserve"> Cohort Studies</w:t>
      </w:r>
      <w:r w:rsidRPr="00393526">
        <w:t xml:space="preserve"> </w:t>
      </w:r>
      <w:r>
        <w:t>W</w:t>
      </w:r>
      <w:r w:rsidRPr="00393526">
        <w:t>orking Paper 2011/12. London</w:t>
      </w:r>
      <w:r>
        <w:t>:</w:t>
      </w:r>
      <w:r w:rsidRPr="00393526">
        <w:t xml:space="preserve"> </w:t>
      </w:r>
      <w:r>
        <w:t xml:space="preserve">University of London, </w:t>
      </w:r>
      <w:r w:rsidRPr="00393526">
        <w:t>Centre for Longitudinal Studies</w:t>
      </w:r>
      <w:r w:rsidR="00771AB6">
        <w:t xml:space="preserve"> </w:t>
      </w:r>
      <w:r>
        <w:t xml:space="preserve">[accessed: 7 December 2016]. </w:t>
      </w:r>
    </w:p>
    <w:p w:rsidR="00F467DD" w:rsidRDefault="00F467DD" w:rsidP="00F467DD">
      <w:pPr>
        <w:pStyle w:val="Parabeforeanother"/>
      </w:pPr>
      <w:r>
        <w:lastRenderedPageBreak/>
        <w:t>Newton, B. and Williams, J. (2013), ‘</w:t>
      </w:r>
      <w:hyperlink r:id="rId90" w:history="1">
        <w:r w:rsidRPr="00771AB6">
          <w:rPr>
            <w:rStyle w:val="Hyperlink"/>
          </w:rPr>
          <w:t>Under-representation by gender and race in Apprenticeships: Research summary</w:t>
        </w:r>
      </w:hyperlink>
      <w:r>
        <w:t>’, Research Paper 18. In</w:t>
      </w:r>
      <w:r w:rsidR="00771AB6">
        <w:t xml:space="preserve">stitute for Employment Studies </w:t>
      </w:r>
      <w:r>
        <w:t xml:space="preserve">[accessed: 7 December 2016] </w:t>
      </w:r>
    </w:p>
    <w:p w:rsidR="00F467DD" w:rsidRDefault="00F467DD" w:rsidP="00F467DD">
      <w:pPr>
        <w:pStyle w:val="Parabeforeanother"/>
      </w:pPr>
      <w:r>
        <w:t>ODI [Office for Disability Issues] (2011), ‘</w:t>
      </w:r>
      <w:hyperlink r:id="rId91" w:history="1">
        <w:r w:rsidRPr="00771AB6">
          <w:rPr>
            <w:rStyle w:val="Hyperlink"/>
          </w:rPr>
          <w:t>Equality Act 2010 Guidance</w:t>
        </w:r>
      </w:hyperlink>
      <w:r>
        <w:t>’. Office for Di</w:t>
      </w:r>
      <w:r w:rsidR="00771AB6">
        <w:t xml:space="preserve">sability Issues, HM Government </w:t>
      </w:r>
      <w:r>
        <w:t xml:space="preserve">[accessed: 7 December 2016]. </w:t>
      </w:r>
    </w:p>
    <w:p w:rsidR="00F467DD" w:rsidRPr="00E24437" w:rsidRDefault="00F467DD" w:rsidP="00F467DD">
      <w:pPr>
        <w:pStyle w:val="Parabeforeanother"/>
      </w:pPr>
      <w:r>
        <w:t>Ofsted (2015), ‘</w:t>
      </w:r>
      <w:hyperlink r:id="rId92" w:history="1">
        <w:r w:rsidRPr="00771AB6">
          <w:rPr>
            <w:rStyle w:val="Hyperlink"/>
          </w:rPr>
          <w:t>A-level subject take up: Numbers and proportions of girls and boys studying A-level subjects in England</w:t>
        </w:r>
      </w:hyperlink>
      <w:r w:rsidR="00771AB6">
        <w:t xml:space="preserve">’ </w:t>
      </w:r>
      <w:r>
        <w:t xml:space="preserve">[accessed: 7 December 2016]. </w:t>
      </w:r>
    </w:p>
    <w:p w:rsidR="00F467DD" w:rsidRDefault="00F467DD" w:rsidP="004522EC">
      <w:pPr>
        <w:pStyle w:val="Parabeforeanother"/>
        <w:rPr>
          <w:i/>
        </w:rPr>
      </w:pPr>
      <w:r>
        <w:t>Olsen, W., Heuvelman, H., Gash, V. and Vandecasteele, L. (2010), ‘</w:t>
      </w:r>
      <w:hyperlink r:id="rId93" w:history="1">
        <w:r w:rsidRPr="00771AB6">
          <w:rPr>
            <w:rStyle w:val="Hyperlink"/>
          </w:rPr>
          <w:t>The Gender Pay Gap in the UK 1995–2007: Part 2 – Policy-related factors offsetting women’s low pay in the UK, 2004–07</w:t>
        </w:r>
      </w:hyperlink>
      <w:r>
        <w:t>’.</w:t>
      </w:r>
      <w:r>
        <w:rPr>
          <w:i/>
        </w:rPr>
        <w:t xml:space="preserve"> </w:t>
      </w:r>
      <w:r w:rsidRPr="00EA4F88">
        <w:t>Government Eq</w:t>
      </w:r>
      <w:r w:rsidR="00771AB6">
        <w:t xml:space="preserve">ualities Office, February 2010 </w:t>
      </w:r>
      <w:r w:rsidRPr="006F15C3">
        <w:t>[accessed: 7 December 2016].</w:t>
      </w:r>
      <w:r>
        <w:rPr>
          <w:i/>
        </w:rPr>
        <w:t xml:space="preserve"> </w:t>
      </w:r>
    </w:p>
    <w:p w:rsidR="00F467DD" w:rsidRDefault="00F467DD" w:rsidP="00F467DD">
      <w:pPr>
        <w:pStyle w:val="Parabeforeanother"/>
      </w:pPr>
      <w:r>
        <w:t xml:space="preserve">ONS (2011), </w:t>
      </w:r>
      <w:hyperlink r:id="rId94" w:history="1">
        <w:r w:rsidRPr="00771AB6">
          <w:rPr>
            <w:rStyle w:val="Hyperlink"/>
            <w:i/>
          </w:rPr>
          <w:t>People with Disabilities in the Labour Market, 2011</w:t>
        </w:r>
      </w:hyperlink>
      <w:r>
        <w:t>.</w:t>
      </w:r>
      <w:r w:rsidRPr="001154E4">
        <w:rPr>
          <w:i/>
        </w:rPr>
        <w:t xml:space="preserve"> </w:t>
      </w:r>
      <w:r w:rsidRPr="006F15C3">
        <w:t>Office for National Statistics</w:t>
      </w:r>
      <w:r w:rsidRPr="00030536">
        <w:t>.</w:t>
      </w:r>
      <w:r w:rsidR="00771AB6">
        <w:t xml:space="preserve"> [ONLINE] </w:t>
      </w:r>
      <w:r>
        <w:t>[accessed: 7 December 2016].</w:t>
      </w:r>
    </w:p>
    <w:p w:rsidR="00F467DD" w:rsidRDefault="00F467DD" w:rsidP="00F467DD">
      <w:pPr>
        <w:pStyle w:val="Parabeforeanother"/>
      </w:pPr>
      <w:r>
        <w:t>ONS [Office for National Statistics] (2016a), ‘</w:t>
      </w:r>
      <w:hyperlink r:id="rId95" w:history="1">
        <w:r w:rsidRPr="00771AB6">
          <w:rPr>
            <w:rStyle w:val="Hyperlink"/>
          </w:rPr>
          <w:t>Annual Survey of Hours and Earnings, 2016 Provisional Results</w:t>
        </w:r>
      </w:hyperlink>
      <w:r>
        <w:t>’ [accessed: 14 November 2016].</w:t>
      </w:r>
    </w:p>
    <w:p w:rsidR="00F467DD" w:rsidRPr="00876213" w:rsidRDefault="00F467DD" w:rsidP="00F467DD">
      <w:pPr>
        <w:pStyle w:val="Parabeforeanother"/>
        <w:rPr>
          <w:rFonts w:eastAsia="Times New Roman"/>
          <w:iCs/>
          <w:color w:val="000000" w:themeColor="text1"/>
          <w:lang w:eastAsia="en-GB"/>
        </w:rPr>
      </w:pPr>
      <w:r w:rsidRPr="000359DE">
        <w:rPr>
          <w:rFonts w:eastAsia="Times New Roman"/>
          <w:iCs/>
          <w:color w:val="000000" w:themeColor="text1"/>
          <w:lang w:eastAsia="en-GB"/>
        </w:rPr>
        <w:t>ONS</w:t>
      </w:r>
      <w:r>
        <w:rPr>
          <w:rFonts w:eastAsia="Times New Roman"/>
          <w:iCs/>
          <w:color w:val="000000" w:themeColor="text1"/>
          <w:lang w:eastAsia="en-GB"/>
        </w:rPr>
        <w:t xml:space="preserve"> </w:t>
      </w:r>
      <w:r>
        <w:t>[Office for National Statistics]</w:t>
      </w:r>
      <w:r w:rsidRPr="000359DE">
        <w:rPr>
          <w:rFonts w:eastAsia="Times New Roman"/>
          <w:iCs/>
          <w:color w:val="000000" w:themeColor="text1"/>
          <w:lang w:eastAsia="en-GB"/>
        </w:rPr>
        <w:t xml:space="preserve"> (201</w:t>
      </w:r>
      <w:r>
        <w:rPr>
          <w:rFonts w:eastAsia="Times New Roman"/>
          <w:iCs/>
          <w:color w:val="000000" w:themeColor="text1"/>
          <w:lang w:eastAsia="en-GB"/>
        </w:rPr>
        <w:t>6</w:t>
      </w:r>
      <w:r w:rsidRPr="000359DE">
        <w:rPr>
          <w:rFonts w:eastAsia="Times New Roman"/>
          <w:iCs/>
          <w:color w:val="000000" w:themeColor="text1"/>
          <w:lang w:eastAsia="en-GB"/>
        </w:rPr>
        <w:t>b)</w:t>
      </w:r>
      <w:r>
        <w:rPr>
          <w:rFonts w:eastAsia="Times New Roman"/>
          <w:iCs/>
          <w:color w:val="000000" w:themeColor="text1"/>
          <w:lang w:eastAsia="en-GB"/>
        </w:rPr>
        <w:t>, ‘</w:t>
      </w:r>
      <w:hyperlink r:id="rId96" w:history="1">
        <w:r w:rsidRPr="00771AB6">
          <w:rPr>
            <w:rStyle w:val="Hyperlink"/>
            <w:rFonts w:eastAsia="Times New Roman"/>
            <w:iCs/>
            <w:lang w:eastAsia="en-GB"/>
          </w:rPr>
          <w:t xml:space="preserve">UK Labour Market: October 2016 – </w:t>
        </w:r>
        <w:r w:rsidRPr="00771AB6">
          <w:rPr>
            <w:rStyle w:val="Hyperlink"/>
            <w:lang w:val="en"/>
          </w:rPr>
          <w:t>Estimates of employment, unemployment, economic inactivity and other employment-related statistics for the UK</w:t>
        </w:r>
      </w:hyperlink>
      <w:r w:rsidRPr="00F42368">
        <w:rPr>
          <w:lang w:val="en"/>
        </w:rPr>
        <w:t>’</w:t>
      </w:r>
      <w:r w:rsidRPr="00876213">
        <w:rPr>
          <w:rFonts w:eastAsia="Times New Roman"/>
          <w:iCs/>
          <w:color w:val="000000" w:themeColor="text1"/>
          <w:lang w:eastAsia="en-GB"/>
        </w:rPr>
        <w:t xml:space="preserve"> </w:t>
      </w:r>
      <w:r>
        <w:rPr>
          <w:rFonts w:eastAsia="Times New Roman"/>
          <w:iCs/>
          <w:color w:val="000000" w:themeColor="text1"/>
          <w:lang w:eastAsia="en-GB"/>
        </w:rPr>
        <w:t xml:space="preserve">[accessed: 7 December 2016]. </w:t>
      </w:r>
    </w:p>
    <w:p w:rsidR="00F467DD" w:rsidRDefault="00F467DD" w:rsidP="00F467DD">
      <w:pPr>
        <w:pStyle w:val="Parabeforeanother"/>
      </w:pPr>
      <w:r w:rsidRPr="00B24709">
        <w:rPr>
          <w:rFonts w:eastAsiaTheme="minorEastAsia"/>
          <w:lang w:val="en-US"/>
        </w:rPr>
        <w:t>Panel on Fair Access to the Professions (2009)</w:t>
      </w:r>
      <w:r>
        <w:rPr>
          <w:rFonts w:eastAsiaTheme="minorEastAsia"/>
          <w:lang w:val="en-US"/>
        </w:rPr>
        <w:t>,</w:t>
      </w:r>
      <w:r w:rsidRPr="00B24709">
        <w:rPr>
          <w:rFonts w:eastAsiaTheme="minorEastAsia"/>
          <w:lang w:val="en-US"/>
        </w:rPr>
        <w:t xml:space="preserve"> </w:t>
      </w:r>
      <w:r>
        <w:rPr>
          <w:rFonts w:eastAsiaTheme="minorEastAsia"/>
          <w:lang w:val="en-US"/>
        </w:rPr>
        <w:t>‘</w:t>
      </w:r>
      <w:hyperlink r:id="rId97" w:history="1">
        <w:r w:rsidRPr="00771AB6">
          <w:rPr>
            <w:rStyle w:val="Hyperlink"/>
            <w:rFonts w:eastAsiaTheme="minorEastAsia"/>
            <w:lang w:val="en-US"/>
          </w:rPr>
          <w:t>Unleashing Aspiration: The Final Report of the Panel on Fair Access to the Professions</w:t>
        </w:r>
      </w:hyperlink>
      <w:r>
        <w:rPr>
          <w:rFonts w:eastAsiaTheme="minorEastAsia"/>
          <w:lang w:val="en-US"/>
        </w:rPr>
        <w:t>’</w:t>
      </w:r>
      <w:r w:rsidRPr="00B24709">
        <w:rPr>
          <w:rFonts w:eastAsiaTheme="minorEastAsia"/>
          <w:lang w:val="en-US"/>
        </w:rPr>
        <w:t>. London: HMSO</w:t>
      </w:r>
      <w:r>
        <w:t xml:space="preserve"> [accessed: 7 December 2016]. </w:t>
      </w:r>
    </w:p>
    <w:p w:rsidR="00F467DD" w:rsidRPr="00B24709" w:rsidRDefault="00F467DD" w:rsidP="00F467DD">
      <w:pPr>
        <w:pStyle w:val="Parabeforeanother"/>
      </w:pPr>
      <w:r>
        <w:t>Parken, A, Pocher E, Davies R (2014), ‘</w:t>
      </w:r>
      <w:hyperlink r:id="rId98" w:history="1">
        <w:r w:rsidRPr="00771AB6">
          <w:rPr>
            <w:rStyle w:val="Hyperlink"/>
          </w:rPr>
          <w:t>Working Patterns in Wa</w:t>
        </w:r>
        <w:r w:rsidR="00771AB6" w:rsidRPr="00771AB6">
          <w:rPr>
            <w:rStyle w:val="Hyperlink"/>
          </w:rPr>
          <w:t>les Gender Occupations and Pay</w:t>
        </w:r>
      </w:hyperlink>
      <w:r w:rsidR="00771AB6">
        <w:t>’</w:t>
      </w:r>
      <w:r w:rsidRPr="00596E8A">
        <w:t>.</w:t>
      </w:r>
      <w:r w:rsidR="00771AB6">
        <w:t xml:space="preserve"> Cardiff University </w:t>
      </w:r>
      <w:r>
        <w:t>[accessed: 9 March 2017]</w:t>
      </w:r>
    </w:p>
    <w:p w:rsidR="00F467DD" w:rsidRDefault="00F467DD" w:rsidP="00F467DD">
      <w:pPr>
        <w:pStyle w:val="Parabeforeanother"/>
      </w:pPr>
      <w:r>
        <w:t>Parken, A. (2015), ‘</w:t>
      </w:r>
      <w:hyperlink r:id="rId99" w:history="1">
        <w:r w:rsidRPr="00771AB6">
          <w:rPr>
            <w:rStyle w:val="Hyperlink"/>
          </w:rPr>
          <w:t>The WAVE Employer Case Studies: From Evidence to Action on Gender Pay Gaps</w:t>
        </w:r>
      </w:hyperlink>
      <w:r>
        <w:t>’</w:t>
      </w:r>
      <w:r w:rsidRPr="00004134">
        <w:t>.</w:t>
      </w:r>
      <w:r w:rsidRPr="001154E4">
        <w:rPr>
          <w:i/>
        </w:rPr>
        <w:t xml:space="preserve"> </w:t>
      </w:r>
      <w:r w:rsidR="00771AB6">
        <w:t xml:space="preserve">Cardiff University </w:t>
      </w:r>
      <w:r>
        <w:t xml:space="preserve">[accessed: 7 December 2016]. </w:t>
      </w:r>
    </w:p>
    <w:p w:rsidR="00F467DD" w:rsidRDefault="00F467DD" w:rsidP="00F467DD">
      <w:pPr>
        <w:pStyle w:val="Parabeforeanother"/>
      </w:pPr>
      <w:r w:rsidRPr="00393526">
        <w:t>Perfect, D. (2012)</w:t>
      </w:r>
      <w:r>
        <w:t>,</w:t>
      </w:r>
      <w:r w:rsidRPr="00393526">
        <w:t xml:space="preserve"> </w:t>
      </w:r>
      <w:r>
        <w:t>‘</w:t>
      </w:r>
      <w:hyperlink r:id="rId100" w:history="1">
        <w:r w:rsidRPr="00771AB6">
          <w:rPr>
            <w:rStyle w:val="Hyperlink"/>
          </w:rPr>
          <w:t>Gender Pay Gaps 2012’</w:t>
        </w:r>
      </w:hyperlink>
      <w:r>
        <w:t>,</w:t>
      </w:r>
      <w:r w:rsidRPr="00393526">
        <w:t xml:space="preserve"> Briefing Paper 6. </w:t>
      </w:r>
      <w:r>
        <w:t>Equal</w:t>
      </w:r>
      <w:r w:rsidR="00771AB6">
        <w:t>ity and Human Rights Commission</w:t>
      </w:r>
      <w:r>
        <w:t xml:space="preserve"> [accessed: 7 December 2016]. </w:t>
      </w:r>
    </w:p>
    <w:p w:rsidR="00F467DD" w:rsidRDefault="00F467DD" w:rsidP="004522EC">
      <w:pPr>
        <w:pStyle w:val="Parabeforeanother"/>
      </w:pPr>
      <w:r w:rsidRPr="001958F5">
        <w:t>Phimister</w:t>
      </w:r>
      <w:r>
        <w:t>,</w:t>
      </w:r>
      <w:r w:rsidRPr="001958F5">
        <w:t xml:space="preserve"> E</w:t>
      </w:r>
      <w:r>
        <w:t>.</w:t>
      </w:r>
      <w:r w:rsidRPr="001958F5">
        <w:t xml:space="preserve"> and Theodossiou</w:t>
      </w:r>
      <w:r>
        <w:t>,</w:t>
      </w:r>
      <w:r w:rsidRPr="001958F5">
        <w:t xml:space="preserve"> I</w:t>
      </w:r>
      <w:r>
        <w:t>.</w:t>
      </w:r>
      <w:r w:rsidRPr="001958F5">
        <w:t xml:space="preserve"> (2009)</w:t>
      </w:r>
      <w:r>
        <w:t>,</w:t>
      </w:r>
      <w:r w:rsidRPr="001958F5">
        <w:t xml:space="preserve"> </w:t>
      </w:r>
      <w:r>
        <w:t>‘</w:t>
      </w:r>
      <w:r w:rsidRPr="006F15C3">
        <w:t>Gender Differences in Low Pay Labour Mobility and the National Minimum Wage</w:t>
      </w:r>
      <w:r>
        <w:t>’,</w:t>
      </w:r>
      <w:r w:rsidRPr="001958F5">
        <w:t xml:space="preserve"> Oxford Economic Papers New Series, Vol. 61, Supplement: Women and Wages, pp. i122</w:t>
      </w:r>
      <w:r>
        <w:t>–</w:t>
      </w:r>
      <w:r w:rsidRPr="001958F5">
        <w:t xml:space="preserve">i146 </w:t>
      </w:r>
    </w:p>
    <w:p w:rsidR="00F467DD" w:rsidRDefault="00F467DD" w:rsidP="00F467DD">
      <w:pPr>
        <w:pStyle w:val="Parabeforeanother"/>
      </w:pPr>
      <w:r>
        <w:t xml:space="preserve">Pilkington, A. (2015), </w:t>
      </w:r>
      <w:hyperlink r:id="rId101" w:history="1">
        <w:r w:rsidRPr="00771AB6">
          <w:rPr>
            <w:rStyle w:val="Hyperlink"/>
            <w:i/>
          </w:rPr>
          <w:t>Disability Confident: update on a great communication campaign</w:t>
        </w:r>
        <w:r w:rsidRPr="00771AB6">
          <w:rPr>
            <w:rStyle w:val="Hyperlink"/>
          </w:rPr>
          <w:t>.</w:t>
        </w:r>
      </w:hyperlink>
      <w:r w:rsidR="00771AB6">
        <w:t xml:space="preserve"> PR Academy. [ONLINE] </w:t>
      </w:r>
      <w:r>
        <w:t>[accessed: 30 March 2016].</w:t>
      </w:r>
    </w:p>
    <w:p w:rsidR="00F467DD" w:rsidRDefault="00F467DD" w:rsidP="00F467DD">
      <w:pPr>
        <w:pStyle w:val="Parabeforeanother"/>
      </w:pPr>
      <w:r w:rsidRPr="009D1FC3">
        <w:lastRenderedPageBreak/>
        <w:t>Plantenga, J. and Remery, C. (2005)</w:t>
      </w:r>
      <w:r>
        <w:t>,</w:t>
      </w:r>
      <w:r w:rsidRPr="009D1FC3">
        <w:t xml:space="preserve"> </w:t>
      </w:r>
      <w:r>
        <w:t>‘</w:t>
      </w:r>
      <w:hyperlink r:id="rId102" w:history="1">
        <w:r w:rsidRPr="00771AB6">
          <w:rPr>
            <w:rStyle w:val="Hyperlink"/>
          </w:rPr>
          <w:t>Reconciliation of work and private life: A comparative review of thirty European countries</w:t>
        </w:r>
      </w:hyperlink>
      <w:r>
        <w:t>’</w:t>
      </w:r>
      <w:r w:rsidRPr="009D1FC3">
        <w:t>. DG for Employment, Social Affairs and Equal Opportunities, European Commission. Office for Official Publications of the European Communities</w:t>
      </w:r>
      <w:r w:rsidR="00771AB6">
        <w:t xml:space="preserve"> </w:t>
      </w:r>
      <w:r>
        <w:t xml:space="preserve">[accessed: 7 December 2016]. </w:t>
      </w:r>
    </w:p>
    <w:p w:rsidR="00F467DD" w:rsidRDefault="00F467DD" w:rsidP="00F467DD">
      <w:pPr>
        <w:pStyle w:val="Parabeforeanother"/>
      </w:pPr>
      <w:r>
        <w:t xml:space="preserve">PMO [Prime Minister’s Office] (2015), </w:t>
      </w:r>
      <w:hyperlink r:id="rId103" w:history="1">
        <w:r w:rsidR="00771AB6">
          <w:rPr>
            <w:rStyle w:val="Hyperlink"/>
            <w:i/>
          </w:rPr>
          <w:t>Press r</w:t>
        </w:r>
        <w:r w:rsidRPr="00771AB6">
          <w:rPr>
            <w:rStyle w:val="Hyperlink"/>
            <w:i/>
          </w:rPr>
          <w:t>elease:</w:t>
        </w:r>
        <w:r w:rsidRPr="00771AB6">
          <w:rPr>
            <w:rStyle w:val="Hyperlink"/>
          </w:rPr>
          <w:t xml:space="preserve"> </w:t>
        </w:r>
        <w:r w:rsidRPr="00771AB6">
          <w:rPr>
            <w:rStyle w:val="Hyperlink"/>
            <w:i/>
          </w:rPr>
          <w:t>PM: Time to end discrimination and finish the fight for real equality</w:t>
        </w:r>
      </w:hyperlink>
      <w:r w:rsidR="00771AB6">
        <w:t xml:space="preserve">. [ONLINE] </w:t>
      </w:r>
      <w:r>
        <w:t xml:space="preserve">[accessed: 7 December 2016]. </w:t>
      </w:r>
    </w:p>
    <w:p w:rsidR="00F467DD" w:rsidRDefault="00F467DD" w:rsidP="00F467DD">
      <w:pPr>
        <w:pStyle w:val="Parabeforeanother"/>
      </w:pPr>
      <w:r>
        <w:t>PMSU [Prime Minister’s Strategy Unit] (2005), ‘</w:t>
      </w:r>
      <w:hyperlink r:id="rId104" w:history="1">
        <w:r w:rsidRPr="00771AB6">
          <w:rPr>
            <w:rStyle w:val="Hyperlink"/>
          </w:rPr>
          <w:t>Improving the life chances of disabled people: Final Report</w:t>
        </w:r>
      </w:hyperlink>
      <w:r>
        <w:t>’. Prime Minister’s Strategy Unit, Department for Work and Pensions, Department of Health, Department for Education and Skills, and Offic</w:t>
      </w:r>
      <w:r w:rsidR="00771AB6">
        <w:t xml:space="preserve">e of the Deputy Prime Minister </w:t>
      </w:r>
      <w:r>
        <w:t xml:space="preserve">[accessed: 7 December 2016]. </w:t>
      </w:r>
    </w:p>
    <w:p w:rsidR="00F467DD" w:rsidRDefault="00F467DD" w:rsidP="00F467DD">
      <w:pPr>
        <w:pStyle w:val="Parabeforeanother"/>
      </w:pPr>
      <w:r>
        <w:t>Recruiter (2014), ‘</w:t>
      </w:r>
      <w:hyperlink r:id="rId105" w:history="1">
        <w:r w:rsidRPr="00771AB6">
          <w:rPr>
            <w:rStyle w:val="Hyperlink"/>
          </w:rPr>
          <w:t>Outdated two-ticks symbol needs revamping, says DWP</w:t>
        </w:r>
      </w:hyperlink>
      <w:r w:rsidR="00771AB6">
        <w:t xml:space="preserve">’, 11 June </w:t>
      </w:r>
      <w:r>
        <w:t>[accessed: 7 February 2017].</w:t>
      </w:r>
    </w:p>
    <w:p w:rsidR="00F467DD" w:rsidRDefault="00F467DD" w:rsidP="00F467DD">
      <w:pPr>
        <w:pStyle w:val="Parabeforeanother"/>
      </w:pPr>
      <w:r w:rsidRPr="008D31A6">
        <w:t xml:space="preserve">Reskin, B., and Branch McBrier, D. (2000), </w:t>
      </w:r>
      <w:r>
        <w:t>‘</w:t>
      </w:r>
      <w:r w:rsidRPr="00004134">
        <w:t>Why Not Ascription? Organisations’ Employment of Male and Female Managers</w:t>
      </w:r>
      <w:r>
        <w:t>’</w:t>
      </w:r>
      <w:r w:rsidRPr="006A6C53">
        <w:t>,</w:t>
      </w:r>
      <w:r w:rsidRPr="008D31A6">
        <w:t xml:space="preserve"> </w:t>
      </w:r>
      <w:r w:rsidRPr="00004134">
        <w:rPr>
          <w:i/>
        </w:rPr>
        <w:t>American Sociological Review</w:t>
      </w:r>
      <w:r>
        <w:t>,</w:t>
      </w:r>
      <w:r w:rsidRPr="008D31A6">
        <w:t xml:space="preserve"> 65</w:t>
      </w:r>
      <w:r>
        <w:t xml:space="preserve">, pp. </w:t>
      </w:r>
      <w:r w:rsidRPr="008D31A6">
        <w:t>210</w:t>
      </w:r>
      <w:r>
        <w:t>–</w:t>
      </w:r>
      <w:r w:rsidRPr="008D31A6">
        <w:t>33</w:t>
      </w:r>
      <w:r>
        <w:t>.</w:t>
      </w:r>
    </w:p>
    <w:p w:rsidR="00F467DD" w:rsidRDefault="00F467DD" w:rsidP="00F467DD">
      <w:pPr>
        <w:pStyle w:val="Parabeforeanother"/>
      </w:pPr>
      <w:r>
        <w:t>Resolution Foundation. (2016), ‘</w:t>
      </w:r>
      <w:r>
        <w:rPr>
          <w:lang w:val="en-US"/>
        </w:rPr>
        <w:t>D</w:t>
      </w:r>
      <w:hyperlink r:id="rId106" w:history="1">
        <w:r w:rsidRPr="00771AB6">
          <w:rPr>
            <w:rStyle w:val="Hyperlink"/>
            <w:lang w:val="en-US"/>
          </w:rPr>
          <w:t>isabled people face twice the ‘time out’ penalty when trying to re-enter work</w:t>
        </w:r>
      </w:hyperlink>
      <w:r>
        <w:rPr>
          <w:lang w:val="en-US"/>
        </w:rPr>
        <w:t>’</w:t>
      </w:r>
      <w:r w:rsidR="00771AB6">
        <w:rPr>
          <w:lang w:val="en-US"/>
        </w:rPr>
        <w:t>.</w:t>
      </w:r>
      <w:r>
        <w:rPr>
          <w:lang w:val="en-US"/>
        </w:rPr>
        <w:t xml:space="preserve"> [ONLINE],</w:t>
      </w:r>
      <w:r w:rsidR="00771AB6">
        <w:rPr>
          <w:lang w:val="en-US"/>
        </w:rPr>
        <w:t xml:space="preserve"> Resolution Foundation, 7 June </w:t>
      </w:r>
      <w:r>
        <w:rPr>
          <w:lang w:val="en-US"/>
        </w:rPr>
        <w:t>[accessed:9 March 2017]</w:t>
      </w:r>
    </w:p>
    <w:p w:rsidR="00F467DD" w:rsidRDefault="00F467DD" w:rsidP="00F467DD">
      <w:pPr>
        <w:pStyle w:val="Parabeforeanother"/>
      </w:pPr>
      <w:r>
        <w:t>Riddell, S., Edward, S., Weedon, E. and Ahlgren, L. (2010), ‘</w:t>
      </w:r>
      <w:hyperlink r:id="rId107" w:history="1">
        <w:r w:rsidRPr="00771AB6">
          <w:rPr>
            <w:rStyle w:val="Hyperlink"/>
          </w:rPr>
          <w:t>Disability, Skills and Employment: A review of recent statistics and literature on policy and initiatives</w:t>
        </w:r>
      </w:hyperlink>
      <w:r>
        <w:t>’, Research Report 59. Manchester: Equali</w:t>
      </w:r>
      <w:r w:rsidR="00771AB6">
        <w:t xml:space="preserve">ty and Human Rights Commission </w:t>
      </w:r>
      <w:r>
        <w:t xml:space="preserve">[accessed: 7 December 2016]. </w:t>
      </w:r>
    </w:p>
    <w:p w:rsidR="00F467DD" w:rsidRDefault="00F467DD" w:rsidP="00F467DD">
      <w:pPr>
        <w:pStyle w:val="Parabeforeanother"/>
      </w:pPr>
      <w:r>
        <w:t xml:space="preserve">Rubery, J. and Grimshaw, D. (2015), ‘The 40-year pursuit of equal pay: a case of constantly moving goalposts’, </w:t>
      </w:r>
      <w:r w:rsidRPr="001154E4">
        <w:rPr>
          <w:i/>
        </w:rPr>
        <w:t>Cambridge Journal of Economics</w:t>
      </w:r>
      <w:r>
        <w:t>,</w:t>
      </w:r>
      <w:r w:rsidRPr="001154E4">
        <w:t xml:space="preserve"> </w:t>
      </w:r>
      <w:r>
        <w:t>39(2), pp. 319–43.</w:t>
      </w:r>
    </w:p>
    <w:p w:rsidR="00F467DD" w:rsidRPr="00CD7B30" w:rsidRDefault="00F467DD" w:rsidP="004522EC">
      <w:pPr>
        <w:pStyle w:val="Parabeforeanother"/>
        <w:rPr>
          <w:rFonts w:eastAsia="ArialMT"/>
        </w:rPr>
      </w:pPr>
      <w:r w:rsidRPr="00CD7B30">
        <w:rPr>
          <w:rFonts w:eastAsia="ArialMT"/>
        </w:rPr>
        <w:t>Rutter, J</w:t>
      </w:r>
      <w:r>
        <w:rPr>
          <w:rFonts w:eastAsia="ArialMT"/>
        </w:rPr>
        <w:t>.</w:t>
      </w:r>
      <w:r w:rsidRPr="00CD7B30">
        <w:rPr>
          <w:rFonts w:eastAsia="ArialMT"/>
        </w:rPr>
        <w:t xml:space="preserve"> (2015)</w:t>
      </w:r>
      <w:r>
        <w:rPr>
          <w:rFonts w:eastAsia="ArialMT"/>
        </w:rPr>
        <w:t>,</w:t>
      </w:r>
      <w:r w:rsidRPr="00CD7B30">
        <w:rPr>
          <w:rFonts w:eastAsia="ArialMT"/>
        </w:rPr>
        <w:t xml:space="preserve"> </w:t>
      </w:r>
      <w:hyperlink r:id="rId108" w:history="1">
        <w:r w:rsidRPr="00771AB6">
          <w:rPr>
            <w:rStyle w:val="Hyperlink"/>
            <w:rFonts w:eastAsia="ArialMT"/>
            <w:i/>
            <w:iCs/>
          </w:rPr>
          <w:t>Childcare Survey</w:t>
        </w:r>
        <w:r w:rsidRPr="00771AB6">
          <w:rPr>
            <w:rStyle w:val="Hyperlink"/>
            <w:rFonts w:eastAsia="ArialMT"/>
          </w:rPr>
          <w:t xml:space="preserve"> </w:t>
        </w:r>
        <w:r w:rsidRPr="00771AB6">
          <w:rPr>
            <w:rStyle w:val="Hyperlink"/>
            <w:rFonts w:eastAsia="ArialMT"/>
            <w:i/>
          </w:rPr>
          <w:t>2015</w:t>
        </w:r>
      </w:hyperlink>
      <w:r w:rsidRPr="00CD7B30">
        <w:rPr>
          <w:rFonts w:eastAsia="ArialMT"/>
        </w:rPr>
        <w:t>. Family and Childcare Trust.</w:t>
      </w:r>
      <w:r w:rsidR="00771AB6">
        <w:rPr>
          <w:rFonts w:eastAsia="ArialMT"/>
        </w:rPr>
        <w:t xml:space="preserve"> [ONLINE] </w:t>
      </w:r>
      <w:r>
        <w:t>[accessed 7 December 2016].</w:t>
      </w:r>
    </w:p>
    <w:p w:rsidR="00F467DD" w:rsidRDefault="00F467DD" w:rsidP="00F467DD">
      <w:pPr>
        <w:pStyle w:val="Parabeforeanother"/>
      </w:pPr>
      <w:r>
        <w:t xml:space="preserve">Sammer, J. (2015), ‘Take it or Leave it: Should salary discussions be a one way street?’, </w:t>
      </w:r>
      <w:r w:rsidRPr="00A212DF">
        <w:rPr>
          <w:i/>
        </w:rPr>
        <w:t>HR Magazine</w:t>
      </w:r>
      <w:r>
        <w:t xml:space="preserve">, </w:t>
      </w:r>
      <w:r>
        <w:rPr>
          <w:lang w:val="en"/>
        </w:rPr>
        <w:t>60(7), p. 34.</w:t>
      </w:r>
    </w:p>
    <w:p w:rsidR="00F467DD" w:rsidRDefault="00F467DD" w:rsidP="00F467DD">
      <w:pPr>
        <w:pStyle w:val="Parabeforeanother"/>
      </w:pPr>
      <w:r>
        <w:t>Sayce, L. (2010), ‘</w:t>
      </w:r>
      <w:hyperlink r:id="rId109" w:history="1">
        <w:r w:rsidRPr="00771AB6">
          <w:rPr>
            <w:rStyle w:val="Hyperlink"/>
          </w:rPr>
          <w:t>Doing Seniority Differently: A study of high fliers living with ill-health, injury or disability: Final Report</w:t>
        </w:r>
      </w:hyperlink>
      <w:r>
        <w:t>’</w:t>
      </w:r>
      <w:r w:rsidRPr="00E3212D">
        <w:t>.</w:t>
      </w:r>
      <w:r w:rsidR="00771AB6">
        <w:t xml:space="preserve"> London: RADAR </w:t>
      </w:r>
      <w:r>
        <w:t>[accessed: 7 December 2016].</w:t>
      </w:r>
    </w:p>
    <w:p w:rsidR="00F467DD" w:rsidRDefault="00F467DD" w:rsidP="00F467DD">
      <w:pPr>
        <w:pStyle w:val="Parabeforeanother"/>
      </w:pPr>
      <w:r w:rsidRPr="00A57C09">
        <w:lastRenderedPageBreak/>
        <w:t xml:space="preserve">Scope (2016), </w:t>
      </w:r>
      <w:hyperlink r:id="rId110" w:history="1">
        <w:r w:rsidRPr="00771AB6">
          <w:rPr>
            <w:rStyle w:val="Hyperlink"/>
            <w:i/>
            <w:iCs/>
          </w:rPr>
          <w:t xml:space="preserve">Press release: </w:t>
        </w:r>
        <w:r w:rsidRPr="00771AB6">
          <w:rPr>
            <w:rStyle w:val="Hyperlink"/>
            <w:rFonts w:ascii="Helvetica Neue" w:hAnsi="Helvetica Neue"/>
            <w:i/>
            <w:lang w:val="en"/>
          </w:rPr>
          <w:t>Labour Market Stats show more disabled people are in work, but the disability employment gap remains static</w:t>
        </w:r>
      </w:hyperlink>
      <w:r w:rsidRPr="00A57C09">
        <w:rPr>
          <w:rFonts w:ascii="Helvetica Neue" w:hAnsi="Helvetica Neue"/>
          <w:lang w:val="en"/>
        </w:rPr>
        <w:t>.</w:t>
      </w:r>
      <w:r w:rsidRPr="00A57C09">
        <w:rPr>
          <w:iCs/>
        </w:rPr>
        <w:t xml:space="preserve"> </w:t>
      </w:r>
      <w:r w:rsidRPr="00A57C09">
        <w:t>[ONLINE</w:t>
      </w:r>
      <w:r w:rsidR="00771AB6">
        <w:t xml:space="preserve">] </w:t>
      </w:r>
      <w:r w:rsidRPr="00684C63">
        <w:t xml:space="preserve">[accessed: </w:t>
      </w:r>
      <w:r>
        <w:t>14 November</w:t>
      </w:r>
      <w:r w:rsidRPr="00684C63">
        <w:t xml:space="preserve"> 2016].  </w:t>
      </w:r>
    </w:p>
    <w:p w:rsidR="00F467DD" w:rsidRDefault="00F467DD" w:rsidP="00F467DD">
      <w:pPr>
        <w:pStyle w:val="Parabeforeanother"/>
      </w:pPr>
      <w:r>
        <w:t>Selvanera, G. and Whippy, K. (2015), ‘</w:t>
      </w:r>
      <w:r w:rsidRPr="00004134">
        <w:t>S</w:t>
      </w:r>
      <w:hyperlink r:id="rId111" w:history="1">
        <w:r w:rsidRPr="00771AB6">
          <w:rPr>
            <w:rStyle w:val="Hyperlink"/>
          </w:rPr>
          <w:t>tate of the Nation: Retaining and developing employees with disabilities</w:t>
        </w:r>
      </w:hyperlink>
      <w:r>
        <w:t>’</w:t>
      </w:r>
      <w:r w:rsidR="00771AB6">
        <w:t xml:space="preserve">. Business Disability Forum </w:t>
      </w:r>
      <w:r>
        <w:t>[accessed: 7 December 2016].</w:t>
      </w:r>
    </w:p>
    <w:p w:rsidR="00F467DD" w:rsidRDefault="00F467DD" w:rsidP="00F467DD">
      <w:pPr>
        <w:pStyle w:val="Parabeforeanother"/>
      </w:pPr>
      <w:r>
        <w:t>Shackleton, J.R. (2008), ‘</w:t>
      </w:r>
      <w:hyperlink r:id="rId112" w:history="1">
        <w:r w:rsidRPr="00771AB6">
          <w:rPr>
            <w:rStyle w:val="Hyperlink"/>
          </w:rPr>
          <w:t>Should We Mind the Gap? Gender Pay Differentials and Public Policy</w:t>
        </w:r>
      </w:hyperlink>
      <w:r>
        <w:t>’,</w:t>
      </w:r>
      <w:r w:rsidRPr="00BF0D88">
        <w:t xml:space="preserve"> </w:t>
      </w:r>
      <w:r>
        <w:t xml:space="preserve">The Institute of Economic Affairs Monographs, </w:t>
      </w:r>
      <w:r w:rsidRPr="00763C20">
        <w:t xml:space="preserve">Hobart Paper No. 164 </w:t>
      </w:r>
      <w:r>
        <w:t xml:space="preserve">[accessed: 7 December 2016]. </w:t>
      </w:r>
    </w:p>
    <w:p w:rsidR="00F467DD" w:rsidRDefault="00F467DD" w:rsidP="00F467DD">
      <w:pPr>
        <w:pStyle w:val="Parabeforeanother"/>
      </w:pPr>
      <w:r w:rsidRPr="00230F98">
        <w:t>Sonali</w:t>
      </w:r>
      <w:r>
        <w:t xml:space="preserve"> S</w:t>
      </w:r>
      <w:r w:rsidRPr="00230F98">
        <w:t xml:space="preserve"> (2005) Career Success of Disabled High Fliers, Jessica Kingsley Publishers</w:t>
      </w:r>
    </w:p>
    <w:p w:rsidR="00F467DD" w:rsidRDefault="00F467DD" w:rsidP="00F467DD">
      <w:pPr>
        <w:pStyle w:val="Parabeforeanother"/>
      </w:pPr>
      <w:r>
        <w:t xml:space="preserve">Suff, R. (2009), </w:t>
      </w:r>
      <w:hyperlink r:id="rId113" w:history="1">
        <w:r w:rsidRPr="00771AB6">
          <w:rPr>
            <w:rStyle w:val="Hyperlink"/>
            <w:i/>
          </w:rPr>
          <w:t>Monitoring equality and diversity in recruitment: the 2009 IRS survey</w:t>
        </w:r>
      </w:hyperlink>
      <w:r>
        <w:t xml:space="preserve">. </w:t>
      </w:r>
      <w:r w:rsidRPr="00004134">
        <w:t>XpertHR</w:t>
      </w:r>
      <w:r w:rsidR="00771AB6">
        <w:t xml:space="preserve">. [ONLINE] </w:t>
      </w:r>
      <w:r>
        <w:t>[accessed: 7 December 2016].</w:t>
      </w:r>
    </w:p>
    <w:p w:rsidR="00F467DD" w:rsidRDefault="00F467DD" w:rsidP="00F467DD">
      <w:pPr>
        <w:pStyle w:val="Parabeforeanother"/>
      </w:pPr>
      <w:r>
        <w:t>Sullivan, R. (2015), ‘</w:t>
      </w:r>
      <w:hyperlink r:id="rId114" w:history="1">
        <w:r w:rsidRPr="00771AB6">
          <w:rPr>
            <w:rStyle w:val="Hyperlink"/>
          </w:rPr>
          <w:t>Return-to-work schemes: support for women</w:t>
        </w:r>
      </w:hyperlink>
      <w:r>
        <w:t xml:space="preserve">’, </w:t>
      </w:r>
      <w:r w:rsidRPr="00A212DF">
        <w:rPr>
          <w:i/>
        </w:rPr>
        <w:t>Financial Times</w:t>
      </w:r>
      <w:r w:rsidR="00771AB6">
        <w:t>, 5 March</w:t>
      </w:r>
      <w:r>
        <w:t xml:space="preserve"> [accessed: 7 December 2016]. </w:t>
      </w:r>
    </w:p>
    <w:p w:rsidR="00F467DD" w:rsidRDefault="00F467DD" w:rsidP="00F467DD">
      <w:pPr>
        <w:pStyle w:val="Parabeforeanother"/>
      </w:pPr>
      <w:r>
        <w:t>Tackey, N., Casebourne, D., Aston, J., Ritchie, H., Sinclair, A., Tyers, C., Hurstfield, J., Willison, R. and Page, R. (2006), ‘</w:t>
      </w:r>
      <w:r w:rsidRPr="00004134">
        <w:t>Barriers to Employment for Pakistanis and Bangladeshis in Britain</w:t>
      </w:r>
      <w:r>
        <w:t>’, Research Report DWPRR 360.</w:t>
      </w:r>
      <w:r w:rsidRPr="00A212DF">
        <w:t xml:space="preserve"> </w:t>
      </w:r>
      <w:r>
        <w:t>Department for Work and Pensions.</w:t>
      </w:r>
    </w:p>
    <w:p w:rsidR="00F467DD" w:rsidRDefault="00F467DD" w:rsidP="00F467DD">
      <w:pPr>
        <w:pStyle w:val="Parabeforeanother"/>
      </w:pPr>
      <w:r>
        <w:t>Sanghani, R (2015) ‘</w:t>
      </w:r>
      <w:hyperlink r:id="rId115" w:history="1">
        <w:r w:rsidRPr="00771AB6">
          <w:rPr>
            <w:rStyle w:val="Hyperlink"/>
            <w:lang w:val="en"/>
          </w:rPr>
          <w:t>Shared parental leave: Most fathers in the UK aren't taking up the chance</w:t>
        </w:r>
      </w:hyperlink>
      <w:r>
        <w:rPr>
          <w:lang w:val="en"/>
        </w:rPr>
        <w:t>’</w:t>
      </w:r>
      <w:r w:rsidR="00771AB6">
        <w:rPr>
          <w:lang w:val="en"/>
        </w:rPr>
        <w:t>,</w:t>
      </w:r>
      <w:r>
        <w:t xml:space="preserve"> </w:t>
      </w:r>
      <w:r w:rsidR="00771AB6">
        <w:t xml:space="preserve">The Telegraph, 22 October 2015 </w:t>
      </w:r>
      <w:r>
        <w:t>[accessed 9 March 2017]</w:t>
      </w:r>
    </w:p>
    <w:p w:rsidR="00F467DD" w:rsidRDefault="00F467DD" w:rsidP="00F467DD">
      <w:pPr>
        <w:pStyle w:val="Parabeforeanother"/>
      </w:pPr>
      <w:r>
        <w:t>Trivedi, A. (2015), ‘</w:t>
      </w:r>
      <w:hyperlink r:id="rId116" w:history="1">
        <w:r w:rsidRPr="00771AB6">
          <w:rPr>
            <w:rStyle w:val="Hyperlink"/>
          </w:rPr>
          <w:t>Equality Outcomes Plan 30 April 2013–April 2017, Progress Report for the Public Sector Equality Duty reporting period of April 2013–April 2015</w:t>
        </w:r>
      </w:hyperlink>
      <w:r>
        <w:t>’. U</w:t>
      </w:r>
      <w:r w:rsidR="00771AB6">
        <w:t xml:space="preserve">niversity of Dundee </w:t>
      </w:r>
      <w:r>
        <w:t>[accessed: 7 December 2016].</w:t>
      </w:r>
    </w:p>
    <w:p w:rsidR="00F467DD" w:rsidRDefault="00F467DD" w:rsidP="00F467DD">
      <w:pPr>
        <w:pStyle w:val="Parabeforeanother"/>
      </w:pPr>
      <w:r>
        <w:t xml:space="preserve">UCEA [Universities and Colleges Employers Association] (2015a), </w:t>
      </w:r>
      <w:r w:rsidR="00771AB6">
        <w:t>‘</w:t>
      </w:r>
      <w:hyperlink r:id="rId117" w:history="1">
        <w:r w:rsidRPr="00771AB6">
          <w:rPr>
            <w:rStyle w:val="Hyperlink"/>
          </w:rPr>
          <w:t>New JNCHES Gender Pay Working Group Report</w:t>
        </w:r>
      </w:hyperlink>
      <w:r w:rsidR="00771AB6">
        <w:t>’</w:t>
      </w:r>
      <w:r w:rsidRPr="00771AB6">
        <w:t>.</w:t>
      </w:r>
      <w:r>
        <w:t xml:space="preserve"> New JNCHES. Universities and </w:t>
      </w:r>
      <w:r w:rsidR="00771AB6">
        <w:t xml:space="preserve">Colleges Employers Association </w:t>
      </w:r>
      <w:r>
        <w:t>[accessed: 7 December 2016].</w:t>
      </w:r>
    </w:p>
    <w:p w:rsidR="00F467DD" w:rsidRDefault="00F467DD" w:rsidP="00F467DD">
      <w:pPr>
        <w:pStyle w:val="Parabeforeanother"/>
      </w:pPr>
      <w:r>
        <w:t xml:space="preserve">UCEA [Universities and Colleges Employers Association] </w:t>
      </w:r>
      <w:r w:rsidRPr="00B94CC8">
        <w:t>(2015</w:t>
      </w:r>
      <w:r>
        <w:t>b</w:t>
      </w:r>
      <w:r w:rsidRPr="00B94CC8">
        <w:t xml:space="preserve">), </w:t>
      </w:r>
      <w:r w:rsidR="00771AB6">
        <w:t>‘</w:t>
      </w:r>
      <w:hyperlink r:id="rId118" w:history="1">
        <w:r w:rsidRPr="00771AB6">
          <w:rPr>
            <w:rStyle w:val="Hyperlink"/>
          </w:rPr>
          <w:t>New JNCHES Gender Pay Working Group Summary Report</w:t>
        </w:r>
        <w:r w:rsidR="00771AB6">
          <w:rPr>
            <w:rStyle w:val="Hyperlink"/>
          </w:rPr>
          <w:t>’</w:t>
        </w:r>
        <w:r w:rsidRPr="00771AB6">
          <w:rPr>
            <w:rStyle w:val="Hyperlink"/>
          </w:rPr>
          <w:t>.</w:t>
        </w:r>
      </w:hyperlink>
      <w:r w:rsidRPr="00B94CC8">
        <w:t xml:space="preserve"> Universities and</w:t>
      </w:r>
      <w:r w:rsidR="00771AB6">
        <w:t xml:space="preserve"> Colleges Employers Association </w:t>
      </w:r>
      <w:r>
        <w:t>[accessed: 7 December 2016].</w:t>
      </w:r>
    </w:p>
    <w:p w:rsidR="00F467DD" w:rsidRDefault="00F467DD" w:rsidP="00F467DD">
      <w:pPr>
        <w:pStyle w:val="Parabeforeanother"/>
      </w:pPr>
      <w:r>
        <w:t>Vogler-Ludwig, K. and Giernalczyk, H. (2009), ‘</w:t>
      </w:r>
      <w:r w:rsidRPr="00004134">
        <w:t>P</w:t>
      </w:r>
      <w:hyperlink r:id="rId119" w:history="1">
        <w:r w:rsidRPr="00771AB6">
          <w:rPr>
            <w:rStyle w:val="Hyperlink"/>
          </w:rPr>
          <w:t>arental allowance (Elterngeld) – An innovative policy</w:t>
        </w:r>
      </w:hyperlink>
      <w:r>
        <w:t>’, Discussion paper. European Employment Observatory Germany. Economix Research and</w:t>
      </w:r>
      <w:r w:rsidR="00771AB6">
        <w:t xml:space="preserve"> Consulting </w:t>
      </w:r>
      <w:r>
        <w:t xml:space="preserve">[accessed: 7 December 2016]. </w:t>
      </w:r>
    </w:p>
    <w:p w:rsidR="00F467DD" w:rsidRDefault="00F467DD" w:rsidP="00F467DD">
      <w:pPr>
        <w:pStyle w:val="Parabeforeanother"/>
      </w:pPr>
      <w:r>
        <w:lastRenderedPageBreak/>
        <w:t>Watt, N. (2015), ‘</w:t>
      </w:r>
      <w:hyperlink r:id="rId120" w:history="1">
        <w:r w:rsidRPr="00771AB6">
          <w:rPr>
            <w:rStyle w:val="Hyperlink"/>
          </w:rPr>
          <w:t>UCAS to enforce 'name-blind' applications to tackle racial bias</w:t>
        </w:r>
      </w:hyperlink>
      <w:r>
        <w:t>’,</w:t>
      </w:r>
      <w:r w:rsidRPr="00C045E7">
        <w:rPr>
          <w:i/>
        </w:rPr>
        <w:t xml:space="preserve"> </w:t>
      </w:r>
      <w:r w:rsidR="00771AB6">
        <w:t>T</w:t>
      </w:r>
      <w:r>
        <w:t>he</w:t>
      </w:r>
      <w:r w:rsidRPr="00C045E7">
        <w:rPr>
          <w:i/>
        </w:rPr>
        <w:t xml:space="preserve"> </w:t>
      </w:r>
      <w:r w:rsidRPr="00771AB6">
        <w:t>Guardian,</w:t>
      </w:r>
      <w:r w:rsidR="00771AB6">
        <w:t xml:space="preserve"> 26 October </w:t>
      </w:r>
      <w:r>
        <w:t xml:space="preserve">[accessed: 7 December 2016]. </w:t>
      </w:r>
    </w:p>
    <w:p w:rsidR="00F467DD" w:rsidRDefault="00F467DD" w:rsidP="00F467DD">
      <w:pPr>
        <w:pStyle w:val="Parabeforeanother"/>
      </w:pPr>
      <w:r>
        <w:t xml:space="preserve">Woodhams, C., Lupton, B. and Cowling, M. (2015a), ‘The Snowballing Penalty Effect: Multiple Disadvantage and Pay’, </w:t>
      </w:r>
      <w:r w:rsidRPr="00A212DF">
        <w:rPr>
          <w:i/>
        </w:rPr>
        <w:t>British Journal of Management</w:t>
      </w:r>
      <w:r>
        <w:t>,</w:t>
      </w:r>
      <w:r w:rsidRPr="00A212DF">
        <w:t xml:space="preserve"> </w:t>
      </w:r>
      <w:r>
        <w:t>26(1), pp. 63–77.</w:t>
      </w:r>
    </w:p>
    <w:p w:rsidR="00F467DD" w:rsidRDefault="00F467DD" w:rsidP="00F467DD">
      <w:pPr>
        <w:pStyle w:val="Parabeforeanother"/>
      </w:pPr>
      <w:r>
        <w:t xml:space="preserve">Woodhams, C., Lupton, B., Perkins, G. and Cowling, M. (2015b), ‘Multiple Disadvantage and Wage Growth: The Effect of Merit Pay on Pay Gaps’, </w:t>
      </w:r>
      <w:r w:rsidRPr="00A212DF">
        <w:rPr>
          <w:i/>
        </w:rPr>
        <w:t>Human Resource Management</w:t>
      </w:r>
      <w:r>
        <w:t>, 54(2), pp. 283–301.</w:t>
      </w:r>
    </w:p>
    <w:p w:rsidR="00F467DD" w:rsidRDefault="00F467DD" w:rsidP="00F467DD">
      <w:pPr>
        <w:pStyle w:val="Parabeforeanother"/>
      </w:pPr>
      <w:r w:rsidRPr="001154E4">
        <w:t xml:space="preserve">Wood, </w:t>
      </w:r>
      <w:r>
        <w:t xml:space="preserve">M., </w:t>
      </w:r>
      <w:r w:rsidRPr="001154E4">
        <w:t xml:space="preserve">Hales, </w:t>
      </w:r>
      <w:r>
        <w:t xml:space="preserve">J., </w:t>
      </w:r>
      <w:r w:rsidRPr="001154E4">
        <w:t>Purdon,</w:t>
      </w:r>
      <w:r>
        <w:t xml:space="preserve"> S., </w:t>
      </w:r>
      <w:r w:rsidRPr="001154E4">
        <w:t>Sejersen</w:t>
      </w:r>
      <w:r>
        <w:t xml:space="preserve">, T. and </w:t>
      </w:r>
      <w:r w:rsidRPr="001154E4">
        <w:t>Hayllar</w:t>
      </w:r>
      <w:r>
        <w:t>, O. (2009), ‘</w:t>
      </w:r>
      <w:hyperlink r:id="rId121" w:history="1">
        <w:r w:rsidRPr="00771AB6">
          <w:rPr>
            <w:rStyle w:val="Hyperlink"/>
          </w:rPr>
          <w:t>A test for racial discrimination in recruitment practice in British cities</w:t>
        </w:r>
      </w:hyperlink>
      <w:r w:rsidR="00771AB6">
        <w:t>’, Research r</w:t>
      </w:r>
      <w:r>
        <w:t>eport 607. Report by National Centre for Social Research for the De</w:t>
      </w:r>
      <w:r w:rsidR="0089729A">
        <w:t xml:space="preserve">partment for Work and Pensions </w:t>
      </w:r>
      <w:r>
        <w:t xml:space="preserve">[accessed: 7 December 2016]. </w:t>
      </w:r>
    </w:p>
    <w:p w:rsidR="00BC52D5" w:rsidRDefault="00F467DD" w:rsidP="00F467DD">
      <w:pPr>
        <w:pStyle w:val="Parabeforeanother"/>
      </w:pPr>
      <w:r>
        <w:t>Woods, D. (2011), ‘</w:t>
      </w:r>
      <w:hyperlink r:id="rId122" w:history="1">
        <w:r w:rsidRPr="0089729A">
          <w:rPr>
            <w:rStyle w:val="Hyperlink"/>
          </w:rPr>
          <w:t>CIPD: Freedom of Information request proves flexible working “carries no red tape” for business</w:t>
        </w:r>
      </w:hyperlink>
      <w:r>
        <w:t xml:space="preserve">’, </w:t>
      </w:r>
      <w:r w:rsidRPr="00A212DF">
        <w:rPr>
          <w:i/>
        </w:rPr>
        <w:t>HR Magazine</w:t>
      </w:r>
      <w:r w:rsidR="0089729A">
        <w:t>, 7 November. [ONLINE]</w:t>
      </w:r>
      <w:r>
        <w:t xml:space="preserve"> [accessed: 7 December 2016]. </w:t>
      </w:r>
    </w:p>
    <w:p w:rsidR="00A15D6E" w:rsidRDefault="00BC52D5">
      <w:pPr>
        <w:spacing w:after="200" w:line="276" w:lineRule="auto"/>
        <w:sectPr w:rsidR="00A15D6E" w:rsidSect="008D4847">
          <w:headerReference w:type="default" r:id="rId123"/>
          <w:pgSz w:w="11906" w:h="16838" w:code="9"/>
          <w:pgMar w:top="1440" w:right="1440" w:bottom="1440" w:left="1440" w:header="567" w:footer="567" w:gutter="0"/>
          <w:cols w:space="708"/>
          <w:docGrid w:linePitch="360"/>
        </w:sectPr>
      </w:pPr>
      <w:r>
        <w:br w:type="page"/>
      </w:r>
    </w:p>
    <w:p w:rsidR="00BC52D5" w:rsidRPr="009D0BF2" w:rsidRDefault="00BC52D5" w:rsidP="00BC52D5">
      <w:pPr>
        <w:pStyle w:val="Title-chapterorange"/>
      </w:pPr>
      <w:bookmarkStart w:id="63" w:name="_Toc406140625"/>
      <w:bookmarkStart w:id="64" w:name="_Toc462057280"/>
      <w:bookmarkStart w:id="65" w:name="_Toc465259119"/>
      <w:bookmarkStart w:id="66" w:name="_Toc490135105"/>
      <w:r w:rsidRPr="009D0BF2">
        <w:lastRenderedPageBreak/>
        <w:t>Contacts</w:t>
      </w:r>
      <w:bookmarkEnd w:id="63"/>
      <w:bookmarkEnd w:id="64"/>
      <w:bookmarkEnd w:id="65"/>
      <w:bookmarkEnd w:id="66"/>
    </w:p>
    <w:p w:rsidR="00BC52D5" w:rsidRPr="009D0BF2" w:rsidRDefault="00BC52D5" w:rsidP="00BC52D5">
      <w:pPr>
        <w:pStyle w:val="Parabeforeanother"/>
      </w:pPr>
      <w:r w:rsidRPr="009D0BF2">
        <w:t>This publication and related equality and human rights resources are available from the Commission</w:t>
      </w:r>
      <w:r>
        <w:t>’</w:t>
      </w:r>
      <w:r w:rsidRPr="009D0BF2">
        <w:t xml:space="preserve">s </w:t>
      </w:r>
      <w:hyperlink r:id="rId124" w:history="1">
        <w:r w:rsidRPr="0089729A">
          <w:rPr>
            <w:rStyle w:val="Hyperlink"/>
          </w:rPr>
          <w:t>website</w:t>
        </w:r>
      </w:hyperlink>
      <w:r>
        <w:t xml:space="preserve">. </w:t>
      </w:r>
    </w:p>
    <w:p w:rsidR="00BC52D5" w:rsidRPr="009D0BF2" w:rsidRDefault="00BC52D5" w:rsidP="00BC52D5">
      <w:pPr>
        <w:pStyle w:val="Parabeforeanother"/>
      </w:pPr>
      <w:r w:rsidRPr="009D0BF2">
        <w:t xml:space="preserve">For advice, information or guidance on equality, discrimination or human rights issues, please contact the </w:t>
      </w:r>
      <w:hyperlink r:id="rId125" w:history="1">
        <w:r w:rsidRPr="0089729A">
          <w:rPr>
            <w:rStyle w:val="Hyperlink"/>
          </w:rPr>
          <w:t>Equality Advisory and Support Service</w:t>
        </w:r>
      </w:hyperlink>
      <w:r w:rsidRPr="009D0BF2">
        <w:t>, a free and independent service.</w:t>
      </w:r>
    </w:p>
    <w:p w:rsidR="00BC52D5" w:rsidRPr="009D0BF2" w:rsidRDefault="00BC52D5" w:rsidP="00BC52D5">
      <w:pPr>
        <w:pStyle w:val="Parabase"/>
        <w:rPr>
          <w:color w:val="000000"/>
          <w:kern w:val="28"/>
        </w:rPr>
      </w:pPr>
      <w:r w:rsidRPr="009D0BF2">
        <w:rPr>
          <w:color w:val="000000"/>
          <w:kern w:val="28"/>
        </w:rPr>
        <w:t xml:space="preserve">Telephone </w:t>
      </w:r>
      <w:r w:rsidRPr="009D0BF2">
        <w:rPr>
          <w:color w:val="000000"/>
          <w:kern w:val="28"/>
        </w:rPr>
        <w:tab/>
        <w:t>0808 800 0082</w:t>
      </w:r>
    </w:p>
    <w:p w:rsidR="00BC52D5" w:rsidRPr="009D0BF2" w:rsidRDefault="00BC52D5" w:rsidP="00BC52D5">
      <w:pPr>
        <w:pStyle w:val="Parabase"/>
        <w:rPr>
          <w:color w:val="000000"/>
          <w:kern w:val="28"/>
        </w:rPr>
      </w:pPr>
      <w:r w:rsidRPr="009D0BF2">
        <w:rPr>
          <w:color w:val="000000"/>
          <w:kern w:val="28"/>
        </w:rPr>
        <w:t xml:space="preserve">Textphone </w:t>
      </w:r>
      <w:r w:rsidRPr="009D0BF2">
        <w:rPr>
          <w:color w:val="000000"/>
          <w:kern w:val="28"/>
        </w:rPr>
        <w:tab/>
        <w:t>0808 800 0084</w:t>
      </w:r>
    </w:p>
    <w:p w:rsidR="00BC52D5" w:rsidRPr="009D0BF2" w:rsidRDefault="00054304" w:rsidP="00BC52D5">
      <w:pPr>
        <w:pStyle w:val="Parabase"/>
        <w:spacing w:after="0"/>
        <w:rPr>
          <w:color w:val="000000"/>
          <w:kern w:val="28"/>
        </w:rPr>
      </w:pPr>
      <w:r>
        <w:rPr>
          <w:color w:val="000000"/>
          <w:kern w:val="28"/>
        </w:rPr>
        <w:t xml:space="preserve">Hours </w:t>
      </w:r>
      <w:r>
        <w:rPr>
          <w:color w:val="000000"/>
          <w:kern w:val="28"/>
        </w:rPr>
        <w:tab/>
      </w:r>
      <w:r>
        <w:rPr>
          <w:color w:val="000000"/>
          <w:kern w:val="28"/>
        </w:rPr>
        <w:tab/>
        <w:t>09:00 to 19</w:t>
      </w:r>
      <w:r w:rsidR="00BC52D5" w:rsidRPr="009D0BF2">
        <w:rPr>
          <w:color w:val="000000"/>
          <w:kern w:val="28"/>
        </w:rPr>
        <w:t>:00 (Monday to Friday)</w:t>
      </w:r>
    </w:p>
    <w:p w:rsidR="00BC52D5" w:rsidRPr="009D0BF2" w:rsidRDefault="00BC52D5" w:rsidP="00BC52D5">
      <w:pPr>
        <w:pStyle w:val="Parabase"/>
        <w:rPr>
          <w:color w:val="000000"/>
          <w:kern w:val="28"/>
        </w:rPr>
      </w:pPr>
      <w:r w:rsidRPr="009D0BF2">
        <w:rPr>
          <w:color w:val="000000"/>
          <w:kern w:val="28"/>
        </w:rPr>
        <w:tab/>
      </w:r>
      <w:r w:rsidRPr="009D0BF2">
        <w:rPr>
          <w:color w:val="000000"/>
          <w:kern w:val="28"/>
        </w:rPr>
        <w:tab/>
        <w:t>10:00 to 14:00 (Saturday)</w:t>
      </w:r>
    </w:p>
    <w:p w:rsidR="00BC52D5" w:rsidRPr="009D0BF2" w:rsidRDefault="00BC52D5" w:rsidP="00BC52D5">
      <w:pPr>
        <w:pStyle w:val="Parabase"/>
        <w:spacing w:after="240"/>
        <w:rPr>
          <w:color w:val="000000"/>
          <w:kern w:val="28"/>
        </w:rPr>
      </w:pPr>
      <w:r w:rsidRPr="009D0BF2">
        <w:rPr>
          <w:color w:val="000000"/>
          <w:kern w:val="28"/>
        </w:rPr>
        <w:t xml:space="preserve">Post </w:t>
      </w:r>
      <w:r w:rsidRPr="009D0BF2">
        <w:rPr>
          <w:color w:val="000000"/>
          <w:kern w:val="28"/>
        </w:rPr>
        <w:tab/>
      </w:r>
      <w:r w:rsidRPr="009D0BF2">
        <w:rPr>
          <w:color w:val="000000"/>
          <w:kern w:val="28"/>
        </w:rPr>
        <w:tab/>
        <w:t>FREEPOST Equality Advisory Support Service FPN4431</w:t>
      </w:r>
    </w:p>
    <w:p w:rsidR="00BC52D5" w:rsidRPr="009D0BF2" w:rsidRDefault="00BC52D5" w:rsidP="00BC52D5">
      <w:pPr>
        <w:pStyle w:val="Parabeforeanother"/>
      </w:pPr>
      <w:r w:rsidRPr="009D0BF2">
        <w:t xml:space="preserve">Questions and comments regarding this publication may be addressed to: </w:t>
      </w:r>
      <w:hyperlink r:id="rId126" w:history="1">
        <w:r w:rsidRPr="00671F8C">
          <w:rPr>
            <w:rStyle w:val="Hyperlink"/>
            <w:kern w:val="28"/>
          </w:rPr>
          <w:t>correspondence@equalityhumanrights.com</w:t>
        </w:r>
      </w:hyperlink>
      <w:r w:rsidRPr="009D0BF2">
        <w:t>. The Commission welcomes your feedback</w:t>
      </w:r>
      <w:r>
        <w:t>.</w:t>
      </w:r>
    </w:p>
    <w:p w:rsidR="00BC52D5" w:rsidRPr="00F51CA9" w:rsidRDefault="00BC52D5" w:rsidP="0089729A">
      <w:pPr>
        <w:pStyle w:val="L4Headers"/>
        <w:spacing w:before="600"/>
        <w:outlineLvl w:val="1"/>
        <w:rPr>
          <w:color w:val="auto"/>
          <w:kern w:val="28"/>
        </w:rPr>
      </w:pPr>
      <w:r w:rsidRPr="00F51CA9">
        <w:rPr>
          <w:color w:val="auto"/>
          <w:kern w:val="28"/>
        </w:rPr>
        <w:t>Alternative formats</w:t>
      </w:r>
    </w:p>
    <w:p w:rsidR="00BC52D5" w:rsidRPr="009D0BF2" w:rsidRDefault="00BC52D5" w:rsidP="00BC52D5">
      <w:pPr>
        <w:pStyle w:val="Parabeforeanother"/>
      </w:pPr>
      <w:r>
        <w:t>This publication</w:t>
      </w:r>
      <w:r w:rsidRPr="009D0BF2">
        <w:t xml:space="preserve"> is </w:t>
      </w:r>
      <w:r>
        <w:t xml:space="preserve">also available as a </w:t>
      </w:r>
      <w:r w:rsidR="0089729A">
        <w:t>PDF file</w:t>
      </w:r>
      <w:r>
        <w:t xml:space="preserve"> </w:t>
      </w:r>
      <w:r w:rsidRPr="009D0BF2">
        <w:t>from</w:t>
      </w:r>
      <w:r w:rsidR="0089729A">
        <w:t xml:space="preserve"> the </w:t>
      </w:r>
      <w:hyperlink r:id="rId127" w:history="1">
        <w:r w:rsidR="0089729A" w:rsidRPr="0089729A">
          <w:rPr>
            <w:rStyle w:val="Hyperlink"/>
          </w:rPr>
          <w:t>Commission’s website</w:t>
        </w:r>
      </w:hyperlink>
      <w:r w:rsidRPr="00D74E35">
        <w:t xml:space="preserve">. For information on accessing a Commission publication in an alternative format, please contact: </w:t>
      </w:r>
      <w:hyperlink r:id="rId128" w:history="1">
        <w:r w:rsidRPr="00D74E35">
          <w:rPr>
            <w:rStyle w:val="Hyperlink"/>
            <w:kern w:val="28"/>
          </w:rPr>
          <w:t>correspondence@equalityhumanrights.com</w:t>
        </w:r>
      </w:hyperlink>
      <w:r w:rsidRPr="00D74E35">
        <w:rPr>
          <w:rStyle w:val="Hyperlink"/>
          <w:kern w:val="28"/>
        </w:rPr>
        <w:t>.</w:t>
      </w:r>
    </w:p>
    <w:p w:rsidR="00BC52D5" w:rsidRPr="009D0BF2" w:rsidRDefault="00BC52D5" w:rsidP="00BC52D5">
      <w:pPr>
        <w:pStyle w:val="Parabase"/>
      </w:pPr>
      <w:r>
        <w:t>© 201</w:t>
      </w:r>
      <w:r w:rsidR="00CD23F8">
        <w:t>7</w:t>
      </w:r>
      <w:r w:rsidRPr="009D0BF2">
        <w:t xml:space="preserve"> Equality and Human Rights Commission</w:t>
      </w:r>
    </w:p>
    <w:p w:rsidR="00F467DD" w:rsidRDefault="00BC52D5" w:rsidP="0089729A">
      <w:pPr>
        <w:pStyle w:val="Parabase"/>
      </w:pPr>
      <w:r>
        <w:t xml:space="preserve">Published </w:t>
      </w:r>
      <w:r w:rsidR="00054304">
        <w:t>August</w:t>
      </w:r>
      <w:r>
        <w:t xml:space="preserve"> 2017</w:t>
      </w:r>
    </w:p>
    <w:sectPr w:rsidR="00F467DD" w:rsidSect="00A15D6E">
      <w:headerReference w:type="default" r:id="rId12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A13" w:rsidRDefault="00042A13">
      <w:pPr>
        <w:spacing w:line="240" w:lineRule="auto"/>
      </w:pPr>
      <w:r>
        <w:separator/>
      </w:r>
    </w:p>
  </w:endnote>
  <w:endnote w:type="continuationSeparator" w:id="0">
    <w:p w:rsidR="00042A13" w:rsidRDefault="00042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MT Std Light">
    <w:charset w:val="00"/>
    <w:family w:val="auto"/>
    <w:pitch w:val="variable"/>
    <w:sig w:usb0="E0002AFF" w:usb1="C0007843" w:usb2="00000009" w:usb3="00000000" w:csb0="000001FF"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FSAlbert">
    <w:panose1 w:val="00000000000000000000"/>
    <w:charset w:val="00"/>
    <w:family w:val="swiss"/>
    <w:notTrueType/>
    <w:pitch w:val="default"/>
    <w:sig w:usb0="00000003" w:usb1="00000000" w:usb2="00000000" w:usb3="00000000" w:csb0="00000001" w:csb1="00000000"/>
  </w:font>
  <w:font w:name="FrutigerLT-Ligh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A753C4" w:rsidRDefault="00771AB6">
    <w:pPr>
      <w:pStyle w:val="Footer"/>
      <w:jc w:val="center"/>
    </w:pPr>
  </w:p>
  <w:p w:rsidR="00771AB6" w:rsidRDefault="00771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842215"/>
      <w:docPartObj>
        <w:docPartGallery w:val="Page Numbers (Bottom of Page)"/>
        <w:docPartUnique/>
      </w:docPartObj>
    </w:sdtPr>
    <w:sdtEndPr>
      <w:rPr>
        <w:noProof/>
      </w:rPr>
    </w:sdtEndPr>
    <w:sdtContent>
      <w:p w:rsidR="00771AB6" w:rsidRDefault="00771AB6">
        <w:pPr>
          <w:pStyle w:val="Footer"/>
          <w:jc w:val="right"/>
        </w:pPr>
        <w:r>
          <w:fldChar w:fldCharType="begin"/>
        </w:r>
        <w:r>
          <w:instrText xml:space="preserve"> PAGE   \* MERGEFORMAT </w:instrText>
        </w:r>
        <w:r>
          <w:fldChar w:fldCharType="separate"/>
        </w:r>
        <w:r w:rsidR="008C0FB2">
          <w:rPr>
            <w:noProof/>
          </w:rPr>
          <w:t>13</w:t>
        </w:r>
        <w:r>
          <w:rPr>
            <w:noProof/>
          </w:rPr>
          <w:fldChar w:fldCharType="end"/>
        </w:r>
      </w:p>
    </w:sdtContent>
  </w:sdt>
  <w:p w:rsidR="00771AB6" w:rsidRPr="00D64BE2" w:rsidRDefault="00042A13" w:rsidP="00127902">
    <w:pPr>
      <w:pStyle w:val="Footer"/>
      <w:spacing w:line="312" w:lineRule="auto"/>
      <w:ind w:left="-567"/>
      <w:rPr>
        <w:sz w:val="16"/>
        <w:szCs w:val="16"/>
      </w:rPr>
    </w:pPr>
    <w:hyperlink r:id="rId1" w:history="1">
      <w:r w:rsidR="00771AB6" w:rsidRPr="00B05452">
        <w:rPr>
          <w:rStyle w:val="Hyperlink"/>
          <w:sz w:val="16"/>
          <w:szCs w:val="16"/>
        </w:rPr>
        <w:t>Equality and Human Rights Commission</w:t>
      </w:r>
    </w:hyperlink>
    <w:r w:rsidR="00771AB6">
      <w:rPr>
        <w:sz w:val="16"/>
        <w:szCs w:val="16"/>
      </w:rPr>
      <w:t xml:space="preserve"> </w:t>
    </w:r>
  </w:p>
  <w:p w:rsidR="00771AB6" w:rsidRPr="00D64BE2" w:rsidRDefault="00771AB6" w:rsidP="00127902">
    <w:pPr>
      <w:pStyle w:val="Footer"/>
      <w:spacing w:line="312" w:lineRule="auto"/>
      <w:ind w:left="-567"/>
      <w:rPr>
        <w:sz w:val="16"/>
        <w:szCs w:val="16"/>
      </w:rPr>
    </w:pPr>
    <w:r>
      <w:rPr>
        <w:sz w:val="16"/>
        <w:szCs w:val="16"/>
      </w:rPr>
      <w:t xml:space="preserve">Published: August </w:t>
    </w:r>
    <w:r w:rsidRPr="00D64BE2">
      <w:rPr>
        <w:sz w:val="16"/>
        <w:szCs w:val="16"/>
      </w:rPr>
      <w:t>2017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A753C4" w:rsidRDefault="00771AB6">
    <w:pPr>
      <w:pStyle w:val="Footer"/>
      <w:jc w:val="center"/>
    </w:pPr>
  </w:p>
  <w:p w:rsidR="00771AB6" w:rsidRDefault="00771A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819422"/>
      <w:docPartObj>
        <w:docPartGallery w:val="Page Numbers (Bottom of Page)"/>
        <w:docPartUnique/>
      </w:docPartObj>
    </w:sdtPr>
    <w:sdtEndPr>
      <w:rPr>
        <w:noProof/>
      </w:rPr>
    </w:sdtEndPr>
    <w:sdtContent>
      <w:p w:rsidR="00771AB6" w:rsidRDefault="00771AB6">
        <w:pPr>
          <w:pStyle w:val="Footer"/>
          <w:jc w:val="right"/>
        </w:pPr>
        <w:r>
          <w:fldChar w:fldCharType="begin"/>
        </w:r>
        <w:r>
          <w:instrText xml:space="preserve"> PAGE   \* MERGEFORMAT </w:instrText>
        </w:r>
        <w:r>
          <w:fldChar w:fldCharType="separate"/>
        </w:r>
        <w:r w:rsidR="00886362">
          <w:rPr>
            <w:noProof/>
          </w:rPr>
          <w:t>60</w:t>
        </w:r>
        <w:r>
          <w:rPr>
            <w:noProof/>
          </w:rPr>
          <w:fldChar w:fldCharType="end"/>
        </w:r>
      </w:p>
    </w:sdtContent>
  </w:sdt>
  <w:p w:rsidR="00771AB6" w:rsidRPr="007F3EAD" w:rsidRDefault="00042A13" w:rsidP="00127902">
    <w:pPr>
      <w:pStyle w:val="Footer"/>
      <w:spacing w:line="312" w:lineRule="auto"/>
      <w:ind w:left="-567"/>
      <w:rPr>
        <w:sz w:val="16"/>
        <w:szCs w:val="16"/>
      </w:rPr>
    </w:pPr>
    <w:hyperlink r:id="rId1" w:history="1">
      <w:r w:rsidR="00771AB6" w:rsidRPr="00B05452">
        <w:rPr>
          <w:rStyle w:val="Hyperlink"/>
          <w:sz w:val="16"/>
          <w:szCs w:val="16"/>
        </w:rPr>
        <w:t>Equality and Human Rights Commission</w:t>
      </w:r>
    </w:hyperlink>
    <w:r w:rsidR="00771AB6">
      <w:rPr>
        <w:sz w:val="16"/>
        <w:szCs w:val="16"/>
      </w:rPr>
      <w:t xml:space="preserve"> </w:t>
    </w:r>
  </w:p>
  <w:p w:rsidR="00771AB6" w:rsidRPr="007F3EAD" w:rsidRDefault="00771AB6" w:rsidP="00127902">
    <w:pPr>
      <w:pStyle w:val="Footer"/>
      <w:spacing w:line="312" w:lineRule="auto"/>
      <w:ind w:left="-567"/>
      <w:rPr>
        <w:sz w:val="16"/>
        <w:szCs w:val="16"/>
      </w:rPr>
    </w:pPr>
    <w:r>
      <w:rPr>
        <w:sz w:val="16"/>
        <w:szCs w:val="16"/>
      </w:rPr>
      <w:t>Published: August</w:t>
    </w:r>
    <w:r w:rsidRPr="007F3EAD">
      <w:rPr>
        <w:sz w:val="16"/>
        <w:szCs w:val="16"/>
      </w:rPr>
      <w:t xml:space="preserve"> 2017</w:t>
    </w:r>
  </w:p>
  <w:p w:rsidR="00771AB6" w:rsidRPr="00D729A2" w:rsidRDefault="00771AB6" w:rsidP="00D729A2">
    <w:pPr>
      <w:pStyle w:val="Footer"/>
      <w:tabs>
        <w:tab w:val="clear" w:pos="9026"/>
        <w:tab w:val="right" w:pos="9498"/>
      </w:tabs>
      <w:spacing w:line="240" w:lineRule="auto"/>
      <w:ind w:left="-567"/>
      <w:rPr>
        <w:b/>
        <w:noProo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A13" w:rsidRDefault="00042A13">
      <w:pPr>
        <w:spacing w:line="240" w:lineRule="auto"/>
      </w:pPr>
      <w:r>
        <w:separator/>
      </w:r>
    </w:p>
  </w:footnote>
  <w:footnote w:type="continuationSeparator" w:id="0">
    <w:p w:rsidR="00042A13" w:rsidRDefault="00042A13">
      <w:pPr>
        <w:spacing w:line="240" w:lineRule="auto"/>
      </w:pPr>
      <w:r>
        <w:continuationSeparator/>
      </w:r>
    </w:p>
  </w:footnote>
  <w:footnote w:id="1">
    <w:p w:rsidR="00771AB6" w:rsidRDefault="00771AB6" w:rsidP="0078758A">
      <w:pPr>
        <w:pStyle w:val="FootnoteText"/>
      </w:pPr>
      <w:r>
        <w:rPr>
          <w:rStyle w:val="FootnoteReference"/>
        </w:rPr>
        <w:footnoteRef/>
      </w:r>
      <w:r>
        <w:t xml:space="preserve"> Proposed date at time of writing.</w:t>
      </w:r>
    </w:p>
  </w:footnote>
  <w:footnote w:id="2">
    <w:p w:rsidR="00771AB6" w:rsidRDefault="00771AB6" w:rsidP="0078758A">
      <w:pPr>
        <w:pStyle w:val="FootnoteText"/>
      </w:pPr>
      <w:r>
        <w:rPr>
          <w:rStyle w:val="FootnoteReference"/>
        </w:rPr>
        <w:footnoteRef/>
      </w:r>
      <w:r>
        <w:t xml:space="preserve"> Consultation ended 30 September 2016.</w:t>
      </w:r>
    </w:p>
  </w:footnote>
  <w:footnote w:id="3">
    <w:p w:rsidR="00771AB6" w:rsidRPr="005F4C5C" w:rsidRDefault="00771AB6" w:rsidP="00F467DD">
      <w:pPr>
        <w:pStyle w:val="FootnoteText"/>
        <w:rPr>
          <w:sz w:val="18"/>
          <w:szCs w:val="18"/>
        </w:rPr>
      </w:pPr>
      <w:r>
        <w:rPr>
          <w:rStyle w:val="FootnoteReference"/>
        </w:rPr>
        <w:footnoteRef/>
      </w:r>
      <w:r>
        <w:t xml:space="preserve"> </w:t>
      </w:r>
      <w:r w:rsidRPr="005F4C5C">
        <w:rPr>
          <w:sz w:val="18"/>
          <w:szCs w:val="18"/>
        </w:rPr>
        <w:t>The composition of the public and private sectors changes from year to year and this will influence the gender pay gap. For example, any creation of jobs in higher-paying occupations with a high proportion of female employees would help to reduce the gap (ONS, 201</w:t>
      </w:r>
      <w:r>
        <w:rPr>
          <w:sz w:val="18"/>
          <w:szCs w:val="18"/>
        </w:rPr>
        <w:t>6</w:t>
      </w:r>
      <w:r w:rsidRPr="005F4C5C">
        <w:rPr>
          <w:sz w:val="18"/>
          <w:szCs w:val="18"/>
        </w:rPr>
        <w:t>).</w:t>
      </w:r>
    </w:p>
  </w:footnote>
  <w:footnote w:id="4">
    <w:p w:rsidR="00771AB6" w:rsidRDefault="00771AB6" w:rsidP="00F467DD">
      <w:pPr>
        <w:pStyle w:val="FootnoteText"/>
      </w:pPr>
      <w:r>
        <w:rPr>
          <w:rStyle w:val="FootnoteReference"/>
        </w:rPr>
        <w:footnoteRef/>
      </w:r>
      <w:r>
        <w:t xml:space="preserve"> </w:t>
      </w:r>
      <w:r w:rsidRPr="00215B5A">
        <w:rPr>
          <w:lang w:val="en"/>
        </w:rPr>
        <w:t>The increase in the employment rate for women is partly due to ongoing changes to the state pension age for</w:t>
      </w:r>
      <w:r>
        <w:rPr>
          <w:lang w:val="en"/>
        </w:rPr>
        <w:t xml:space="preserve"> </w:t>
      </w:r>
      <w:r w:rsidRPr="00215B5A">
        <w:rPr>
          <w:lang w:val="en"/>
        </w:rPr>
        <w:t>women</w:t>
      </w:r>
      <w:r>
        <w:rPr>
          <w:lang w:val="en"/>
        </w:rPr>
        <w:t>,</w:t>
      </w:r>
      <w:r w:rsidRPr="00215B5A">
        <w:rPr>
          <w:lang w:val="en"/>
        </w:rPr>
        <w:t xml:space="preserve"> resulting in fewer women retiring between the ages of 60 and 65</w:t>
      </w:r>
      <w:r>
        <w:rPr>
          <w:lang w:val="en"/>
        </w:rPr>
        <w:t>.</w:t>
      </w:r>
    </w:p>
  </w:footnote>
  <w:footnote w:id="5">
    <w:p w:rsidR="00771AB6" w:rsidRDefault="00771AB6" w:rsidP="00F467DD">
      <w:pPr>
        <w:pStyle w:val="FootnoteText"/>
      </w:pPr>
      <w:r>
        <w:rPr>
          <w:rStyle w:val="FootnoteReference"/>
        </w:rPr>
        <w:footnoteRef/>
      </w:r>
      <w:r>
        <w:t xml:space="preserve"> See </w:t>
      </w:r>
      <w:hyperlink r:id="rId1" w:history="1">
        <w:r w:rsidRPr="00B05452">
          <w:rPr>
            <w:rStyle w:val="Hyperlink"/>
          </w:rPr>
          <w:t>here</w:t>
        </w:r>
      </w:hyperlink>
      <w:r>
        <w:t xml:space="preserve"> [accessed: 14 December 2016].</w:t>
      </w:r>
    </w:p>
  </w:footnote>
  <w:footnote w:id="6">
    <w:p w:rsidR="00771AB6" w:rsidRDefault="00771AB6" w:rsidP="00F467DD">
      <w:pPr>
        <w:pStyle w:val="FootnoteText"/>
      </w:pPr>
      <w:r>
        <w:rPr>
          <w:rStyle w:val="FootnoteReference"/>
        </w:rPr>
        <w:footnoteRef/>
      </w:r>
      <w:r>
        <w:t xml:space="preserve"> The Equality and Human Rights Commission guidance on the PSED in Wales adds that, in respect of gender, a public body must publish:</w:t>
      </w:r>
    </w:p>
    <w:p w:rsidR="00771AB6" w:rsidRPr="007B3973" w:rsidRDefault="00771AB6" w:rsidP="007B3973">
      <w:pPr>
        <w:pStyle w:val="ListParagraph"/>
        <w:numPr>
          <w:ilvl w:val="0"/>
          <w:numId w:val="40"/>
        </w:numPr>
        <w:autoSpaceDE w:val="0"/>
        <w:autoSpaceDN w:val="0"/>
        <w:adjustRightInd w:val="0"/>
        <w:spacing w:line="240" w:lineRule="auto"/>
        <w:rPr>
          <w:sz w:val="20"/>
          <w:szCs w:val="20"/>
        </w:rPr>
      </w:pPr>
      <w:r w:rsidRPr="007B3973">
        <w:rPr>
          <w:sz w:val="20"/>
          <w:szCs w:val="20"/>
        </w:rPr>
        <w:t>an equality objective to address any gender pay gap identified or or else publish reasons why it has not done so</w:t>
      </w:r>
    </w:p>
    <w:p w:rsidR="00771AB6" w:rsidRDefault="00771AB6" w:rsidP="007B3973">
      <w:pPr>
        <w:pStyle w:val="FootnoteText"/>
        <w:numPr>
          <w:ilvl w:val="0"/>
          <w:numId w:val="40"/>
        </w:numPr>
      </w:pPr>
      <w:r>
        <w:t>an action plan in respect of gender pay setting out any policy it has that relates to the need to address the causes of any gender pay difference</w:t>
      </w:r>
    </w:p>
    <w:p w:rsidR="00771AB6" w:rsidRDefault="00771AB6" w:rsidP="007B3973">
      <w:pPr>
        <w:pStyle w:val="FootnoteText"/>
        <w:numPr>
          <w:ilvl w:val="0"/>
          <w:numId w:val="40"/>
        </w:numPr>
      </w:pPr>
      <w:r>
        <w:t>any gender pay equality objective it has published (including any revisions), and</w:t>
      </w:r>
    </w:p>
    <w:p w:rsidR="00771AB6" w:rsidRDefault="00771AB6" w:rsidP="007B3973">
      <w:pPr>
        <w:pStyle w:val="FootnoteText"/>
        <w:numPr>
          <w:ilvl w:val="0"/>
          <w:numId w:val="40"/>
        </w:numPr>
      </w:pPr>
      <w:r>
        <w:t>a statement about the steps it has taken or intends to take to fulfil its gender pay objective and how long it expects to take (EHRC, 2011)</w:t>
      </w:r>
    </w:p>
  </w:footnote>
  <w:footnote w:id="7">
    <w:p w:rsidR="00771AB6" w:rsidRDefault="00771AB6" w:rsidP="00F467DD">
      <w:pPr>
        <w:pStyle w:val="FootnoteText"/>
      </w:pPr>
      <w:r>
        <w:rPr>
          <w:rStyle w:val="FootnoteReference"/>
        </w:rPr>
        <w:footnoteRef/>
      </w:r>
      <w:r>
        <w:t xml:space="preserve"> See </w:t>
      </w:r>
      <w:hyperlink r:id="rId2" w:history="1">
        <w:r w:rsidRPr="00B05452">
          <w:rPr>
            <w:rStyle w:val="Hyperlink"/>
          </w:rPr>
          <w:t>here</w:t>
        </w:r>
      </w:hyperlink>
      <w:r>
        <w:t xml:space="preserve"> [accessed: 14 December 2016]. </w:t>
      </w:r>
    </w:p>
  </w:footnote>
  <w:footnote w:id="8">
    <w:p w:rsidR="00771AB6" w:rsidRDefault="00771AB6" w:rsidP="00F467DD">
      <w:pPr>
        <w:pStyle w:val="FootnoteText"/>
      </w:pPr>
      <w:r>
        <w:rPr>
          <w:rStyle w:val="FootnoteReference"/>
        </w:rPr>
        <w:footnoteRef/>
      </w:r>
      <w:r>
        <w:t xml:space="preserve"> </w:t>
      </w:r>
      <w:r w:rsidRPr="00FC0A21">
        <w:t>Based on analysis of successful judgments in claims of equal pay or sex discrimination in pay over an eight</w:t>
      </w:r>
      <w:r>
        <w:t>-</w:t>
      </w:r>
      <w:r w:rsidRPr="00FC0A21">
        <w:t>year period. Some 41 judgements were identified (IDS</w:t>
      </w:r>
      <w:r>
        <w:t>,</w:t>
      </w:r>
      <w:r w:rsidRPr="00FC0A21">
        <w:t xml:space="preserve"> 2012).</w:t>
      </w:r>
    </w:p>
  </w:footnote>
  <w:footnote w:id="9">
    <w:p w:rsidR="00771AB6" w:rsidRDefault="00771AB6" w:rsidP="00F467DD">
      <w:pPr>
        <w:pStyle w:val="FootnoteText"/>
      </w:pPr>
      <w:r>
        <w:rPr>
          <w:rStyle w:val="FootnoteReference"/>
        </w:rPr>
        <w:footnoteRef/>
      </w:r>
      <w:r>
        <w:t xml:space="preserve"> See </w:t>
      </w:r>
      <w:hyperlink r:id="rId3" w:history="1">
        <w:r w:rsidRPr="00B05452">
          <w:rPr>
            <w:rStyle w:val="Hyperlink"/>
          </w:rPr>
          <w:t>here</w:t>
        </w:r>
      </w:hyperlink>
      <w:r>
        <w:t xml:space="preserve"> </w:t>
      </w:r>
      <w:r w:rsidRPr="00D64BE2">
        <w:rPr>
          <w:rStyle w:val="Hyperlink"/>
          <w:color w:val="auto"/>
          <w:u w:val="none"/>
        </w:rPr>
        <w:t>[accessed: 14 December 2016].</w:t>
      </w:r>
      <w:r w:rsidRPr="00D64BE2">
        <w:t xml:space="preserve"> </w:t>
      </w:r>
    </w:p>
  </w:footnote>
  <w:footnote w:id="10">
    <w:p w:rsidR="00771AB6" w:rsidRDefault="00771AB6" w:rsidP="00F467DD">
      <w:pPr>
        <w:pStyle w:val="FootnoteText"/>
      </w:pPr>
      <w:r>
        <w:rPr>
          <w:rStyle w:val="FootnoteReference"/>
        </w:rPr>
        <w:footnoteRef/>
      </w:r>
      <w:r>
        <w:t xml:space="preserve"> </w:t>
      </w:r>
      <w:r w:rsidRPr="00FC0A21">
        <w:t>A telephone survey was conducted with 855 private and voluntary sector employers in September 2014 (IFF Research, 2015).</w:t>
      </w:r>
    </w:p>
  </w:footnote>
  <w:footnote w:id="11">
    <w:p w:rsidR="00771AB6" w:rsidRDefault="00771AB6" w:rsidP="00F467DD">
      <w:pPr>
        <w:pStyle w:val="FootnoteText"/>
      </w:pPr>
      <w:r>
        <w:rPr>
          <w:rStyle w:val="FootnoteReference"/>
        </w:rPr>
        <w:footnoteRef/>
      </w:r>
      <w:r>
        <w:t xml:space="preserve"> </w:t>
      </w:r>
      <w:r w:rsidRPr="00FC0A21">
        <w:t>The response rate for this survey was relatively low</w:t>
      </w:r>
      <w:r>
        <w:t>,</w:t>
      </w:r>
      <w:r w:rsidRPr="00FC0A21">
        <w:t xml:space="preserve"> achieving only 185 interviews and 17 qualitative interviews (Dewson </w:t>
      </w:r>
      <w:r w:rsidRPr="006E4262">
        <w:rPr>
          <w:i/>
        </w:rPr>
        <w:t>et al</w:t>
      </w:r>
      <w:r>
        <w:rPr>
          <w:i/>
        </w:rPr>
        <w:t>.</w:t>
      </w:r>
      <w:r w:rsidRPr="00FC0A21">
        <w:t>, 2011).</w:t>
      </w:r>
    </w:p>
  </w:footnote>
  <w:footnote w:id="12">
    <w:p w:rsidR="00771AB6" w:rsidRDefault="00771AB6" w:rsidP="00F467DD">
      <w:pPr>
        <w:pStyle w:val="FootnoteText"/>
      </w:pPr>
      <w:r>
        <w:rPr>
          <w:rStyle w:val="FootnoteReference"/>
        </w:rPr>
        <w:footnoteRef/>
      </w:r>
      <w:r>
        <w:t xml:space="preserve"> </w:t>
      </w:r>
      <w:r w:rsidRPr="00FC0A21">
        <w:t xml:space="preserve">A telephone survey was conducted with 900 private and voluntary sector employers (Adams </w:t>
      </w:r>
      <w:r w:rsidRPr="006E4262">
        <w:rPr>
          <w:i/>
        </w:rPr>
        <w:t>et al</w:t>
      </w:r>
      <w:r>
        <w:t>.</w:t>
      </w:r>
      <w:r w:rsidRPr="00FC0A21">
        <w:t>, 2010).</w:t>
      </w:r>
    </w:p>
  </w:footnote>
  <w:footnote w:id="13">
    <w:p w:rsidR="00771AB6" w:rsidRDefault="00771AB6" w:rsidP="00F467DD">
      <w:pPr>
        <w:pStyle w:val="FootnoteText"/>
      </w:pPr>
      <w:r>
        <w:rPr>
          <w:rStyle w:val="FootnoteReference"/>
        </w:rPr>
        <w:footnoteRef/>
      </w:r>
      <w:r>
        <w:t xml:space="preserve"> The figures show that the proportion of those who had heard of the initiative were: 14% </w:t>
      </w:r>
      <w:r w:rsidRPr="00FC0A21">
        <w:t>of those with 150</w:t>
      </w:r>
      <w:r>
        <w:t>–</w:t>
      </w:r>
      <w:r w:rsidRPr="00FC0A21">
        <w:t>249 employees; 11</w:t>
      </w:r>
      <w:r>
        <w:t xml:space="preserve">% </w:t>
      </w:r>
      <w:r w:rsidRPr="00FC0A21">
        <w:t>of those with 250</w:t>
      </w:r>
      <w:r>
        <w:t>–</w:t>
      </w:r>
      <w:r w:rsidRPr="00FC0A21">
        <w:t>499 employees</w:t>
      </w:r>
      <w:r>
        <w:t>;</w:t>
      </w:r>
      <w:r w:rsidRPr="00FC0A21">
        <w:t xml:space="preserve"> 19</w:t>
      </w:r>
      <w:r>
        <w:t>%</w:t>
      </w:r>
      <w:r w:rsidRPr="00FC0A21">
        <w:t xml:space="preserve"> of those with 500</w:t>
      </w:r>
      <w:r>
        <w:t>–</w:t>
      </w:r>
      <w:r w:rsidRPr="00FC0A21">
        <w:t>999 employees</w:t>
      </w:r>
      <w:r>
        <w:t>;</w:t>
      </w:r>
      <w:r w:rsidRPr="00FC0A21">
        <w:t xml:space="preserve"> 26</w:t>
      </w:r>
      <w:r>
        <w:t xml:space="preserve">% </w:t>
      </w:r>
      <w:r w:rsidRPr="00FC0A21">
        <w:t>of those with 1,000 or more employees (IFF Research, 2015).</w:t>
      </w:r>
    </w:p>
  </w:footnote>
  <w:footnote w:id="14">
    <w:p w:rsidR="00771AB6" w:rsidRDefault="00771AB6" w:rsidP="00F467DD">
      <w:pPr>
        <w:pStyle w:val="FootnoteText"/>
      </w:pPr>
      <w:r>
        <w:rPr>
          <w:rStyle w:val="FootnoteReference"/>
        </w:rPr>
        <w:footnoteRef/>
      </w:r>
      <w:r>
        <w:t xml:space="preserve"> See </w:t>
      </w:r>
      <w:hyperlink r:id="rId4" w:history="1">
        <w:r w:rsidRPr="00B05452">
          <w:rPr>
            <w:rStyle w:val="Hyperlink"/>
          </w:rPr>
          <w:t>here</w:t>
        </w:r>
      </w:hyperlink>
      <w:r>
        <w:t xml:space="preserve"> [accessed 6 February 2017].</w:t>
      </w:r>
    </w:p>
  </w:footnote>
  <w:footnote w:id="15">
    <w:p w:rsidR="00771AB6" w:rsidRDefault="00771AB6" w:rsidP="00F467DD">
      <w:pPr>
        <w:pStyle w:val="FootnoteText"/>
      </w:pPr>
      <w:r>
        <w:rPr>
          <w:rStyle w:val="FootnoteReference"/>
        </w:rPr>
        <w:footnoteRef/>
      </w:r>
      <w:r>
        <w:t xml:space="preserve"> </w:t>
      </w:r>
      <w:hyperlink r:id="rId5" w:history="1">
        <w:r w:rsidRPr="00B05452">
          <w:rPr>
            <w:rStyle w:val="Hyperlink"/>
          </w:rPr>
          <w:t>Living Wage Foundation</w:t>
        </w:r>
      </w:hyperlink>
      <w:r>
        <w:t xml:space="preserve"> [accessed 6 February 2017].</w:t>
      </w:r>
    </w:p>
  </w:footnote>
  <w:footnote w:id="16">
    <w:p w:rsidR="00771AB6" w:rsidRDefault="00771AB6" w:rsidP="00F467DD">
      <w:pPr>
        <w:pStyle w:val="FootnoteText"/>
      </w:pPr>
      <w:r>
        <w:rPr>
          <w:rStyle w:val="FootnoteReference"/>
        </w:rPr>
        <w:footnoteRef/>
      </w:r>
      <w:r>
        <w:t xml:space="preserve"> </w:t>
      </w:r>
      <w:r w:rsidRPr="009D1FC3">
        <w:t xml:space="preserve">For those eligible, both parents can share up to 50 weeks of parental leave and 37 weeks of Statutory Shared Parental Pay (if maternity/adoption leave and pay is ended). </w:t>
      </w:r>
      <w:r>
        <w:t>This</w:t>
      </w:r>
      <w:r w:rsidRPr="009D1FC3">
        <w:t xml:space="preserve"> is paid at the rate of £139.58 a week or 90</w:t>
      </w:r>
      <w:r>
        <w:t>%</w:t>
      </w:r>
      <w:r w:rsidRPr="009D1FC3">
        <w:t xml:space="preserve"> of average weekly earnings</w:t>
      </w:r>
      <w:r>
        <w:t>;</w:t>
      </w:r>
      <w:r w:rsidRPr="009D1FC3">
        <w:t xml:space="preserve"> whichever is lower.</w:t>
      </w:r>
    </w:p>
  </w:footnote>
  <w:footnote w:id="17">
    <w:p w:rsidR="00771AB6" w:rsidRDefault="00771AB6" w:rsidP="00F467DD">
      <w:pPr>
        <w:pStyle w:val="FootnoteText"/>
      </w:pPr>
      <w:r>
        <w:rPr>
          <w:rStyle w:val="FootnoteReference"/>
        </w:rPr>
        <w:footnoteRef/>
      </w:r>
      <w:r>
        <w:t xml:space="preserve"> </w:t>
      </w:r>
      <w:r w:rsidRPr="00596D12">
        <w:t>The evaluation was based on a survey of 1,151 parental households whose youngest child was born in the first quarter of 2007 or in the last quarter of 2006. Therefore, a comparison</w:t>
      </w:r>
      <w:r>
        <w:t xml:space="preserve"> could be drawn</w:t>
      </w:r>
      <w:r w:rsidRPr="00596D12">
        <w:t xml:space="preserve"> between the behaviour of parents under the new parental allowance legislation and parents receiving a former Family Allowance (Vogler-Ludwig and Giernalczyk, 2009).</w:t>
      </w:r>
    </w:p>
  </w:footnote>
  <w:footnote w:id="18">
    <w:p w:rsidR="00771AB6" w:rsidRDefault="00771AB6" w:rsidP="00F467DD">
      <w:pPr>
        <w:pStyle w:val="FootnoteText"/>
      </w:pPr>
      <w:r>
        <w:rPr>
          <w:rStyle w:val="FootnoteReference"/>
        </w:rPr>
        <w:footnoteRef/>
      </w:r>
      <w:r>
        <w:t xml:space="preserve"> </w:t>
      </w:r>
      <w:r w:rsidRPr="00596D12">
        <w:t xml:space="preserve">Data is from the 2004–7 British Household Panel Survey (BHPS) dataset (Olsen </w:t>
      </w:r>
      <w:r w:rsidRPr="00854C19">
        <w:rPr>
          <w:i/>
        </w:rPr>
        <w:t>et al</w:t>
      </w:r>
      <w:r>
        <w:t>.</w:t>
      </w:r>
      <w:r w:rsidRPr="00596D12">
        <w:t>, 2010).</w:t>
      </w:r>
    </w:p>
  </w:footnote>
  <w:footnote w:id="19">
    <w:p w:rsidR="00771AB6" w:rsidRDefault="00771AB6" w:rsidP="00F467DD">
      <w:pPr>
        <w:pStyle w:val="FootnoteText"/>
      </w:pPr>
      <w:r>
        <w:rPr>
          <w:rStyle w:val="FootnoteReference"/>
        </w:rPr>
        <w:footnoteRef/>
      </w:r>
      <w:r>
        <w:t xml:space="preserve"> </w:t>
      </w:r>
      <w:r w:rsidRPr="00596D12">
        <w:t xml:space="preserve">The Women Adding Value to the Economy (WAVE) Programme is funded by the European Social Fund, through the Welsh Government and other key partners. The first phase of WAVE ran between 2012 and 2015 with the aim of understanding and ‘interrupting’ </w:t>
      </w:r>
      <w:r>
        <w:t xml:space="preserve">(Parken </w:t>
      </w:r>
      <w:r w:rsidRPr="007F3EAD">
        <w:rPr>
          <w:i/>
        </w:rPr>
        <w:t>et al</w:t>
      </w:r>
      <w:r>
        <w:t xml:space="preserve">., 2015, p.4) </w:t>
      </w:r>
      <w:r w:rsidRPr="00596D12">
        <w:t xml:space="preserve">the ways in which gender pay disparities are consistently reproduced through occupational segregation, through the ways in which ‘women’s work’ is </w:t>
      </w:r>
      <w:r>
        <w:t>under-</w:t>
      </w:r>
      <w:r w:rsidRPr="00596D12">
        <w:t>valued and contracted and through the operation of pay systems</w:t>
      </w:r>
      <w:r>
        <w:t xml:space="preserve"> (Parken, 2015)</w:t>
      </w:r>
      <w:r w:rsidRPr="00596D12">
        <w:t>.</w:t>
      </w:r>
    </w:p>
  </w:footnote>
  <w:footnote w:id="20">
    <w:p w:rsidR="00771AB6" w:rsidRDefault="00771AB6" w:rsidP="00F467DD">
      <w:pPr>
        <w:pStyle w:val="FootnoteText"/>
      </w:pPr>
      <w:r>
        <w:rPr>
          <w:rStyle w:val="FootnoteReference"/>
        </w:rPr>
        <w:footnoteRef/>
      </w:r>
      <w:r>
        <w:t xml:space="preserve"> </w:t>
      </w:r>
      <w:r w:rsidRPr="004542DC">
        <w:t xml:space="preserve">Interviews were carried out with: </w:t>
      </w:r>
      <w:r>
        <w:t xml:space="preserve">60 </w:t>
      </w:r>
      <w:r w:rsidRPr="004542DC">
        <w:t xml:space="preserve">AtW customers; </w:t>
      </w:r>
      <w:r>
        <w:t xml:space="preserve">36 </w:t>
      </w:r>
      <w:r w:rsidRPr="004542DC">
        <w:t xml:space="preserve">employers of AtW customers; Jobcentre Plus and DWP head office staff; staff from the AtW National Delivery Team; AtW Business Centre staff; Jobcentre Plus advisers and Disability Employment Advisers (DEA); AtW assessment providers; and New Deal for Disabled People (NDDP) and WORKSTEP providers (Dewson </w:t>
      </w:r>
      <w:r w:rsidRPr="009C3091">
        <w:rPr>
          <w:i/>
        </w:rPr>
        <w:t>et al</w:t>
      </w:r>
      <w:r>
        <w:t>.</w:t>
      </w:r>
      <w:r w:rsidRPr="004542DC">
        <w:t>, 2009).</w:t>
      </w:r>
    </w:p>
  </w:footnote>
  <w:footnote w:id="21">
    <w:p w:rsidR="00771AB6" w:rsidRDefault="00771AB6" w:rsidP="00F467DD">
      <w:pPr>
        <w:pStyle w:val="FootnoteText"/>
      </w:pPr>
      <w:r>
        <w:rPr>
          <w:rStyle w:val="FootnoteReference"/>
        </w:rPr>
        <w:footnoteRef/>
      </w:r>
      <w:r>
        <w:t xml:space="preserve"> </w:t>
      </w:r>
      <w:r>
        <w:rPr>
          <w:lang w:val="en"/>
        </w:rPr>
        <w:t>The disability confident symbol has now replaced the ‘two ticks’ symbol (Gov.uk, 2016).</w:t>
      </w:r>
    </w:p>
  </w:footnote>
  <w:footnote w:id="22">
    <w:p w:rsidR="00771AB6" w:rsidRDefault="00771AB6" w:rsidP="00F467DD">
      <w:pPr>
        <w:pStyle w:val="FootnoteText"/>
        <w:rPr>
          <w:rFonts w:cs="Arial"/>
        </w:rPr>
      </w:pPr>
      <w:r>
        <w:rPr>
          <w:rStyle w:val="FootnoteReference"/>
          <w:rFonts w:cs="Arial"/>
        </w:rPr>
        <w:footnoteRef/>
      </w:r>
      <w:r>
        <w:rPr>
          <w:rFonts w:cs="Arial"/>
        </w:rPr>
        <w:t xml:space="preserve"> </w:t>
      </w:r>
      <w:r>
        <w:rPr>
          <w:rFonts w:cs="Arial"/>
          <w:color w:val="000000"/>
        </w:rPr>
        <w:t xml:space="preserve">The Two Ticks symbol has been awarded to 8,387 organisations </w:t>
      </w:r>
      <w:r>
        <w:rPr>
          <w:rFonts w:cs="Arial"/>
          <w:color w:val="0C0C0C"/>
          <w:lang w:val="en"/>
        </w:rPr>
        <w:t xml:space="preserve">by the </w:t>
      </w:r>
      <w:hyperlink r:id="rId6" w:tgtFrame="_blank" w:history="1">
        <w:r>
          <w:rPr>
            <w:rStyle w:val="Hyperlink"/>
            <w:rFonts w:cs="Arial"/>
            <w:lang w:val="en"/>
          </w:rPr>
          <w:t>Department for Work and Pensions,</w:t>
        </w:r>
      </w:hyperlink>
      <w:r>
        <w:rPr>
          <w:rFonts w:cs="Arial"/>
          <w:lang w:val="en"/>
        </w:rPr>
        <w:t xml:space="preserve"> </w:t>
      </w:r>
      <w:r>
        <w:rPr>
          <w:rFonts w:cs="Arial"/>
          <w:color w:val="0C0C0C"/>
          <w:lang w:val="en"/>
        </w:rPr>
        <w:t>Job Centre Plus</w:t>
      </w:r>
      <w:r>
        <w:rPr>
          <w:rFonts w:cs="Arial"/>
          <w:color w:val="000000"/>
        </w:rPr>
        <w:t xml:space="preserve"> since the symbol was launched in 1990.  </w:t>
      </w:r>
    </w:p>
  </w:footnote>
  <w:footnote w:id="23">
    <w:p w:rsidR="00771AB6" w:rsidRDefault="00771AB6" w:rsidP="00F467DD">
      <w:pPr>
        <w:pStyle w:val="FootnoteText"/>
      </w:pPr>
      <w:r>
        <w:rPr>
          <w:rStyle w:val="FootnoteReference"/>
        </w:rPr>
        <w:footnoteRef/>
      </w:r>
      <w:r>
        <w:t xml:space="preserve"> </w:t>
      </w:r>
      <w:r w:rsidRPr="004542DC">
        <w:t xml:space="preserve">See more at: </w:t>
      </w:r>
      <w:hyperlink r:id="rId7" w:anchor="sthash.xelj26Tm.dpuf" w:history="1">
        <w:r w:rsidRPr="00FD42B7">
          <w:rPr>
            <w:rStyle w:val="Hyperlink"/>
          </w:rPr>
          <w:t>http://www.businessdisabilityforum.org.uk/talent-recruitment/#sthash.xelj26Tm.dpuf</w:t>
        </w:r>
      </w:hyperlink>
      <w:r>
        <w:t xml:space="preserve"> [accessed 7 February 2017].</w:t>
      </w:r>
    </w:p>
  </w:footnote>
  <w:footnote w:id="24">
    <w:p w:rsidR="00771AB6" w:rsidRDefault="00771AB6" w:rsidP="00F467DD">
      <w:pPr>
        <w:pStyle w:val="FootnoteText"/>
      </w:pPr>
      <w:r>
        <w:rPr>
          <w:rStyle w:val="FootnoteReference"/>
        </w:rPr>
        <w:footnoteRef/>
      </w:r>
      <w:r>
        <w:t xml:space="preserve"> </w:t>
      </w:r>
      <w:r w:rsidRPr="004542DC">
        <w:t>RADAR undertook a quantitative survey of people with ill</w:t>
      </w:r>
      <w:r>
        <w:t xml:space="preserve"> </w:t>
      </w:r>
      <w:r w:rsidRPr="004542DC">
        <w:t>health, injury or disability and a comparison group of non-disabled people from the same industry pools, followed by 50 structured interviews. Received</w:t>
      </w:r>
      <w:r>
        <w:t xml:space="preserve"> were</w:t>
      </w:r>
      <w:r w:rsidRPr="004542DC">
        <w:t xml:space="preserve"> 1,461 survey responses: 911 from disabled workers and 550 from non-disabled workers (Sayce, 2010).</w:t>
      </w:r>
    </w:p>
  </w:footnote>
  <w:footnote w:id="25">
    <w:p w:rsidR="00771AB6" w:rsidRPr="00977BE5" w:rsidRDefault="00771AB6" w:rsidP="00F467DD">
      <w:pPr>
        <w:pStyle w:val="FootnoteText"/>
      </w:pPr>
      <w:r>
        <w:rPr>
          <w:rStyle w:val="FootnoteReference"/>
        </w:rPr>
        <w:footnoteRef/>
      </w:r>
      <w:r>
        <w:t xml:space="preserve"> These conclusions were b</w:t>
      </w:r>
      <w:r w:rsidRPr="004542DC">
        <w:t>ased on a survey of 145 employers</w:t>
      </w:r>
      <w:r>
        <w:t>,</w:t>
      </w:r>
      <w:r w:rsidRPr="004542DC">
        <w:t xml:space="preserve"> </w:t>
      </w:r>
      <w:r>
        <w:t xml:space="preserve">a </w:t>
      </w:r>
      <w:r w:rsidRPr="004542DC">
        <w:t xml:space="preserve">relatively small </w:t>
      </w:r>
      <w:r>
        <w:t>sample size. The authors caution that ‘</w:t>
      </w:r>
      <w:r w:rsidRPr="005F707C">
        <w:t>there was a much stronger bias towards larger organisations within the sample so caution should be exercised in generalising these results across small and medium size enterprises</w:t>
      </w:r>
      <w:r>
        <w:t>’</w:t>
      </w:r>
      <w:r w:rsidRPr="00977BE5">
        <w:t xml:space="preserve"> (Selvanera and Whippy, 2015</w:t>
      </w:r>
      <w:r>
        <w:t>,</w:t>
      </w:r>
      <w:r w:rsidRPr="00977BE5">
        <w:t xml:space="preserve"> </w:t>
      </w:r>
      <w:r>
        <w:t xml:space="preserve">p. </w:t>
      </w:r>
      <w:r w:rsidRPr="00977BE5">
        <w:t>38).</w:t>
      </w:r>
    </w:p>
  </w:footnote>
  <w:footnote w:id="26">
    <w:p w:rsidR="00771AB6" w:rsidRDefault="00771AB6" w:rsidP="00F467DD">
      <w:pPr>
        <w:pStyle w:val="FootnoteText"/>
      </w:pPr>
      <w:r>
        <w:rPr>
          <w:rStyle w:val="FootnoteReference"/>
        </w:rPr>
        <w:footnoteRef/>
      </w:r>
      <w:r>
        <w:t xml:space="preserve"> See more </w:t>
      </w:r>
      <w:hyperlink r:id="rId8" w:history="1">
        <w:r w:rsidRPr="00B05452">
          <w:rPr>
            <w:rStyle w:val="Hyperlink"/>
          </w:rPr>
          <w:t>here</w:t>
        </w:r>
      </w:hyperlink>
      <w:r>
        <w:t xml:space="preserve"> [accessed 7 February 2017].</w:t>
      </w:r>
    </w:p>
  </w:footnote>
  <w:footnote w:id="27">
    <w:p w:rsidR="00771AB6" w:rsidRPr="00054304" w:rsidRDefault="00771AB6" w:rsidP="00F467DD">
      <w:pPr>
        <w:pStyle w:val="FootnoteText"/>
        <w:rPr>
          <w:rFonts w:cs="Arial"/>
        </w:rPr>
      </w:pPr>
      <w:r w:rsidRPr="00054304">
        <w:rPr>
          <w:rStyle w:val="FootnoteReference"/>
          <w:rFonts w:cs="Arial"/>
        </w:rPr>
        <w:footnoteRef/>
      </w:r>
      <w:r w:rsidRPr="00054304">
        <w:rPr>
          <w:rFonts w:cs="Arial"/>
        </w:rPr>
        <w:t xml:space="preserve"> </w:t>
      </w:r>
      <w:r>
        <w:rPr>
          <w:rFonts w:cs="Arial"/>
        </w:rPr>
        <w:t xml:space="preserve">See </w:t>
      </w:r>
      <w:hyperlink r:id="rId9" w:history="1">
        <w:r w:rsidRPr="00B05452">
          <w:rPr>
            <w:rStyle w:val="Hyperlink"/>
            <w:rFonts w:cs="Arial"/>
          </w:rPr>
          <w:t>here</w:t>
        </w:r>
      </w:hyperlink>
      <w:r>
        <w:rPr>
          <w:rFonts w:cs="Arial"/>
        </w:rPr>
        <w:t xml:space="preserve"> [accessed: 10 August 2017]</w:t>
      </w:r>
      <w:r w:rsidRPr="00054304">
        <w:rPr>
          <w:rFonts w:cs="Arial"/>
        </w:rPr>
        <w:t xml:space="preserve"> </w:t>
      </w:r>
    </w:p>
  </w:footnote>
  <w:footnote w:id="28">
    <w:p w:rsidR="00771AB6" w:rsidRDefault="00771AB6" w:rsidP="00F467DD">
      <w:pPr>
        <w:pStyle w:val="FootnoteText"/>
      </w:pPr>
      <w:r>
        <w:rPr>
          <w:rStyle w:val="FootnoteReference"/>
        </w:rPr>
        <w:footnoteRef/>
      </w:r>
      <w:r>
        <w:t xml:space="preserve"> Heath and Cheung</w:t>
      </w:r>
      <w:r w:rsidRPr="004542DC">
        <w:t xml:space="preserve"> present findings based on data from the pooled Quarterly Labour Force Surveys (QLFS) 2001</w:t>
      </w:r>
      <w:r>
        <w:t>–</w:t>
      </w:r>
      <w:r w:rsidRPr="004542DC">
        <w:t>4, the Sample of Anonymised Records (SARs) from the 2001 Census, and the pooled General Household Surveys for 1973</w:t>
      </w:r>
      <w:r>
        <w:t>–</w:t>
      </w:r>
      <w:r w:rsidRPr="004542DC">
        <w:t>2001. The</w:t>
      </w:r>
      <w:r>
        <w:t>ir</w:t>
      </w:r>
      <w:r w:rsidRPr="004542DC">
        <w:t xml:space="preserve"> report also draws on the Home Office Citizenship Surveys 2001 and 2003 for questions on perceptions of unequal treatment in the workplace</w:t>
      </w:r>
      <w:r>
        <w:t>,</w:t>
      </w:r>
      <w:r w:rsidRPr="004542DC">
        <w:t xml:space="preserve"> and the British Social Attitudes (BSA) surveys 1983</w:t>
      </w:r>
      <w:r>
        <w:t>–</w:t>
      </w:r>
      <w:r w:rsidRPr="004542DC">
        <w:t>2003 for evidence on prejudice towards ethnic minorities (Heath and Cheung, 2006).</w:t>
      </w:r>
    </w:p>
  </w:footnote>
  <w:footnote w:id="29">
    <w:p w:rsidR="00771AB6" w:rsidRDefault="00771AB6" w:rsidP="00F467DD">
      <w:pPr>
        <w:pStyle w:val="FootnoteText"/>
      </w:pPr>
      <w:r>
        <w:rPr>
          <w:rStyle w:val="FootnoteReference"/>
        </w:rPr>
        <w:footnoteRef/>
      </w:r>
      <w:r>
        <w:t xml:space="preserve"> See more </w:t>
      </w:r>
      <w:hyperlink r:id="rId10" w:history="1">
        <w:r w:rsidRPr="00B05452">
          <w:rPr>
            <w:rStyle w:val="Hyperlink"/>
          </w:rPr>
          <w:t>here</w:t>
        </w:r>
      </w:hyperlink>
      <w:r>
        <w:t xml:space="preserve"> [accessed 7 February 2017].</w:t>
      </w:r>
    </w:p>
  </w:footnote>
  <w:footnote w:id="30">
    <w:p w:rsidR="00771AB6" w:rsidRDefault="00771AB6" w:rsidP="00F467DD">
      <w:pPr>
        <w:pStyle w:val="FootnoteText"/>
      </w:pPr>
      <w:r>
        <w:rPr>
          <w:rStyle w:val="FootnoteReference"/>
        </w:rPr>
        <w:footnoteRef/>
      </w:r>
      <w:r>
        <w:t xml:space="preserve"> Except Cardiff, where the w</w:t>
      </w:r>
      <w:r w:rsidRPr="00393526">
        <w:t>orkshop was 2.5 hours</w:t>
      </w:r>
      <w:r>
        <w:t xml:space="preserve"> long.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Default="00771AB6" w:rsidP="00A13D1B">
    <w:pPr>
      <w:pStyle w:val="Header"/>
      <w:spacing w:line="240" w:lineRule="auto"/>
      <w:rPr>
        <w:sz w:val="16"/>
        <w:szCs w:val="16"/>
      </w:rPr>
    </w:pPr>
  </w:p>
  <w:p w:rsidR="00771AB6" w:rsidRDefault="00771AB6" w:rsidP="00A13D1B">
    <w:pPr>
      <w:pStyle w:val="Header"/>
      <w:spacing w:line="240" w:lineRule="auto"/>
      <w:rPr>
        <w:sz w:val="16"/>
        <w:szCs w:val="16"/>
      </w:rPr>
    </w:pPr>
  </w:p>
  <w:p w:rsidR="00771AB6" w:rsidRPr="00063FCE" w:rsidRDefault="00771AB6" w:rsidP="00A13D1B">
    <w:pPr>
      <w:pStyle w:val="Header"/>
      <w:spacing w:line="240" w:lineRule="auto"/>
      <w:rPr>
        <w:sz w:val="16"/>
        <w:szCs w:val="1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7F3EAD" w:rsidRDefault="00771AB6" w:rsidP="008D4847">
    <w:pPr>
      <w:pStyle w:val="Heading2"/>
      <w:tabs>
        <w:tab w:val="right" w:pos="9498"/>
      </w:tabs>
      <w:spacing w:before="0" w:after="0" w:line="312" w:lineRule="auto"/>
      <w:ind w:left="-567"/>
      <w:rPr>
        <w:b w:val="0"/>
        <w:sz w:val="16"/>
        <w:szCs w:val="16"/>
      </w:rPr>
    </w:pPr>
    <w:r w:rsidRPr="007F3EAD">
      <w:rPr>
        <w:b w:val="0"/>
        <w:sz w:val="16"/>
        <w:szCs w:val="16"/>
      </w:rPr>
      <w:t>Tackling gender, disability and ethnic minority pay gaps: a progress review</w:t>
    </w:r>
    <w:r w:rsidRPr="007F3EAD">
      <w:rPr>
        <w:b w:val="0"/>
        <w:sz w:val="12"/>
        <w:szCs w:val="16"/>
      </w:rPr>
      <w:tab/>
    </w:r>
    <w:r w:rsidRPr="007F3EAD">
      <w:rPr>
        <w:b w:val="0"/>
        <w:sz w:val="16"/>
        <w:szCs w:val="16"/>
      </w:rPr>
      <w:t>Appendix</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7F3EAD" w:rsidRDefault="00771AB6" w:rsidP="008D4847">
    <w:pPr>
      <w:pStyle w:val="Heading2"/>
      <w:tabs>
        <w:tab w:val="right" w:pos="9498"/>
      </w:tabs>
      <w:spacing w:before="0" w:after="0" w:line="312" w:lineRule="auto"/>
      <w:ind w:left="-567"/>
      <w:rPr>
        <w:sz w:val="16"/>
        <w:szCs w:val="16"/>
      </w:rPr>
    </w:pPr>
    <w:r w:rsidRPr="007F3EAD">
      <w:rPr>
        <w:b w:val="0"/>
        <w:sz w:val="16"/>
        <w:szCs w:val="16"/>
      </w:rPr>
      <w:t>Tackling gender, disability and ethnic minority pay gaps: a progress review</w:t>
    </w:r>
    <w:r w:rsidRPr="007F3EAD">
      <w:rPr>
        <w:b w:val="0"/>
        <w:sz w:val="16"/>
        <w:szCs w:val="16"/>
      </w:rPr>
      <w:tab/>
      <w:t>References</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A57C09" w:rsidRDefault="00771AB6" w:rsidP="008D4847">
    <w:pPr>
      <w:pStyle w:val="Heading2"/>
      <w:tabs>
        <w:tab w:val="right" w:pos="9498"/>
      </w:tabs>
      <w:spacing w:before="0" w:after="0" w:line="312" w:lineRule="auto"/>
      <w:ind w:left="-567"/>
      <w:rPr>
        <w:b w:val="0"/>
        <w:sz w:val="16"/>
        <w:szCs w:val="16"/>
      </w:rPr>
    </w:pPr>
    <w:r w:rsidRPr="00A57C09">
      <w:rPr>
        <w:b w:val="0"/>
        <w:sz w:val="16"/>
        <w:szCs w:val="16"/>
      </w:rPr>
      <w:t>Tackling gender, disability and ethnic minority pay gaps: a progress review</w:t>
    </w:r>
    <w:r w:rsidRPr="00A57C09">
      <w:rPr>
        <w:b w:val="0"/>
        <w:sz w:val="16"/>
        <w:szCs w:val="16"/>
      </w:rPr>
      <w:tab/>
      <w:t>Contacts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D64BE2" w:rsidRDefault="00771AB6" w:rsidP="00CD23F8">
    <w:pPr>
      <w:tabs>
        <w:tab w:val="left" w:pos="57"/>
      </w:tabs>
      <w:suppressAutoHyphens/>
      <w:autoSpaceDE w:val="0"/>
      <w:autoSpaceDN w:val="0"/>
      <w:adjustRightInd w:val="0"/>
      <w:spacing w:after="360" w:line="288" w:lineRule="auto"/>
      <w:textAlignment w:val="center"/>
      <w:rPr>
        <w:rFonts w:cs="Arial"/>
        <w:color w:val="000000"/>
        <w:sz w:val="16"/>
        <w:szCs w:val="20"/>
        <w:lang w:eastAsia="en-GB"/>
      </w:rPr>
    </w:pPr>
    <w:r w:rsidRPr="00D64BE2">
      <w:rPr>
        <w:rFonts w:cs="Arial"/>
        <w:color w:val="000000"/>
        <w:sz w:val="16"/>
        <w:szCs w:val="20"/>
        <w:lang w:eastAsia="en-GB"/>
      </w:rPr>
      <w:t>Tackling gender, disability and ethnicity</w:t>
    </w:r>
    <w:r w:rsidR="0089729A">
      <w:rPr>
        <w:rFonts w:cs="Arial"/>
        <w:color w:val="000000"/>
        <w:sz w:val="16"/>
        <w:szCs w:val="20"/>
        <w:lang w:eastAsia="en-GB"/>
      </w:rPr>
      <w:t xml:space="preserve"> pay gaps: a progress review </w:t>
    </w:r>
    <w:r w:rsidR="0089729A">
      <w:rPr>
        <w:rFonts w:cs="Arial"/>
        <w:color w:val="000000"/>
        <w:sz w:val="16"/>
        <w:szCs w:val="20"/>
        <w:lang w:eastAsia="en-GB"/>
      </w:rPr>
      <w:tab/>
    </w:r>
    <w:r w:rsidR="0089729A">
      <w:rPr>
        <w:rFonts w:cs="Arial"/>
        <w:color w:val="000000"/>
        <w:sz w:val="16"/>
        <w:szCs w:val="20"/>
        <w:lang w:eastAsia="en-GB"/>
      </w:rPr>
      <w:tab/>
    </w:r>
    <w:r w:rsidR="0089729A">
      <w:rPr>
        <w:rFonts w:cs="Arial"/>
        <w:color w:val="000000"/>
        <w:sz w:val="16"/>
        <w:szCs w:val="20"/>
        <w:lang w:eastAsia="en-GB"/>
      </w:rPr>
      <w:tab/>
    </w:r>
    <w:r w:rsidR="0089729A">
      <w:rPr>
        <w:rFonts w:cs="Arial"/>
        <w:color w:val="000000"/>
        <w:sz w:val="16"/>
        <w:szCs w:val="20"/>
        <w:lang w:eastAsia="en-GB"/>
      </w:rPr>
      <w:tab/>
    </w:r>
    <w:r w:rsidRPr="00D64BE2">
      <w:rPr>
        <w:rFonts w:cs="Arial"/>
        <w:color w:val="000000"/>
        <w:sz w:val="16"/>
        <w:szCs w:val="20"/>
        <w:lang w:eastAsia="en-GB"/>
      </w:rPr>
      <w:t>Executive summary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D64BE2" w:rsidRDefault="00771AB6" w:rsidP="00CD23F8">
    <w:pPr>
      <w:tabs>
        <w:tab w:val="left" w:pos="57"/>
      </w:tabs>
      <w:suppressAutoHyphens/>
      <w:autoSpaceDE w:val="0"/>
      <w:autoSpaceDN w:val="0"/>
      <w:adjustRightInd w:val="0"/>
      <w:spacing w:after="360" w:line="288" w:lineRule="auto"/>
      <w:textAlignment w:val="center"/>
      <w:rPr>
        <w:rFonts w:cs="Arial"/>
        <w:color w:val="000000"/>
        <w:sz w:val="16"/>
        <w:szCs w:val="20"/>
        <w:lang w:eastAsia="en-GB"/>
      </w:rPr>
    </w:pPr>
    <w:r w:rsidRPr="00D64BE2">
      <w:rPr>
        <w:rFonts w:cs="Arial"/>
        <w:color w:val="000000"/>
        <w:sz w:val="16"/>
        <w:szCs w:val="20"/>
        <w:lang w:eastAsia="en-GB"/>
      </w:rPr>
      <w:t>Tackling gender, disability and ethnicity pay gaps: a progress review</w:t>
    </w:r>
    <w:r w:rsidRPr="00D64BE2">
      <w:rPr>
        <w:rFonts w:cs="Arial"/>
        <w:color w:val="000000"/>
        <w:sz w:val="16"/>
        <w:szCs w:val="20"/>
        <w:lang w:eastAsia="en-GB"/>
      </w:rPr>
      <w:tab/>
    </w:r>
    <w:r w:rsidRPr="00D64BE2">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sidRPr="00D64BE2">
      <w:rPr>
        <w:rFonts w:cs="Arial"/>
        <w:color w:val="000000"/>
        <w:sz w:val="16"/>
        <w:szCs w:val="20"/>
        <w:lang w:eastAsia="en-GB"/>
      </w:rPr>
      <w:t>Introduction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D64BE2" w:rsidRDefault="00771AB6" w:rsidP="00CD23F8">
    <w:pPr>
      <w:tabs>
        <w:tab w:val="left" w:pos="57"/>
      </w:tabs>
      <w:suppressAutoHyphens/>
      <w:autoSpaceDE w:val="0"/>
      <w:autoSpaceDN w:val="0"/>
      <w:adjustRightInd w:val="0"/>
      <w:spacing w:after="360" w:line="288" w:lineRule="auto"/>
      <w:textAlignment w:val="center"/>
      <w:rPr>
        <w:rFonts w:cs="Arial"/>
        <w:color w:val="000000"/>
        <w:sz w:val="16"/>
        <w:szCs w:val="20"/>
        <w:lang w:eastAsia="en-GB"/>
      </w:rPr>
    </w:pPr>
    <w:r w:rsidRPr="00D64BE2">
      <w:rPr>
        <w:rFonts w:cs="Arial"/>
        <w:color w:val="000000"/>
        <w:sz w:val="16"/>
        <w:szCs w:val="20"/>
        <w:lang w:eastAsia="en-GB"/>
      </w:rPr>
      <w:t>Tackling gender, disability and ethnicity pay gaps: a progress review</w:t>
    </w:r>
    <w:r w:rsidRPr="00D64BE2">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sidRPr="00D64BE2">
      <w:rPr>
        <w:rFonts w:cs="Arial"/>
        <w:color w:val="000000"/>
        <w:sz w:val="16"/>
        <w:szCs w:val="20"/>
        <w:lang w:eastAsia="en-GB"/>
      </w:rPr>
      <w:t>The gender pay gap</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7F3EAD" w:rsidRDefault="00771AB6" w:rsidP="00CD23F8">
    <w:pPr>
      <w:tabs>
        <w:tab w:val="left" w:pos="57"/>
      </w:tabs>
      <w:suppressAutoHyphens/>
      <w:autoSpaceDE w:val="0"/>
      <w:autoSpaceDN w:val="0"/>
      <w:adjustRightInd w:val="0"/>
      <w:spacing w:after="360" w:line="288" w:lineRule="auto"/>
      <w:textAlignment w:val="center"/>
      <w:rPr>
        <w:rFonts w:cs="Arial"/>
        <w:color w:val="000000"/>
        <w:sz w:val="16"/>
        <w:szCs w:val="20"/>
        <w:lang w:eastAsia="en-GB"/>
      </w:rPr>
    </w:pPr>
    <w:r w:rsidRPr="007F3EAD">
      <w:rPr>
        <w:rFonts w:cs="Arial"/>
        <w:color w:val="000000"/>
        <w:sz w:val="16"/>
        <w:szCs w:val="20"/>
        <w:lang w:eastAsia="en-GB"/>
      </w:rPr>
      <w:t>Tackling gender, disability and ethnicity pay gaps: a progress review</w:t>
    </w:r>
    <w:r w:rsidRPr="007F3EAD">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sidRPr="007F3EAD">
      <w:rPr>
        <w:rFonts w:cs="Arial"/>
        <w:color w:val="000000"/>
        <w:sz w:val="16"/>
        <w:szCs w:val="20"/>
        <w:lang w:eastAsia="en-GB"/>
      </w:rPr>
      <w:t>The disability pay gap</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7F3EAD" w:rsidRDefault="00771AB6" w:rsidP="00CD23F8">
    <w:pPr>
      <w:tabs>
        <w:tab w:val="left" w:pos="57"/>
      </w:tabs>
      <w:suppressAutoHyphens/>
      <w:autoSpaceDE w:val="0"/>
      <w:autoSpaceDN w:val="0"/>
      <w:adjustRightInd w:val="0"/>
      <w:spacing w:after="360" w:line="288" w:lineRule="auto"/>
      <w:textAlignment w:val="center"/>
      <w:rPr>
        <w:rFonts w:cs="Arial"/>
        <w:color w:val="000000"/>
        <w:sz w:val="16"/>
        <w:szCs w:val="20"/>
        <w:lang w:eastAsia="en-GB"/>
      </w:rPr>
    </w:pPr>
    <w:r w:rsidRPr="007F3EAD">
      <w:rPr>
        <w:rFonts w:cs="Arial"/>
        <w:color w:val="000000"/>
        <w:sz w:val="16"/>
        <w:szCs w:val="20"/>
        <w:lang w:eastAsia="en-GB"/>
      </w:rPr>
      <w:t>Tackling gender, disability and ethnicity pay gaps: a progress review</w:t>
    </w:r>
    <w:r w:rsidRPr="007F3EAD">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sidRPr="007F3EAD">
      <w:rPr>
        <w:rFonts w:cs="Arial"/>
        <w:color w:val="000000"/>
        <w:sz w:val="16"/>
        <w:szCs w:val="20"/>
        <w:lang w:eastAsia="en-GB"/>
      </w:rPr>
      <w:t>The ethnic</w:t>
    </w:r>
    <w:r>
      <w:rPr>
        <w:rFonts w:cs="Arial"/>
        <w:color w:val="000000"/>
        <w:sz w:val="16"/>
        <w:szCs w:val="20"/>
        <w:lang w:eastAsia="en-GB"/>
      </w:rPr>
      <w:t>ity</w:t>
    </w:r>
    <w:r w:rsidRPr="007F3EAD">
      <w:rPr>
        <w:rFonts w:cs="Arial"/>
        <w:color w:val="000000"/>
        <w:sz w:val="16"/>
        <w:szCs w:val="20"/>
        <w:lang w:eastAsia="en-GB"/>
      </w:rPr>
      <w:t xml:space="preserve"> pay gap</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7F3EAD" w:rsidRDefault="00771AB6" w:rsidP="00CD23F8">
    <w:pPr>
      <w:tabs>
        <w:tab w:val="left" w:pos="57"/>
      </w:tabs>
      <w:suppressAutoHyphens/>
      <w:autoSpaceDE w:val="0"/>
      <w:autoSpaceDN w:val="0"/>
      <w:adjustRightInd w:val="0"/>
      <w:spacing w:after="360" w:line="288" w:lineRule="auto"/>
      <w:textAlignment w:val="center"/>
      <w:rPr>
        <w:rFonts w:cs="Arial"/>
        <w:color w:val="000000"/>
        <w:sz w:val="16"/>
        <w:szCs w:val="20"/>
        <w:lang w:eastAsia="en-GB"/>
      </w:rPr>
    </w:pPr>
    <w:r w:rsidRPr="007F3EAD">
      <w:rPr>
        <w:rFonts w:cs="Arial"/>
        <w:color w:val="000000"/>
        <w:sz w:val="16"/>
        <w:szCs w:val="20"/>
        <w:lang w:eastAsia="en-GB"/>
      </w:rPr>
      <w:t>Tackling gender, disability and ethnicity pay gaps: a progress review</w:t>
    </w:r>
    <w:r w:rsidRPr="007F3EAD">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sidRPr="007F3EAD">
      <w:rPr>
        <w:rFonts w:cs="Arial"/>
        <w:color w:val="000000"/>
        <w:sz w:val="16"/>
        <w:szCs w:val="20"/>
        <w:lang w:eastAsia="en-GB"/>
      </w:rPr>
      <w:t>Conclusion</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Pr="007F3EAD" w:rsidRDefault="00771AB6" w:rsidP="00CD23F8">
    <w:pPr>
      <w:tabs>
        <w:tab w:val="left" w:pos="57"/>
      </w:tabs>
      <w:suppressAutoHyphens/>
      <w:autoSpaceDE w:val="0"/>
      <w:autoSpaceDN w:val="0"/>
      <w:adjustRightInd w:val="0"/>
      <w:spacing w:after="360" w:line="288" w:lineRule="auto"/>
      <w:textAlignment w:val="center"/>
      <w:rPr>
        <w:rFonts w:cs="Arial"/>
        <w:color w:val="000000"/>
        <w:sz w:val="16"/>
        <w:szCs w:val="20"/>
        <w:lang w:eastAsia="en-GB"/>
      </w:rPr>
    </w:pPr>
    <w:r w:rsidRPr="007F3EAD">
      <w:rPr>
        <w:rFonts w:cs="Arial"/>
        <w:color w:val="000000"/>
        <w:sz w:val="16"/>
        <w:szCs w:val="20"/>
        <w:lang w:eastAsia="en-GB"/>
      </w:rPr>
      <w:t>Tackling gender, disability and ethnicity pay gaps: a progress review</w:t>
    </w:r>
    <w:r w:rsidRPr="007F3EAD">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Pr>
        <w:rFonts w:cs="Arial"/>
        <w:color w:val="000000"/>
        <w:sz w:val="16"/>
        <w:szCs w:val="20"/>
        <w:lang w:eastAsia="en-GB"/>
      </w:rPr>
      <w:tab/>
    </w:r>
    <w:r w:rsidRPr="007F3EAD">
      <w:rPr>
        <w:rFonts w:cs="Arial"/>
        <w:color w:val="000000"/>
        <w:sz w:val="16"/>
        <w:szCs w:val="20"/>
        <w:lang w:eastAsia="en-GB"/>
      </w:rPr>
      <w:t>Tables</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B6" w:rsidRDefault="00771AB6" w:rsidP="008D4847">
    <w:pPr>
      <w:pStyle w:val="Header"/>
      <w:spacing w:line="240" w:lineRule="auto"/>
      <w:rPr>
        <w:sz w:val="16"/>
        <w:szCs w:val="16"/>
      </w:rPr>
    </w:pPr>
  </w:p>
  <w:p w:rsidR="00771AB6" w:rsidRDefault="00771AB6" w:rsidP="008D4847">
    <w:pPr>
      <w:pStyle w:val="Header"/>
      <w:spacing w:line="240" w:lineRule="auto"/>
      <w:rPr>
        <w:sz w:val="16"/>
        <w:szCs w:val="16"/>
      </w:rPr>
    </w:pPr>
  </w:p>
  <w:p w:rsidR="00771AB6" w:rsidRPr="00063FCE" w:rsidRDefault="00771AB6" w:rsidP="008D4847">
    <w:pPr>
      <w:pStyle w:val="Header"/>
      <w:spacing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2EBE46"/>
    <w:lvl w:ilvl="0">
      <w:start w:val="1"/>
      <w:numFmt w:val="bullet"/>
      <w:pStyle w:val="ListBullet"/>
      <w:lvlText w:val="="/>
      <w:lvlJc w:val="left"/>
      <w:pPr>
        <w:ind w:left="360" w:hanging="360"/>
      </w:pPr>
      <w:rPr>
        <w:rFonts w:ascii="Calibri" w:hAnsi="Calibri" w:hint="default"/>
        <w:b w:val="0"/>
        <w:i w:val="0"/>
        <w:color w:val="0093D0"/>
        <w:sz w:val="24"/>
      </w:rPr>
    </w:lvl>
  </w:abstractNum>
  <w:abstractNum w:abstractNumId="1" w15:restartNumberingAfterBreak="0">
    <w:nsid w:val="009F7CF4"/>
    <w:multiLevelType w:val="hybridMultilevel"/>
    <w:tmpl w:val="0862DE1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03CE1A5A"/>
    <w:multiLevelType w:val="hybridMultilevel"/>
    <w:tmpl w:val="7ACC7F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4A58DE"/>
    <w:multiLevelType w:val="hybridMultilevel"/>
    <w:tmpl w:val="3B0E13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E45B3"/>
    <w:multiLevelType w:val="hybridMultilevel"/>
    <w:tmpl w:val="5EA08772"/>
    <w:lvl w:ilvl="0" w:tplc="17A45DBC">
      <w:start w:val="4"/>
      <w:numFmt w:val="bullet"/>
      <w:lvlText w:val=""/>
      <w:lvlJc w:val="left"/>
      <w:pPr>
        <w:ind w:left="435" w:hanging="360"/>
      </w:pPr>
      <w:rPr>
        <w:rFonts w:ascii="Symbol" w:eastAsia="Times New Roman" w:hAnsi="Symbol" w:cs="Times New Roman"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5" w15:restartNumberingAfterBreak="0">
    <w:nsid w:val="0E7022A1"/>
    <w:multiLevelType w:val="hybridMultilevel"/>
    <w:tmpl w:val="E230F0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6F05EA"/>
    <w:multiLevelType w:val="hybridMultilevel"/>
    <w:tmpl w:val="3FEA5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D059A6"/>
    <w:multiLevelType w:val="hybridMultilevel"/>
    <w:tmpl w:val="94DEA480"/>
    <w:lvl w:ilvl="0" w:tplc="DBE6803A">
      <w:start w:val="3"/>
      <w:numFmt w:val="bullet"/>
      <w:lvlText w:val=""/>
      <w:lvlJc w:val="left"/>
      <w:pPr>
        <w:ind w:left="795" w:hanging="360"/>
      </w:pPr>
      <w:rPr>
        <w:rFonts w:ascii="Symbol" w:eastAsia="Times New Roman" w:hAnsi="Symbol" w:cs="Times New Roman"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8" w15:restartNumberingAfterBreak="0">
    <w:nsid w:val="1D7E2309"/>
    <w:multiLevelType w:val="hybridMultilevel"/>
    <w:tmpl w:val="A3E40D6E"/>
    <w:lvl w:ilvl="0" w:tplc="08090001">
      <w:start w:val="1"/>
      <w:numFmt w:val="bullet"/>
      <w:lvlText w:val=""/>
      <w:lvlJc w:val="left"/>
      <w:pPr>
        <w:ind w:left="1155" w:hanging="360"/>
      </w:pPr>
      <w:rPr>
        <w:rFonts w:ascii="Symbol" w:hAnsi="Symbol"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9" w15:restartNumberingAfterBreak="0">
    <w:nsid w:val="207D15F5"/>
    <w:multiLevelType w:val="hybridMultilevel"/>
    <w:tmpl w:val="ABA682C8"/>
    <w:lvl w:ilvl="0" w:tplc="49CEE632">
      <w:start w:val="1"/>
      <w:numFmt w:val="decimal"/>
      <w:lvlText w:val="%1."/>
      <w:lvlJc w:val="left"/>
      <w:pPr>
        <w:ind w:left="1364" w:hanging="360"/>
      </w:pPr>
    </w:lvl>
    <w:lvl w:ilvl="1" w:tplc="08090019">
      <w:start w:val="1"/>
      <w:numFmt w:val="lowerLetter"/>
      <w:lvlText w:val="%2."/>
      <w:lvlJc w:val="left"/>
      <w:pPr>
        <w:ind w:left="2084" w:hanging="360"/>
      </w:pPr>
    </w:lvl>
    <w:lvl w:ilvl="2" w:tplc="0809001B">
      <w:start w:val="1"/>
      <w:numFmt w:val="lowerRoman"/>
      <w:lvlText w:val="%3."/>
      <w:lvlJc w:val="right"/>
      <w:pPr>
        <w:ind w:left="2804" w:hanging="180"/>
      </w:pPr>
    </w:lvl>
    <w:lvl w:ilvl="3" w:tplc="0809000F">
      <w:start w:val="1"/>
      <w:numFmt w:val="decimal"/>
      <w:lvlText w:val="%4."/>
      <w:lvlJc w:val="left"/>
      <w:pPr>
        <w:ind w:left="3524" w:hanging="360"/>
      </w:pPr>
    </w:lvl>
    <w:lvl w:ilvl="4" w:tplc="08090019">
      <w:start w:val="1"/>
      <w:numFmt w:val="lowerLetter"/>
      <w:lvlText w:val="%5."/>
      <w:lvlJc w:val="left"/>
      <w:pPr>
        <w:ind w:left="4244" w:hanging="360"/>
      </w:pPr>
    </w:lvl>
    <w:lvl w:ilvl="5" w:tplc="0809001B">
      <w:start w:val="1"/>
      <w:numFmt w:val="lowerRoman"/>
      <w:lvlText w:val="%6."/>
      <w:lvlJc w:val="right"/>
      <w:pPr>
        <w:ind w:left="4964" w:hanging="180"/>
      </w:pPr>
    </w:lvl>
    <w:lvl w:ilvl="6" w:tplc="0809000F">
      <w:start w:val="1"/>
      <w:numFmt w:val="decimal"/>
      <w:lvlText w:val="%7."/>
      <w:lvlJc w:val="left"/>
      <w:pPr>
        <w:ind w:left="5684" w:hanging="360"/>
      </w:pPr>
    </w:lvl>
    <w:lvl w:ilvl="7" w:tplc="08090019">
      <w:start w:val="1"/>
      <w:numFmt w:val="lowerLetter"/>
      <w:lvlText w:val="%8."/>
      <w:lvlJc w:val="left"/>
      <w:pPr>
        <w:ind w:left="6404" w:hanging="360"/>
      </w:pPr>
    </w:lvl>
    <w:lvl w:ilvl="8" w:tplc="0809001B">
      <w:start w:val="1"/>
      <w:numFmt w:val="lowerRoman"/>
      <w:lvlText w:val="%9."/>
      <w:lvlJc w:val="right"/>
      <w:pPr>
        <w:ind w:left="7124" w:hanging="180"/>
      </w:pPr>
    </w:lvl>
  </w:abstractNum>
  <w:abstractNum w:abstractNumId="10" w15:restartNumberingAfterBreak="0">
    <w:nsid w:val="27580424"/>
    <w:multiLevelType w:val="hybridMultilevel"/>
    <w:tmpl w:val="F3046504"/>
    <w:lvl w:ilvl="0" w:tplc="7CC2C18E">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D67265"/>
    <w:multiLevelType w:val="hybridMultilevel"/>
    <w:tmpl w:val="052E23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B201BC5"/>
    <w:multiLevelType w:val="hybridMultilevel"/>
    <w:tmpl w:val="96B4E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E5722E"/>
    <w:multiLevelType w:val="hybridMultilevel"/>
    <w:tmpl w:val="57D4EE24"/>
    <w:lvl w:ilvl="0" w:tplc="21C008A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B1692D"/>
    <w:multiLevelType w:val="hybridMultilevel"/>
    <w:tmpl w:val="65804FBC"/>
    <w:lvl w:ilvl="0" w:tplc="3DF8A974">
      <w:start w:val="1"/>
      <w:numFmt w:val="decimal"/>
      <w:lvlText w:val="%1."/>
      <w:lvlJc w:val="left"/>
      <w:pPr>
        <w:ind w:left="795" w:hanging="360"/>
      </w:pPr>
      <w:rPr>
        <w:rFonts w:hint="default"/>
      </w:r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5" w15:restartNumberingAfterBreak="0">
    <w:nsid w:val="2FA74DB2"/>
    <w:multiLevelType w:val="hybridMultilevel"/>
    <w:tmpl w:val="D72A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A47FD9"/>
    <w:multiLevelType w:val="hybridMultilevel"/>
    <w:tmpl w:val="FA320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2B2DA9"/>
    <w:multiLevelType w:val="hybridMultilevel"/>
    <w:tmpl w:val="6422E926"/>
    <w:lvl w:ilvl="0" w:tplc="3FD89B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9F07709"/>
    <w:multiLevelType w:val="hybridMultilevel"/>
    <w:tmpl w:val="7E4A80D0"/>
    <w:lvl w:ilvl="0" w:tplc="80000124">
      <w:start w:val="1"/>
      <w:numFmt w:val="bullet"/>
      <w:lvlText w:val=""/>
      <w:lvlJc w:val="left"/>
      <w:pPr>
        <w:ind w:left="72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FC42180">
      <w:numFmt w:val="bullet"/>
      <w:pStyle w:val="Bullets-sub-bullets"/>
      <w:lvlText w:val="-"/>
      <w:lvlJc w:val="left"/>
      <w:pPr>
        <w:ind w:left="1440" w:hanging="360"/>
      </w:pPr>
      <w:rPr>
        <w:rFonts w:ascii="Arial" w:eastAsia="Calibr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CE078C"/>
    <w:multiLevelType w:val="hybridMultilevel"/>
    <w:tmpl w:val="6122B7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C873C5E"/>
    <w:multiLevelType w:val="hybridMultilevel"/>
    <w:tmpl w:val="6422E926"/>
    <w:lvl w:ilvl="0" w:tplc="3FD89B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EA171FB"/>
    <w:multiLevelType w:val="hybridMultilevel"/>
    <w:tmpl w:val="DF3A5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B902CE"/>
    <w:multiLevelType w:val="hybridMultilevel"/>
    <w:tmpl w:val="DC5E8A48"/>
    <w:lvl w:ilvl="0" w:tplc="88D6E7CC">
      <w:start w:val="1"/>
      <w:numFmt w:val="decimal"/>
      <w:pStyle w:val="Numberedlistlastingroup"/>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8DF5C0E"/>
    <w:multiLevelType w:val="hybridMultilevel"/>
    <w:tmpl w:val="7B04D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F2204D"/>
    <w:multiLevelType w:val="hybridMultilevel"/>
    <w:tmpl w:val="C6C04E46"/>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5" w15:restartNumberingAfterBreak="0">
    <w:nsid w:val="4D6906B2"/>
    <w:multiLevelType w:val="hybridMultilevel"/>
    <w:tmpl w:val="258E3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770E53"/>
    <w:multiLevelType w:val="hybridMultilevel"/>
    <w:tmpl w:val="EB3E35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7B286C"/>
    <w:multiLevelType w:val="hybridMultilevel"/>
    <w:tmpl w:val="C8840A1C"/>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8" w15:restartNumberingAfterBreak="0">
    <w:nsid w:val="565E1E62"/>
    <w:multiLevelType w:val="hybridMultilevel"/>
    <w:tmpl w:val="7C2893F8"/>
    <w:lvl w:ilvl="0" w:tplc="08090001">
      <w:start w:val="1"/>
      <w:numFmt w:val="bullet"/>
      <w:lvlText w:val=""/>
      <w:lvlJc w:val="left"/>
      <w:pPr>
        <w:ind w:left="72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B45D1"/>
    <w:multiLevelType w:val="hybridMultilevel"/>
    <w:tmpl w:val="C8BEA4DE"/>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4182875"/>
    <w:multiLevelType w:val="hybridMultilevel"/>
    <w:tmpl w:val="A5FE8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4C1512"/>
    <w:multiLevelType w:val="hybridMultilevel"/>
    <w:tmpl w:val="95D6B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95335A"/>
    <w:multiLevelType w:val="multilevel"/>
    <w:tmpl w:val="7AD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725763"/>
    <w:multiLevelType w:val="hybridMultilevel"/>
    <w:tmpl w:val="87BE2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7F66DF3"/>
    <w:multiLevelType w:val="hybridMultilevel"/>
    <w:tmpl w:val="9D88D9A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5" w15:restartNumberingAfterBreak="0">
    <w:nsid w:val="78151C94"/>
    <w:multiLevelType w:val="hybridMultilevel"/>
    <w:tmpl w:val="53DA28EE"/>
    <w:lvl w:ilvl="0" w:tplc="80000124">
      <w:start w:val="1"/>
      <w:numFmt w:val="bullet"/>
      <w:pStyle w:val="Bullet-followedbyothers"/>
      <w:lvlText w:val=""/>
      <w:lvlJc w:val="left"/>
      <w:pPr>
        <w:ind w:left="72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3A0A89"/>
    <w:multiLevelType w:val="hybridMultilevel"/>
    <w:tmpl w:val="AC6AF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1618C3"/>
    <w:multiLevelType w:val="hybridMultilevel"/>
    <w:tmpl w:val="4AD08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470B5F"/>
    <w:multiLevelType w:val="hybridMultilevel"/>
    <w:tmpl w:val="9460C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18"/>
  </w:num>
  <w:num w:numId="3">
    <w:abstractNumId w:val="22"/>
  </w:num>
  <w:num w:numId="4">
    <w:abstractNumId w:val="17"/>
  </w:num>
  <w:num w:numId="5">
    <w:abstractNumId w:val="20"/>
  </w:num>
  <w:num w:numId="6">
    <w:abstractNumId w:val="36"/>
  </w:num>
  <w:num w:numId="7">
    <w:abstractNumId w:val="38"/>
  </w:num>
  <w:num w:numId="8">
    <w:abstractNumId w:val="37"/>
  </w:num>
  <w:num w:numId="9">
    <w:abstractNumId w:val="21"/>
  </w:num>
  <w:num w:numId="10">
    <w:abstractNumId w:val="16"/>
  </w:num>
  <w:num w:numId="11">
    <w:abstractNumId w:val="2"/>
  </w:num>
  <w:num w:numId="12">
    <w:abstractNumId w:val="32"/>
  </w:num>
  <w:num w:numId="13">
    <w:abstractNumId w:val="11"/>
  </w:num>
  <w:num w:numId="14">
    <w:abstractNumId w:val="33"/>
  </w:num>
  <w:num w:numId="15">
    <w:abstractNumId w:val="0"/>
  </w:num>
  <w:num w:numId="16">
    <w:abstractNumId w:val="19"/>
  </w:num>
  <w:num w:numId="17">
    <w:abstractNumId w:val="29"/>
  </w:num>
  <w:num w:numId="18">
    <w:abstractNumId w:val="6"/>
  </w:num>
  <w:num w:numId="19">
    <w:abstractNumId w:val="28"/>
  </w:num>
  <w:num w:numId="20">
    <w:abstractNumId w:val="4"/>
  </w:num>
  <w:num w:numId="21">
    <w:abstractNumId w:val="8"/>
  </w:num>
  <w:num w:numId="22">
    <w:abstractNumId w:val="14"/>
  </w:num>
  <w:num w:numId="23">
    <w:abstractNumId w:val="7"/>
  </w:num>
  <w:num w:numId="24">
    <w:abstractNumId w:val="15"/>
  </w:num>
  <w:num w:numId="25">
    <w:abstractNumId w:val="24"/>
  </w:num>
  <w:num w:numId="26">
    <w:abstractNumId w:val="10"/>
  </w:num>
  <w:num w:numId="27">
    <w:abstractNumId w:val="12"/>
  </w:num>
  <w:num w:numId="28">
    <w:abstractNumId w:val="25"/>
  </w:num>
  <w:num w:numId="29">
    <w:abstractNumId w:val="30"/>
  </w:num>
  <w:num w:numId="30">
    <w:abstractNumId w:val="23"/>
  </w:num>
  <w:num w:numId="31">
    <w:abstractNumId w:val="5"/>
  </w:num>
  <w:num w:numId="32">
    <w:abstractNumId w:val="3"/>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
  </w:num>
  <w:num w:numId="36">
    <w:abstractNumId w:val="9"/>
  </w:num>
  <w:num w:numId="37">
    <w:abstractNumId w:val="27"/>
  </w:num>
  <w:num w:numId="38">
    <w:abstractNumId w:val="34"/>
  </w:num>
  <w:num w:numId="39">
    <w:abstractNumId w:val="26"/>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65"/>
    <w:rsid w:val="00012DDF"/>
    <w:rsid w:val="00014C70"/>
    <w:rsid w:val="0002162B"/>
    <w:rsid w:val="00042A13"/>
    <w:rsid w:val="000465FA"/>
    <w:rsid w:val="00054304"/>
    <w:rsid w:val="00056057"/>
    <w:rsid w:val="000618D7"/>
    <w:rsid w:val="000738E4"/>
    <w:rsid w:val="00077FCB"/>
    <w:rsid w:val="00085E62"/>
    <w:rsid w:val="000965AE"/>
    <w:rsid w:val="000A4692"/>
    <w:rsid w:val="000B078B"/>
    <w:rsid w:val="000D5ED8"/>
    <w:rsid w:val="00113615"/>
    <w:rsid w:val="001165BF"/>
    <w:rsid w:val="00117B4D"/>
    <w:rsid w:val="00127902"/>
    <w:rsid w:val="00141851"/>
    <w:rsid w:val="00141FC9"/>
    <w:rsid w:val="00157C98"/>
    <w:rsid w:val="00167537"/>
    <w:rsid w:val="001D64B2"/>
    <w:rsid w:val="0021293F"/>
    <w:rsid w:val="002541EA"/>
    <w:rsid w:val="002556D4"/>
    <w:rsid w:val="00264AAF"/>
    <w:rsid w:val="0027536D"/>
    <w:rsid w:val="002C558D"/>
    <w:rsid w:val="00302515"/>
    <w:rsid w:val="003368C8"/>
    <w:rsid w:val="00340659"/>
    <w:rsid w:val="0035466C"/>
    <w:rsid w:val="00370580"/>
    <w:rsid w:val="00373AB8"/>
    <w:rsid w:val="003D62A5"/>
    <w:rsid w:val="00422EE5"/>
    <w:rsid w:val="00442643"/>
    <w:rsid w:val="004522EC"/>
    <w:rsid w:val="00457A40"/>
    <w:rsid w:val="00465F9B"/>
    <w:rsid w:val="00482ED2"/>
    <w:rsid w:val="0049039A"/>
    <w:rsid w:val="004A156B"/>
    <w:rsid w:val="004B6C2D"/>
    <w:rsid w:val="004C25AA"/>
    <w:rsid w:val="004C61B5"/>
    <w:rsid w:val="004E2702"/>
    <w:rsid w:val="0057408C"/>
    <w:rsid w:val="005852E5"/>
    <w:rsid w:val="0059469C"/>
    <w:rsid w:val="005D206A"/>
    <w:rsid w:val="005E5EAB"/>
    <w:rsid w:val="00600096"/>
    <w:rsid w:val="006126B4"/>
    <w:rsid w:val="00661548"/>
    <w:rsid w:val="00695753"/>
    <w:rsid w:val="006E66B4"/>
    <w:rsid w:val="00707C78"/>
    <w:rsid w:val="00720580"/>
    <w:rsid w:val="00756065"/>
    <w:rsid w:val="00771AB6"/>
    <w:rsid w:val="00776EBA"/>
    <w:rsid w:val="00785183"/>
    <w:rsid w:val="0078758A"/>
    <w:rsid w:val="007B3973"/>
    <w:rsid w:val="007C27A3"/>
    <w:rsid w:val="007E3AF9"/>
    <w:rsid w:val="007F3EAD"/>
    <w:rsid w:val="007F51CA"/>
    <w:rsid w:val="007F7CBA"/>
    <w:rsid w:val="00857D33"/>
    <w:rsid w:val="00886362"/>
    <w:rsid w:val="0089729A"/>
    <w:rsid w:val="008B21CB"/>
    <w:rsid w:val="008C0FB2"/>
    <w:rsid w:val="008C7011"/>
    <w:rsid w:val="008D4847"/>
    <w:rsid w:val="008E1D1B"/>
    <w:rsid w:val="00913559"/>
    <w:rsid w:val="00961E92"/>
    <w:rsid w:val="00974F0A"/>
    <w:rsid w:val="00984BFE"/>
    <w:rsid w:val="009962F5"/>
    <w:rsid w:val="0099702F"/>
    <w:rsid w:val="009D41F9"/>
    <w:rsid w:val="009E0652"/>
    <w:rsid w:val="009F6B44"/>
    <w:rsid w:val="00A032EA"/>
    <w:rsid w:val="00A0600D"/>
    <w:rsid w:val="00A13A7C"/>
    <w:rsid w:val="00A13D1B"/>
    <w:rsid w:val="00A15D6E"/>
    <w:rsid w:val="00A23D46"/>
    <w:rsid w:val="00A44B90"/>
    <w:rsid w:val="00A50CC0"/>
    <w:rsid w:val="00A57C09"/>
    <w:rsid w:val="00AA2E95"/>
    <w:rsid w:val="00AC385F"/>
    <w:rsid w:val="00AE538E"/>
    <w:rsid w:val="00AF1EA9"/>
    <w:rsid w:val="00B05452"/>
    <w:rsid w:val="00B17071"/>
    <w:rsid w:val="00B362E3"/>
    <w:rsid w:val="00B50DF3"/>
    <w:rsid w:val="00B53AE5"/>
    <w:rsid w:val="00B837B1"/>
    <w:rsid w:val="00BA5B57"/>
    <w:rsid w:val="00BB20E8"/>
    <w:rsid w:val="00BC52D5"/>
    <w:rsid w:val="00BD010F"/>
    <w:rsid w:val="00BE1573"/>
    <w:rsid w:val="00C051C3"/>
    <w:rsid w:val="00C708D6"/>
    <w:rsid w:val="00CB14C4"/>
    <w:rsid w:val="00CB39D8"/>
    <w:rsid w:val="00CB5A54"/>
    <w:rsid w:val="00CC3B71"/>
    <w:rsid w:val="00CD23F8"/>
    <w:rsid w:val="00CE71B7"/>
    <w:rsid w:val="00D22706"/>
    <w:rsid w:val="00D3215D"/>
    <w:rsid w:val="00D64BE2"/>
    <w:rsid w:val="00D66A7A"/>
    <w:rsid w:val="00D729A2"/>
    <w:rsid w:val="00D85126"/>
    <w:rsid w:val="00DD7A76"/>
    <w:rsid w:val="00E52225"/>
    <w:rsid w:val="00E61ECA"/>
    <w:rsid w:val="00E713E9"/>
    <w:rsid w:val="00E734BA"/>
    <w:rsid w:val="00E766EC"/>
    <w:rsid w:val="00E82E0A"/>
    <w:rsid w:val="00EA7CB4"/>
    <w:rsid w:val="00EB4E8D"/>
    <w:rsid w:val="00F00537"/>
    <w:rsid w:val="00F0234C"/>
    <w:rsid w:val="00F12CBA"/>
    <w:rsid w:val="00F156F9"/>
    <w:rsid w:val="00F467DD"/>
    <w:rsid w:val="00F51802"/>
    <w:rsid w:val="00F57351"/>
    <w:rsid w:val="00F8673B"/>
    <w:rsid w:val="00FA7B8E"/>
    <w:rsid w:val="00FC7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5D178E-C944-4F65-B995-C51ADB51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1CB"/>
    <w:pPr>
      <w:spacing w:after="0" w:line="300" w:lineRule="auto"/>
    </w:pPr>
    <w:rPr>
      <w:rFonts w:ascii="Arial" w:eastAsia="Calibri" w:hAnsi="Arial" w:cs="Times New Roman"/>
      <w:sz w:val="24"/>
    </w:rPr>
  </w:style>
  <w:style w:type="paragraph" w:styleId="Heading1">
    <w:name w:val="heading 1"/>
    <w:basedOn w:val="Normal"/>
    <w:next w:val="Normal"/>
    <w:link w:val="Heading1Char"/>
    <w:uiPriority w:val="9"/>
    <w:qFormat/>
    <w:rsid w:val="007560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065"/>
    <w:pPr>
      <w:keepNext/>
      <w:keepLines/>
      <w:spacing w:before="200" w:after="120"/>
      <w:outlineLvl w:val="1"/>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065"/>
    <w:rPr>
      <w:rFonts w:ascii="Arial" w:eastAsia="Times New Roman" w:hAnsi="Arial" w:cs="Times New Roman"/>
      <w:b/>
      <w:bCs/>
      <w:sz w:val="24"/>
      <w:szCs w:val="26"/>
    </w:rPr>
  </w:style>
  <w:style w:type="character" w:styleId="Hyperlink">
    <w:name w:val="Hyperlink"/>
    <w:uiPriority w:val="99"/>
    <w:unhideWhenUsed/>
    <w:qFormat/>
    <w:rsid w:val="00756065"/>
    <w:rPr>
      <w:color w:val="0000FF"/>
      <w:u w:val="single"/>
    </w:rPr>
  </w:style>
  <w:style w:type="paragraph" w:styleId="Header">
    <w:name w:val="header"/>
    <w:basedOn w:val="Normal"/>
    <w:link w:val="HeaderChar"/>
    <w:uiPriority w:val="99"/>
    <w:unhideWhenUsed/>
    <w:rsid w:val="00756065"/>
    <w:pPr>
      <w:tabs>
        <w:tab w:val="center" w:pos="4513"/>
        <w:tab w:val="right" w:pos="9026"/>
      </w:tabs>
    </w:pPr>
  </w:style>
  <w:style w:type="character" w:customStyle="1" w:styleId="HeaderChar">
    <w:name w:val="Header Char"/>
    <w:basedOn w:val="DefaultParagraphFont"/>
    <w:link w:val="Header"/>
    <w:uiPriority w:val="99"/>
    <w:rsid w:val="00756065"/>
    <w:rPr>
      <w:rFonts w:ascii="Arial" w:eastAsia="Calibri" w:hAnsi="Arial" w:cs="Times New Roman"/>
      <w:sz w:val="24"/>
    </w:rPr>
  </w:style>
  <w:style w:type="paragraph" w:styleId="Footer">
    <w:name w:val="footer"/>
    <w:basedOn w:val="Normal"/>
    <w:link w:val="FooterChar"/>
    <w:uiPriority w:val="99"/>
    <w:unhideWhenUsed/>
    <w:rsid w:val="00756065"/>
    <w:pPr>
      <w:tabs>
        <w:tab w:val="center" w:pos="4513"/>
        <w:tab w:val="right" w:pos="9026"/>
      </w:tabs>
    </w:pPr>
  </w:style>
  <w:style w:type="character" w:customStyle="1" w:styleId="FooterChar">
    <w:name w:val="Footer Char"/>
    <w:basedOn w:val="DefaultParagraphFont"/>
    <w:link w:val="Footer"/>
    <w:uiPriority w:val="99"/>
    <w:rsid w:val="00756065"/>
    <w:rPr>
      <w:rFonts w:ascii="Arial" w:eastAsia="Calibri" w:hAnsi="Arial" w:cs="Times New Roman"/>
      <w:sz w:val="24"/>
    </w:rPr>
  </w:style>
  <w:style w:type="paragraph" w:customStyle="1" w:styleId="Parabeforeanother">
    <w:name w:val="&gt; Para before another"/>
    <w:basedOn w:val="Normal"/>
    <w:uiPriority w:val="99"/>
    <w:qFormat/>
    <w:rsid w:val="00756065"/>
    <w:pPr>
      <w:spacing w:after="160" w:line="312" w:lineRule="auto"/>
    </w:pPr>
    <w:rPr>
      <w:rFonts w:cs="Arial"/>
      <w:szCs w:val="24"/>
    </w:rPr>
  </w:style>
  <w:style w:type="paragraph" w:customStyle="1" w:styleId="Title-subsections">
    <w:name w:val="&gt; Title - subsections"/>
    <w:basedOn w:val="Parabeforeanother"/>
    <w:qFormat/>
    <w:rsid w:val="00756065"/>
    <w:pPr>
      <w:spacing w:after="100"/>
    </w:pPr>
    <w:rPr>
      <w:b/>
    </w:rPr>
  </w:style>
  <w:style w:type="paragraph" w:customStyle="1" w:styleId="Parabeforenewsection">
    <w:name w:val="&gt; Para before new section"/>
    <w:basedOn w:val="Parabeforeanother"/>
    <w:qFormat/>
    <w:rsid w:val="00756065"/>
    <w:pPr>
      <w:spacing w:after="680"/>
    </w:pPr>
    <w:rPr>
      <w:rFonts w:cs="Times New Roman"/>
    </w:rPr>
  </w:style>
  <w:style w:type="paragraph" w:customStyle="1" w:styleId="Title-chapterorange">
    <w:name w:val="&gt; Title - chapter orange"/>
    <w:basedOn w:val="Heading1"/>
    <w:qFormat/>
    <w:rsid w:val="00014C70"/>
    <w:pPr>
      <w:spacing w:before="0" w:after="1920" w:line="288" w:lineRule="auto"/>
    </w:pPr>
    <w:rPr>
      <w:rFonts w:ascii="Georgia" w:eastAsia="Times New Roman" w:hAnsi="Georgia" w:cs="Times New Roman"/>
      <w:b w:val="0"/>
      <w:color w:val="F08100"/>
      <w:sz w:val="48"/>
      <w:szCs w:val="48"/>
    </w:rPr>
  </w:style>
  <w:style w:type="paragraph" w:customStyle="1" w:styleId="Parabeforetable">
    <w:name w:val="&gt; Para before table"/>
    <w:basedOn w:val="Parabeforenewsection"/>
    <w:qFormat/>
    <w:rsid w:val="00756065"/>
    <w:pPr>
      <w:spacing w:after="420"/>
    </w:pPr>
  </w:style>
  <w:style w:type="paragraph" w:customStyle="1" w:styleId="Parabeforebulletss">
    <w:name w:val="&gt; Para before bullets/#s"/>
    <w:basedOn w:val="Normal"/>
    <w:qFormat/>
    <w:rsid w:val="00756065"/>
    <w:pPr>
      <w:spacing w:after="60" w:line="312" w:lineRule="auto"/>
    </w:pPr>
    <w:rPr>
      <w:szCs w:val="24"/>
    </w:rPr>
  </w:style>
  <w:style w:type="paragraph" w:customStyle="1" w:styleId="Bullet-followedbyothers">
    <w:name w:val="&gt; Bullet - followed by others"/>
    <w:basedOn w:val="Normal"/>
    <w:qFormat/>
    <w:rsid w:val="00756065"/>
    <w:pPr>
      <w:numPr>
        <w:numId w:val="1"/>
      </w:numPr>
      <w:spacing w:after="40" w:line="312" w:lineRule="auto"/>
      <w:ind w:left="340" w:hanging="340"/>
    </w:pPr>
    <w:rPr>
      <w:szCs w:val="24"/>
    </w:rPr>
  </w:style>
  <w:style w:type="paragraph" w:customStyle="1" w:styleId="Bullet-lastingroup">
    <w:name w:val="&gt; Bullet - last in group"/>
    <w:basedOn w:val="Bullet-followedbyothers"/>
    <w:qFormat/>
    <w:rsid w:val="00756065"/>
    <w:pPr>
      <w:spacing w:after="240"/>
    </w:pPr>
  </w:style>
  <w:style w:type="paragraph" w:customStyle="1" w:styleId="Title-sectionsorange">
    <w:name w:val="&gt; Title - sections orange"/>
    <w:basedOn w:val="Heading2"/>
    <w:qFormat/>
    <w:rsid w:val="008D4847"/>
    <w:pPr>
      <w:pBdr>
        <w:bottom w:val="dotted" w:sz="4" w:space="1" w:color="auto"/>
      </w:pBdr>
      <w:spacing w:before="0" w:after="320" w:line="312" w:lineRule="auto"/>
    </w:pPr>
    <w:rPr>
      <w:color w:val="ED8B00"/>
      <w:sz w:val="28"/>
    </w:rPr>
  </w:style>
  <w:style w:type="paragraph" w:customStyle="1" w:styleId="Title-numberedsectionsorange">
    <w:name w:val="&gt; Title - numbered sections orange"/>
    <w:basedOn w:val="Title-sectionsorange"/>
    <w:qFormat/>
    <w:rsid w:val="004B6C2D"/>
    <w:pPr>
      <w:spacing w:after="340"/>
      <w:ind w:left="709" w:hanging="709"/>
    </w:pPr>
  </w:style>
  <w:style w:type="paragraph" w:customStyle="1" w:styleId="Bullets-sub-bullets">
    <w:name w:val="&gt; Bullets - sub-bullets"/>
    <w:basedOn w:val="Bullet-followedbyothers"/>
    <w:qFormat/>
    <w:rsid w:val="00756065"/>
    <w:pPr>
      <w:numPr>
        <w:ilvl w:val="1"/>
        <w:numId w:val="2"/>
      </w:numPr>
      <w:ind w:left="737" w:hanging="340"/>
    </w:pPr>
    <w:rPr>
      <w:rFonts w:cs="Arial"/>
      <w:szCs w:val="28"/>
    </w:rPr>
  </w:style>
  <w:style w:type="paragraph" w:customStyle="1" w:styleId="Title-tablesorange">
    <w:name w:val="&gt; Title - tables orange"/>
    <w:basedOn w:val="Parabeforeanother"/>
    <w:qFormat/>
    <w:rsid w:val="004B6C2D"/>
    <w:pPr>
      <w:spacing w:after="80"/>
      <w:ind w:left="1276" w:hanging="1276"/>
      <w:outlineLvl w:val="2"/>
    </w:pPr>
    <w:rPr>
      <w:b/>
      <w:color w:val="ED8B00"/>
      <w:lang w:eastAsia="en-GB"/>
    </w:rPr>
  </w:style>
  <w:style w:type="paragraph" w:customStyle="1" w:styleId="Parabeforetextbox">
    <w:name w:val="&gt; Para before text box"/>
    <w:basedOn w:val="Parabeforeanother"/>
    <w:qFormat/>
    <w:rsid w:val="00756065"/>
    <w:pPr>
      <w:spacing w:after="260"/>
    </w:pPr>
    <w:rPr>
      <w:lang w:eastAsia="en-GB"/>
    </w:rPr>
  </w:style>
  <w:style w:type="paragraph" w:customStyle="1" w:styleId="Tablenotes">
    <w:name w:val="&gt; Table notes"/>
    <w:basedOn w:val="Normal"/>
    <w:qFormat/>
    <w:rsid w:val="00756065"/>
    <w:pPr>
      <w:autoSpaceDE w:val="0"/>
      <w:autoSpaceDN w:val="0"/>
      <w:adjustRightInd w:val="0"/>
      <w:spacing w:line="240" w:lineRule="auto"/>
    </w:pPr>
    <w:rPr>
      <w:rFonts w:cs="Arial"/>
      <w:color w:val="000000"/>
      <w:sz w:val="22"/>
      <w:lang w:eastAsia="en-GB"/>
    </w:rPr>
  </w:style>
  <w:style w:type="paragraph" w:customStyle="1" w:styleId="Parabeforenewsubsection">
    <w:name w:val="&gt; Para before new subsection"/>
    <w:basedOn w:val="Parabeforenewsection"/>
    <w:qFormat/>
    <w:rsid w:val="00756065"/>
    <w:pPr>
      <w:spacing w:after="420"/>
    </w:pPr>
    <w:rPr>
      <w:rFonts w:cs="Arial"/>
    </w:rPr>
  </w:style>
  <w:style w:type="paragraph" w:customStyle="1" w:styleId="Paraintextboxlast">
    <w:name w:val="&gt; Para in text box (last)"/>
    <w:basedOn w:val="Parabeforeanother"/>
    <w:qFormat/>
    <w:rsid w:val="00756065"/>
    <w:pPr>
      <w:spacing w:after="0"/>
    </w:pPr>
  </w:style>
  <w:style w:type="paragraph" w:customStyle="1" w:styleId="Parabetwtextboxandnewpara">
    <w:name w:val="&gt; Para betw. text box and new para"/>
    <w:basedOn w:val="Parabeforetextbox"/>
    <w:qFormat/>
    <w:rsid w:val="00756065"/>
    <w:pPr>
      <w:spacing w:after="0"/>
    </w:pPr>
  </w:style>
  <w:style w:type="paragraph" w:customStyle="1" w:styleId="Numberedlist">
    <w:name w:val="&gt; Numbered list"/>
    <w:basedOn w:val="Bullet-followedbyothers"/>
    <w:qFormat/>
    <w:rsid w:val="00756065"/>
    <w:pPr>
      <w:numPr>
        <w:numId w:val="0"/>
      </w:numPr>
      <w:tabs>
        <w:tab w:val="num" w:pos="360"/>
      </w:tabs>
      <w:ind w:left="425" w:hanging="425"/>
    </w:pPr>
  </w:style>
  <w:style w:type="paragraph" w:customStyle="1" w:styleId="Numberedlistlastingroup">
    <w:name w:val="&gt; Numbered list (last in group)"/>
    <w:basedOn w:val="Bullet-followedbyothers"/>
    <w:qFormat/>
    <w:rsid w:val="00756065"/>
    <w:pPr>
      <w:numPr>
        <w:numId w:val="3"/>
      </w:numPr>
      <w:spacing w:after="160"/>
      <w:ind w:left="425" w:hanging="425"/>
    </w:pPr>
  </w:style>
  <w:style w:type="character" w:customStyle="1" w:styleId="Heading1Char">
    <w:name w:val="Heading 1 Char"/>
    <w:basedOn w:val="DefaultParagraphFont"/>
    <w:link w:val="Heading1"/>
    <w:uiPriority w:val="9"/>
    <w:rsid w:val="0075606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560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065"/>
    <w:rPr>
      <w:rFonts w:ascii="Tahoma" w:eastAsia="Calibri" w:hAnsi="Tahoma" w:cs="Tahoma"/>
      <w:sz w:val="16"/>
      <w:szCs w:val="16"/>
    </w:rPr>
  </w:style>
  <w:style w:type="paragraph" w:customStyle="1" w:styleId="Title-chaptergrey">
    <w:name w:val="&gt; Title - chapter grey"/>
    <w:basedOn w:val="Title-chapterorange"/>
    <w:qFormat/>
    <w:rsid w:val="00F8673B"/>
    <w:rPr>
      <w:color w:val="505759"/>
    </w:rPr>
  </w:style>
  <w:style w:type="paragraph" w:customStyle="1" w:styleId="Title-numberedsectionsgrey">
    <w:name w:val="&gt;Title - numbered sections grey"/>
    <w:basedOn w:val="Title-numberedsectionsorange"/>
    <w:qFormat/>
    <w:rsid w:val="00F8673B"/>
    <w:rPr>
      <w:color w:val="505759"/>
    </w:rPr>
  </w:style>
  <w:style w:type="paragraph" w:customStyle="1" w:styleId="Title-tablesgrey">
    <w:name w:val="&gt;Title - tables grey"/>
    <w:basedOn w:val="Title-tablesorange"/>
    <w:qFormat/>
    <w:rsid w:val="00F8673B"/>
    <w:rPr>
      <w:color w:val="505759"/>
    </w:rPr>
  </w:style>
  <w:style w:type="paragraph" w:customStyle="1" w:styleId="Title-chapterpurple">
    <w:name w:val="&gt;Title - chapter purple"/>
    <w:basedOn w:val="Title-chapterorange"/>
    <w:qFormat/>
    <w:rsid w:val="00D3215D"/>
    <w:rPr>
      <w:color w:val="AF1685"/>
    </w:rPr>
  </w:style>
  <w:style w:type="paragraph" w:customStyle="1" w:styleId="Title-numberedsectionspurple">
    <w:name w:val="&gt;Title - numbered sections purple"/>
    <w:basedOn w:val="Title-numberedsectionsorange"/>
    <w:qFormat/>
    <w:rsid w:val="00D3215D"/>
    <w:rPr>
      <w:color w:val="AF1685"/>
    </w:rPr>
  </w:style>
  <w:style w:type="paragraph" w:customStyle="1" w:styleId="Title-tablespurple">
    <w:name w:val="&gt;Title - tables purple"/>
    <w:basedOn w:val="Title-tablesgrey"/>
    <w:qFormat/>
    <w:rsid w:val="00A13A7C"/>
    <w:rPr>
      <w:color w:val="AF1685"/>
    </w:rPr>
  </w:style>
  <w:style w:type="paragraph" w:customStyle="1" w:styleId="Heading-subsections">
    <w:name w:val="&gt; Heading - subsections"/>
    <w:basedOn w:val="Parabeforeanother"/>
    <w:qFormat/>
    <w:rsid w:val="00F467DD"/>
    <w:pPr>
      <w:keepNext/>
      <w:spacing w:after="100"/>
    </w:pPr>
    <w:rPr>
      <w:b/>
    </w:rPr>
  </w:style>
  <w:style w:type="paragraph" w:customStyle="1" w:styleId="Heading-chapter">
    <w:name w:val="&gt; Heading - chapter"/>
    <w:basedOn w:val="Heading1"/>
    <w:qFormat/>
    <w:rsid w:val="00D22706"/>
    <w:pPr>
      <w:spacing w:before="0" w:after="1920" w:line="288" w:lineRule="auto"/>
    </w:pPr>
    <w:rPr>
      <w:rFonts w:ascii="Georgia" w:eastAsia="Times New Roman" w:hAnsi="Georgia" w:cs="Times New Roman"/>
      <w:b w:val="0"/>
      <w:color w:val="F79646" w:themeColor="accent6"/>
      <w:sz w:val="48"/>
      <w:szCs w:val="48"/>
    </w:rPr>
  </w:style>
  <w:style w:type="paragraph" w:customStyle="1" w:styleId="Heading-sections">
    <w:name w:val="&gt; Heading - sections"/>
    <w:basedOn w:val="Heading2"/>
    <w:qFormat/>
    <w:rsid w:val="00F467DD"/>
    <w:pPr>
      <w:pBdr>
        <w:bottom w:val="dotted" w:sz="4" w:space="1" w:color="auto"/>
      </w:pBdr>
      <w:spacing w:before="0" w:after="320" w:line="312" w:lineRule="auto"/>
    </w:pPr>
    <w:rPr>
      <w:color w:val="215868"/>
      <w:sz w:val="28"/>
    </w:rPr>
  </w:style>
  <w:style w:type="paragraph" w:customStyle="1" w:styleId="Heading-numberedsections">
    <w:name w:val="&gt; Heading - numbered sections"/>
    <w:basedOn w:val="Heading-sections"/>
    <w:qFormat/>
    <w:rsid w:val="00F467DD"/>
    <w:pPr>
      <w:spacing w:after="340"/>
      <w:ind w:left="709" w:hanging="709"/>
    </w:pPr>
    <w:rPr>
      <w:color w:val="31849B"/>
    </w:rPr>
  </w:style>
  <w:style w:type="paragraph" w:customStyle="1" w:styleId="Heading-tables">
    <w:name w:val="&gt; Heading - tables"/>
    <w:basedOn w:val="Parabeforeanother"/>
    <w:qFormat/>
    <w:rsid w:val="00F467DD"/>
    <w:pPr>
      <w:spacing w:after="80"/>
      <w:ind w:left="1276" w:hanging="1276"/>
      <w:outlineLvl w:val="2"/>
    </w:pPr>
    <w:rPr>
      <w:b/>
      <w:color w:val="31849B"/>
      <w:lang w:eastAsia="en-GB"/>
    </w:rPr>
  </w:style>
  <w:style w:type="table" w:styleId="TableGrid">
    <w:name w:val="Table Grid"/>
    <w:basedOn w:val="TableNormal"/>
    <w:rsid w:val="00F467DD"/>
    <w:pPr>
      <w:spacing w:before="240" w:after="240" w:line="240" w:lineRule="auto"/>
      <w:ind w:right="74"/>
    </w:pPr>
    <w:rPr>
      <w:rFonts w:ascii="Palatino Linotype" w:eastAsia="Times New Roman" w:hAnsi="Palatino Linotype"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467DD"/>
    <w:rPr>
      <w:sz w:val="16"/>
      <w:szCs w:val="16"/>
    </w:rPr>
  </w:style>
  <w:style w:type="paragraph" w:styleId="CommentText">
    <w:name w:val="annotation text"/>
    <w:basedOn w:val="Normal"/>
    <w:link w:val="CommentTextChar"/>
    <w:unhideWhenUsed/>
    <w:rsid w:val="00F467DD"/>
    <w:pPr>
      <w:spacing w:line="240" w:lineRule="auto"/>
    </w:pPr>
    <w:rPr>
      <w:sz w:val="20"/>
      <w:szCs w:val="20"/>
    </w:rPr>
  </w:style>
  <w:style w:type="character" w:customStyle="1" w:styleId="CommentTextChar">
    <w:name w:val="Comment Text Char"/>
    <w:basedOn w:val="DefaultParagraphFont"/>
    <w:link w:val="CommentText"/>
    <w:rsid w:val="00F467DD"/>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F467DD"/>
    <w:rPr>
      <w:b/>
      <w:bCs/>
    </w:rPr>
  </w:style>
  <w:style w:type="character" w:customStyle="1" w:styleId="CommentSubjectChar">
    <w:name w:val="Comment Subject Char"/>
    <w:basedOn w:val="CommentTextChar"/>
    <w:link w:val="CommentSubject"/>
    <w:uiPriority w:val="99"/>
    <w:semiHidden/>
    <w:rsid w:val="00F467DD"/>
    <w:rPr>
      <w:rFonts w:ascii="Arial" w:eastAsia="Calibri" w:hAnsi="Arial" w:cs="Times New Roman"/>
      <w:b/>
      <w:bCs/>
      <w:sz w:val="20"/>
      <w:szCs w:val="20"/>
    </w:rPr>
  </w:style>
  <w:style w:type="paragraph" w:styleId="Caption">
    <w:name w:val="caption"/>
    <w:basedOn w:val="Normal"/>
    <w:next w:val="Normal"/>
    <w:uiPriority w:val="35"/>
    <w:unhideWhenUsed/>
    <w:qFormat/>
    <w:rsid w:val="00F467DD"/>
    <w:pPr>
      <w:spacing w:after="200" w:line="240" w:lineRule="auto"/>
    </w:pPr>
    <w:rPr>
      <w:b/>
      <w:bCs/>
      <w:color w:val="4F81BD" w:themeColor="accent1"/>
      <w:sz w:val="18"/>
      <w:szCs w:val="18"/>
    </w:rPr>
  </w:style>
  <w:style w:type="paragraph" w:styleId="FootnoteText">
    <w:name w:val="footnote text"/>
    <w:aliases w:val="FA Fu,Footnote Text Char Char,Footnote Text Char1 Char Char,Footnote Text Char Char Char Char,Footnote Text Char1 Char Char Char Char,Footnote Char Char Char Char Char,Footnote Text Char Char Char Char Char Char,Char,f"/>
    <w:basedOn w:val="Normal"/>
    <w:link w:val="FootnoteTextChar"/>
    <w:uiPriority w:val="99"/>
    <w:unhideWhenUsed/>
    <w:qFormat/>
    <w:rsid w:val="00F467DD"/>
    <w:pPr>
      <w:spacing w:line="240" w:lineRule="auto"/>
    </w:pPr>
    <w:rPr>
      <w:sz w:val="20"/>
      <w:szCs w:val="20"/>
    </w:rPr>
  </w:style>
  <w:style w:type="character" w:customStyle="1" w:styleId="FootnoteTextChar">
    <w:name w:val="Footnote Text Char"/>
    <w:aliases w:val="FA Fu Char,Footnote Text Char Char Char,Footnote Text Char1 Char Char Char,Footnote Text Char Char Char Char Char,Footnote Text Char1 Char Char Char Char Char,Footnote Char Char Char Char Char Char,Char Char,f Char"/>
    <w:basedOn w:val="DefaultParagraphFont"/>
    <w:link w:val="FootnoteText"/>
    <w:uiPriority w:val="99"/>
    <w:rsid w:val="00F467DD"/>
    <w:rPr>
      <w:rFonts w:ascii="Arial" w:eastAsia="Calibri" w:hAnsi="Arial" w:cs="Times New Roman"/>
      <w:sz w:val="20"/>
      <w:szCs w:val="20"/>
    </w:rPr>
  </w:style>
  <w:style w:type="table" w:customStyle="1" w:styleId="TableGrid1">
    <w:name w:val="Table Grid1"/>
    <w:basedOn w:val="TableNormal"/>
    <w:next w:val="TableGrid"/>
    <w:rsid w:val="00F467DD"/>
    <w:pPr>
      <w:spacing w:before="240" w:after="240" w:line="240" w:lineRule="auto"/>
      <w:ind w:right="74"/>
    </w:pPr>
    <w:rPr>
      <w:rFonts w:ascii="Palatino Linotype" w:eastAsia="Times New Roman" w:hAnsi="Palatino Linotype"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ReferneceLateinArial1">
    <w:name w:val="Footnote Refernece + (Latein) Arial1"/>
    <w:qFormat/>
    <w:rsid w:val="00F467DD"/>
    <w:rPr>
      <w:rFonts w:ascii="Arial" w:hAnsi="Arial"/>
      <w:sz w:val="22"/>
      <w:szCs w:val="22"/>
      <w:vertAlign w:val="superscript"/>
      <w:lang w:val="en-GB" w:eastAsia="en-GB" w:bidi="ar-SA"/>
    </w:rPr>
  </w:style>
  <w:style w:type="character" w:styleId="FootnoteReference">
    <w:name w:val="footnote reference"/>
    <w:aliases w:val="Footnotes refss,Footnote Reference in text,Footnote Reference Superscript,Appel note de bas de p.,*Footnote Reference,Odwołanie przypisu,Footnote symbol,Footnote Reference Number,Appel note de bas de p,Black,(NECG) Footnote Reference"/>
    <w:basedOn w:val="DefaultParagraphFont"/>
    <w:link w:val="4GCharCharChar"/>
    <w:uiPriority w:val="99"/>
    <w:unhideWhenUsed/>
    <w:qFormat/>
    <w:rsid w:val="00F467DD"/>
    <w:rPr>
      <w:vertAlign w:val="superscript"/>
    </w:rPr>
  </w:style>
  <w:style w:type="character" w:styleId="FollowedHyperlink">
    <w:name w:val="FollowedHyperlink"/>
    <w:basedOn w:val="DefaultParagraphFont"/>
    <w:uiPriority w:val="99"/>
    <w:semiHidden/>
    <w:unhideWhenUsed/>
    <w:rsid w:val="00F467DD"/>
    <w:rPr>
      <w:color w:val="800080" w:themeColor="followedHyperlink"/>
      <w:u w:val="single"/>
    </w:rPr>
  </w:style>
  <w:style w:type="paragraph" w:styleId="TOC1">
    <w:name w:val="toc 1"/>
    <w:basedOn w:val="Normal"/>
    <w:next w:val="Normal"/>
    <w:autoRedefine/>
    <w:uiPriority w:val="39"/>
    <w:unhideWhenUsed/>
    <w:rsid w:val="008C7011"/>
    <w:pPr>
      <w:tabs>
        <w:tab w:val="right" w:leader="dot" w:pos="9016"/>
      </w:tabs>
      <w:spacing w:after="100"/>
    </w:pPr>
    <w:rPr>
      <w:b/>
      <w:noProof/>
    </w:rPr>
  </w:style>
  <w:style w:type="paragraph" w:styleId="TOC2">
    <w:name w:val="toc 2"/>
    <w:basedOn w:val="Normal"/>
    <w:next w:val="Normal"/>
    <w:autoRedefine/>
    <w:uiPriority w:val="39"/>
    <w:unhideWhenUsed/>
    <w:rsid w:val="00F467DD"/>
    <w:pPr>
      <w:spacing w:after="100"/>
      <w:ind w:left="240"/>
    </w:pPr>
  </w:style>
  <w:style w:type="paragraph" w:styleId="TOC3">
    <w:name w:val="toc 3"/>
    <w:basedOn w:val="Normal"/>
    <w:next w:val="Normal"/>
    <w:autoRedefine/>
    <w:uiPriority w:val="39"/>
    <w:unhideWhenUsed/>
    <w:rsid w:val="008C7011"/>
    <w:pPr>
      <w:tabs>
        <w:tab w:val="left" w:pos="1760"/>
        <w:tab w:val="right" w:leader="dot" w:pos="9016"/>
      </w:tabs>
      <w:spacing w:after="100"/>
    </w:pPr>
  </w:style>
  <w:style w:type="character" w:styleId="HTMLCite">
    <w:name w:val="HTML Cite"/>
    <w:basedOn w:val="DefaultParagraphFont"/>
    <w:uiPriority w:val="99"/>
    <w:semiHidden/>
    <w:unhideWhenUsed/>
    <w:rsid w:val="00F467DD"/>
    <w:rPr>
      <w:i/>
      <w:iCs/>
    </w:rPr>
  </w:style>
  <w:style w:type="paragraph" w:customStyle="1" w:styleId="Default">
    <w:name w:val="Default"/>
    <w:rsid w:val="00F467DD"/>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F467DD"/>
    <w:pPr>
      <w:spacing w:after="0" w:line="240" w:lineRule="auto"/>
    </w:pPr>
    <w:rPr>
      <w:rFonts w:ascii="Arial" w:eastAsia="Calibri" w:hAnsi="Arial" w:cs="Times New Roman"/>
      <w:sz w:val="24"/>
    </w:rPr>
  </w:style>
  <w:style w:type="paragraph" w:styleId="EndnoteText">
    <w:name w:val="endnote text"/>
    <w:basedOn w:val="Normal"/>
    <w:link w:val="EndnoteTextChar"/>
    <w:uiPriority w:val="99"/>
    <w:unhideWhenUsed/>
    <w:rsid w:val="00F467DD"/>
    <w:pPr>
      <w:spacing w:line="240" w:lineRule="auto"/>
    </w:pPr>
    <w:rPr>
      <w:rFonts w:ascii="Calibri" w:eastAsiaTheme="minorHAnsi" w:hAnsi="Calibri"/>
      <w:sz w:val="20"/>
      <w:szCs w:val="20"/>
    </w:rPr>
  </w:style>
  <w:style w:type="character" w:customStyle="1" w:styleId="EndnoteTextChar">
    <w:name w:val="Endnote Text Char"/>
    <w:basedOn w:val="DefaultParagraphFont"/>
    <w:link w:val="EndnoteText"/>
    <w:uiPriority w:val="99"/>
    <w:rsid w:val="00F467DD"/>
    <w:rPr>
      <w:rFonts w:ascii="Calibri" w:hAnsi="Calibri" w:cs="Times New Roman"/>
      <w:sz w:val="20"/>
      <w:szCs w:val="20"/>
    </w:rPr>
  </w:style>
  <w:style w:type="character" w:styleId="EndnoteReference">
    <w:name w:val="endnote reference"/>
    <w:basedOn w:val="DefaultParagraphFont"/>
    <w:uiPriority w:val="99"/>
    <w:semiHidden/>
    <w:unhideWhenUsed/>
    <w:rsid w:val="00F467DD"/>
    <w:rPr>
      <w:vertAlign w:val="superscript"/>
    </w:rPr>
  </w:style>
  <w:style w:type="paragraph" w:styleId="BodyText">
    <w:name w:val="Body Text"/>
    <w:link w:val="BodyTextChar"/>
    <w:qFormat/>
    <w:rsid w:val="00F467DD"/>
    <w:pPr>
      <w:spacing w:before="240" w:after="180" w:line="240" w:lineRule="auto"/>
      <w:ind w:right="74"/>
    </w:pPr>
    <w:rPr>
      <w:rFonts w:ascii="Palatino Linotype" w:eastAsia="Times New Roman" w:hAnsi="Palatino Linotype" w:cs="Times New Roman"/>
      <w:sz w:val="24"/>
      <w:lang w:eastAsia="en-GB"/>
    </w:rPr>
  </w:style>
  <w:style w:type="character" w:customStyle="1" w:styleId="BodyTextChar">
    <w:name w:val="Body Text Char"/>
    <w:basedOn w:val="DefaultParagraphFont"/>
    <w:link w:val="BodyText"/>
    <w:rsid w:val="00F467DD"/>
    <w:rPr>
      <w:rFonts w:ascii="Palatino Linotype" w:eastAsia="Times New Roman" w:hAnsi="Palatino Linotype" w:cs="Times New Roman"/>
      <w:sz w:val="24"/>
      <w:lang w:eastAsia="en-GB"/>
    </w:rPr>
  </w:style>
  <w:style w:type="paragraph" w:styleId="ListParagraph">
    <w:name w:val="List Paragraph"/>
    <w:aliases w:val="F5 List Paragraph,Dot pt,No Spacing1,List Paragraph Char Char Char,Indicator Text,List Paragraph1,Numbered Para 1,Bullet 1,List Paragraph12,Bullet Points,MAIN CONTENT,List Paragraph2,Normal numbered,List Paragraph11,OBC Bullet,Bullet Styl"/>
    <w:basedOn w:val="Normal"/>
    <w:uiPriority w:val="34"/>
    <w:qFormat/>
    <w:rsid w:val="00F467DD"/>
    <w:pPr>
      <w:ind w:left="720"/>
      <w:contextualSpacing/>
    </w:pPr>
  </w:style>
  <w:style w:type="paragraph" w:styleId="NormalWeb">
    <w:name w:val="Normal (Web)"/>
    <w:basedOn w:val="Normal"/>
    <w:uiPriority w:val="99"/>
    <w:unhideWhenUsed/>
    <w:rsid w:val="00F467DD"/>
    <w:rPr>
      <w:rFonts w:ascii="Times New Roman" w:hAnsi="Times New Roman"/>
      <w:szCs w:val="24"/>
    </w:rPr>
  </w:style>
  <w:style w:type="paragraph" w:styleId="ListBullet">
    <w:name w:val="List Bullet"/>
    <w:basedOn w:val="Normal"/>
    <w:uiPriority w:val="4"/>
    <w:qFormat/>
    <w:rsid w:val="00F467DD"/>
    <w:pPr>
      <w:numPr>
        <w:numId w:val="15"/>
      </w:numPr>
      <w:spacing w:before="120" w:line="240" w:lineRule="auto"/>
    </w:pPr>
    <w:rPr>
      <w:rFonts w:asciiTheme="minorHAnsi" w:eastAsiaTheme="minorHAnsi" w:hAnsiTheme="minorHAnsi" w:cstheme="minorBidi"/>
    </w:rPr>
  </w:style>
  <w:style w:type="paragraph" w:customStyle="1" w:styleId="Pa0">
    <w:name w:val="Pa0"/>
    <w:basedOn w:val="Default"/>
    <w:next w:val="Default"/>
    <w:uiPriority w:val="99"/>
    <w:rsid w:val="00F467DD"/>
    <w:pPr>
      <w:spacing w:line="221" w:lineRule="atLeast"/>
    </w:pPr>
    <w:rPr>
      <w:rFonts w:ascii="Arial MT Std Light" w:hAnsi="Arial MT Std Light" w:cstheme="minorBidi"/>
      <w:color w:val="auto"/>
    </w:rPr>
  </w:style>
  <w:style w:type="character" w:customStyle="1" w:styleId="cit">
    <w:name w:val="cit"/>
    <w:basedOn w:val="DefaultParagraphFont"/>
    <w:rsid w:val="00F467DD"/>
  </w:style>
  <w:style w:type="character" w:customStyle="1" w:styleId="fm-vol-iss-date">
    <w:name w:val="fm-vol-iss-date"/>
    <w:basedOn w:val="DefaultParagraphFont"/>
    <w:rsid w:val="00F467DD"/>
  </w:style>
  <w:style w:type="character" w:customStyle="1" w:styleId="doi1">
    <w:name w:val="doi1"/>
    <w:basedOn w:val="DefaultParagraphFont"/>
    <w:rsid w:val="00F467DD"/>
  </w:style>
  <w:style w:type="character" w:customStyle="1" w:styleId="fm-citation-ids-label">
    <w:name w:val="fm-citation-ids-label"/>
    <w:basedOn w:val="DefaultParagraphFont"/>
    <w:rsid w:val="00F467DD"/>
  </w:style>
  <w:style w:type="character" w:customStyle="1" w:styleId="slug-vol">
    <w:name w:val="slug-vol"/>
    <w:basedOn w:val="DefaultParagraphFont"/>
    <w:rsid w:val="00F467DD"/>
  </w:style>
  <w:style w:type="character" w:customStyle="1" w:styleId="slug-issue">
    <w:name w:val="slug-issue"/>
    <w:basedOn w:val="DefaultParagraphFont"/>
    <w:rsid w:val="00F467DD"/>
  </w:style>
  <w:style w:type="character" w:customStyle="1" w:styleId="slug-pub-date3">
    <w:name w:val="slug-pub-date3"/>
    <w:basedOn w:val="DefaultParagraphFont"/>
    <w:rsid w:val="00F467DD"/>
    <w:rPr>
      <w:b/>
      <w:bCs/>
    </w:rPr>
  </w:style>
  <w:style w:type="character" w:customStyle="1" w:styleId="slug-pages3">
    <w:name w:val="slug-pages3"/>
    <w:basedOn w:val="DefaultParagraphFont"/>
    <w:rsid w:val="00F467DD"/>
    <w:rPr>
      <w:b/>
      <w:bCs/>
    </w:rPr>
  </w:style>
  <w:style w:type="character" w:customStyle="1" w:styleId="A3">
    <w:name w:val="A3"/>
    <w:uiPriority w:val="99"/>
    <w:rsid w:val="00F467DD"/>
    <w:rPr>
      <w:rFonts w:cs="Frutiger 55 Roman"/>
      <w:color w:val="000000"/>
      <w:sz w:val="22"/>
      <w:szCs w:val="22"/>
    </w:rPr>
  </w:style>
  <w:style w:type="paragraph" w:customStyle="1" w:styleId="Pa2">
    <w:name w:val="Pa2"/>
    <w:basedOn w:val="Default"/>
    <w:next w:val="Default"/>
    <w:uiPriority w:val="99"/>
    <w:rsid w:val="00F467DD"/>
    <w:pPr>
      <w:spacing w:line="241" w:lineRule="atLeast"/>
    </w:pPr>
    <w:rPr>
      <w:rFonts w:ascii="Frutiger 55 Roman" w:hAnsi="Frutiger 55 Roman" w:cstheme="minorBidi"/>
      <w:color w:val="auto"/>
    </w:rPr>
  </w:style>
  <w:style w:type="paragraph" w:customStyle="1" w:styleId="Parapre-textbox">
    <w:name w:val="&gt; Para (pre-text box)"/>
    <w:basedOn w:val="Normal"/>
    <w:qFormat/>
    <w:rsid w:val="00F467DD"/>
    <w:pPr>
      <w:spacing w:after="280" w:line="312" w:lineRule="auto"/>
    </w:pPr>
    <w:rPr>
      <w:noProof/>
      <w:szCs w:val="24"/>
    </w:rPr>
  </w:style>
  <w:style w:type="paragraph" w:customStyle="1" w:styleId="Paraflow">
    <w:name w:val="&gt; Para flow"/>
    <w:basedOn w:val="Normal"/>
    <w:qFormat/>
    <w:rsid w:val="00F467DD"/>
    <w:pPr>
      <w:spacing w:after="120" w:line="312" w:lineRule="auto"/>
    </w:pPr>
    <w:rPr>
      <w:rFonts w:cs="Arial"/>
      <w:szCs w:val="24"/>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FootnoteReference"/>
    <w:uiPriority w:val="99"/>
    <w:rsid w:val="00F467DD"/>
    <w:pPr>
      <w:spacing w:after="160" w:line="240" w:lineRule="exact"/>
      <w:jc w:val="both"/>
    </w:pPr>
    <w:rPr>
      <w:rFonts w:asciiTheme="minorHAnsi" w:eastAsiaTheme="minorHAnsi" w:hAnsiTheme="minorHAnsi" w:cstheme="minorBidi"/>
      <w:sz w:val="22"/>
      <w:vertAlign w:val="superscript"/>
    </w:rPr>
  </w:style>
  <w:style w:type="character" w:customStyle="1" w:styleId="personname">
    <w:name w:val="person_name"/>
    <w:basedOn w:val="DefaultParagraphFont"/>
    <w:rsid w:val="00F467DD"/>
  </w:style>
  <w:style w:type="character" w:styleId="Emphasis">
    <w:name w:val="Emphasis"/>
    <w:basedOn w:val="DefaultParagraphFont"/>
    <w:uiPriority w:val="20"/>
    <w:qFormat/>
    <w:rsid w:val="00F467DD"/>
    <w:rPr>
      <w:i/>
      <w:iCs/>
    </w:rPr>
  </w:style>
  <w:style w:type="character" w:styleId="Strong">
    <w:name w:val="Strong"/>
    <w:basedOn w:val="DefaultParagraphFont"/>
    <w:uiPriority w:val="22"/>
    <w:qFormat/>
    <w:rsid w:val="00F467DD"/>
    <w:rPr>
      <w:b/>
      <w:bCs/>
    </w:rPr>
  </w:style>
  <w:style w:type="paragraph" w:styleId="Title">
    <w:name w:val="Title"/>
    <w:basedOn w:val="Normal"/>
    <w:next w:val="Normal"/>
    <w:link w:val="TitleChar"/>
    <w:uiPriority w:val="10"/>
    <w:qFormat/>
    <w:rsid w:val="00F467DD"/>
    <w:pPr>
      <w:pBdr>
        <w:bottom w:val="single" w:sz="8" w:space="4" w:color="4F81BD"/>
      </w:pBdr>
      <w:spacing w:before="140" w:after="300" w:line="240" w:lineRule="auto"/>
    </w:pPr>
    <w:rPr>
      <w:rFonts w:ascii="Cambria" w:hAnsi="Cambria"/>
      <w:color w:val="17365D"/>
      <w:spacing w:val="5"/>
      <w:kern w:val="28"/>
      <w:sz w:val="52"/>
      <w:szCs w:val="20"/>
      <w:lang w:val="x-none" w:eastAsia="x-none"/>
    </w:rPr>
  </w:style>
  <w:style w:type="character" w:customStyle="1" w:styleId="TitleChar">
    <w:name w:val="Title Char"/>
    <w:basedOn w:val="DefaultParagraphFont"/>
    <w:link w:val="Title"/>
    <w:uiPriority w:val="10"/>
    <w:rsid w:val="00F467DD"/>
    <w:rPr>
      <w:rFonts w:ascii="Cambria" w:eastAsia="Calibri" w:hAnsi="Cambria" w:cs="Times New Roman"/>
      <w:color w:val="17365D"/>
      <w:spacing w:val="5"/>
      <w:kern w:val="28"/>
      <w:sz w:val="52"/>
      <w:szCs w:val="20"/>
      <w:lang w:val="x-none" w:eastAsia="x-none"/>
    </w:rPr>
  </w:style>
  <w:style w:type="paragraph" w:styleId="TOCHeading">
    <w:name w:val="TOC Heading"/>
    <w:basedOn w:val="Heading1"/>
    <w:next w:val="Normal"/>
    <w:uiPriority w:val="39"/>
    <w:semiHidden/>
    <w:unhideWhenUsed/>
    <w:qFormat/>
    <w:rsid w:val="00A50CC0"/>
    <w:pPr>
      <w:spacing w:line="276" w:lineRule="auto"/>
      <w:outlineLvl w:val="9"/>
    </w:pPr>
    <w:rPr>
      <w:lang w:val="en-US" w:eastAsia="ja-JP"/>
    </w:rPr>
  </w:style>
  <w:style w:type="paragraph" w:customStyle="1" w:styleId="Parabase">
    <w:name w:val="&gt; Para (base)"/>
    <w:basedOn w:val="Normal"/>
    <w:qFormat/>
    <w:rsid w:val="00BC52D5"/>
    <w:pPr>
      <w:spacing w:after="120" w:line="240" w:lineRule="auto"/>
    </w:pPr>
    <w:rPr>
      <w:szCs w:val="24"/>
    </w:rPr>
  </w:style>
  <w:style w:type="paragraph" w:customStyle="1" w:styleId="L4Headers">
    <w:name w:val="&gt; L4 Headers"/>
    <w:basedOn w:val="Parabase"/>
    <w:qFormat/>
    <w:rsid w:val="00BC52D5"/>
    <w:pPr>
      <w:keepNext/>
      <w:spacing w:after="100"/>
      <w:outlineLvl w:val="3"/>
    </w:pPr>
    <w:rPr>
      <w:rFonts w:cs="Arial"/>
      <w:b/>
      <w:color w:val="5057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56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cea.ac.uk/en/publications/index.cfm/njgender" TargetMode="External"/><Relationship Id="rId21" Type="http://schemas.openxmlformats.org/officeDocument/2006/relationships/header" Target="header7.xml"/><Relationship Id="rId42" Type="http://schemas.openxmlformats.org/officeDocument/2006/relationships/hyperlink" Target="http://webarchive.nationalarchives.gov.uk/20130314010347/http:/research.dwp.gov.uk/asd/asd5/rports2009-2010/rrep619.pdf" TargetMode="External"/><Relationship Id="rId47" Type="http://schemas.openxmlformats.org/officeDocument/2006/relationships/hyperlink" Target="https://www.equalityhumanrights.com/en/parliamentary-library/small-business-enterprise-and-employment-bill-house-lords-report" TargetMode="External"/><Relationship Id="rId63" Type="http://schemas.openxmlformats.org/officeDocument/2006/relationships/hyperlink" Target="https://www.gov.uk/government/uploads/system/uploads/attachment_data/file/371077/Think__Act__Report__mending_the_gap.pdf" TargetMode="External"/><Relationship Id="rId68" Type="http://schemas.openxmlformats.org/officeDocument/2006/relationships/hyperlink" Target="http://webarchive.nationalarchives.gov.uk/20130128102031/http:/statistics.dwp.gov.uk/asd/asd5/rports2005-2006/rrep341.pdf" TargetMode="External"/><Relationship Id="rId84" Type="http://schemas.openxmlformats.org/officeDocument/2006/relationships/hyperlink" Target="https://www.equalityhumanrights.com/en/publication-download/research-report-14-pay-gaps-across-equality-strands-review" TargetMode="External"/><Relationship Id="rId89" Type="http://schemas.openxmlformats.org/officeDocument/2006/relationships/hyperlink" Target="http://www.cls.ioe.ac.uk/page.aspx?&amp;sitesectionid=939&amp;sitesectiontitle=Recent+working+papers" TargetMode="External"/><Relationship Id="rId112" Type="http://schemas.openxmlformats.org/officeDocument/2006/relationships/hyperlink" Target="https://ssrn.com/abstract=1314789" TargetMode="External"/><Relationship Id="rId16" Type="http://schemas.openxmlformats.org/officeDocument/2006/relationships/header" Target="header3.xml"/><Relationship Id="rId107" Type="http://schemas.openxmlformats.org/officeDocument/2006/relationships/hyperlink" Target="https://www.equalityhumanrights.com/en/publication-download/research-report-59-disability-skills-and-employment-review-recent-statistics" TargetMode="External"/><Relationship Id="rId11" Type="http://schemas.openxmlformats.org/officeDocument/2006/relationships/hyperlink" Target="mailto:correspondence@equalityhumanrights.com" TargetMode="External"/><Relationship Id="rId32" Type="http://schemas.openxmlformats.org/officeDocument/2006/relationships/hyperlink" Target="https://www.gov.uk/government/uploads/system/uploads/attachment_data/file/465930/BIS-15-447-pregnancy-and-maternity-related-discrimination-and-disadvantage.pdf" TargetMode="External"/><Relationship Id="rId37" Type="http://schemas.openxmlformats.org/officeDocument/2006/relationships/hyperlink" Target="https://www.closethegap.org.uk/content/resources/Making-Progress---An-assessment-of-employers-compliance-with-PSED-November-2015.pdf" TargetMode="External"/><Relationship Id="rId53" Type="http://schemas.openxmlformats.org/officeDocument/2006/relationships/hyperlink" Target="http://www.enei.org.uk/data/files/publications/734/Disability-A-Research-Study-on-Unconscious-Bias.pdf" TargetMode="External"/><Relationship Id="rId58" Type="http://schemas.openxmlformats.org/officeDocument/2006/relationships/hyperlink" Target="http://www.eversheds.com/global/en/what/articles/index.page?ArticleID=en/Employment_and_labour_law/HR_E-brief_Gender_pay_reporting_accross_Europe_June2015" TargetMode="External"/><Relationship Id="rId74" Type="http://schemas.openxmlformats.org/officeDocument/2006/relationships/hyperlink" Target="http://www.ifs.org.uk/uploads/publications/docs/MISOC%20Childcare%20briefing%20paper.pdf" TargetMode="External"/><Relationship Id="rId79" Type="http://schemas.openxmlformats.org/officeDocument/2006/relationships/hyperlink" Target="https://www.iser.essex.ac.uk/files/iser_working_papers/2009-31.pdf" TargetMode="External"/><Relationship Id="rId102" Type="http://schemas.openxmlformats.org/officeDocument/2006/relationships/hyperlink" Target="http://www.research.mbs.ac.uk/ewerc/Portals/0/docs/ReconciliationofWorkandPrivateLife.pdf" TargetMode="External"/><Relationship Id="rId123" Type="http://schemas.openxmlformats.org/officeDocument/2006/relationships/header" Target="header11.xml"/><Relationship Id="rId128" Type="http://schemas.openxmlformats.org/officeDocument/2006/relationships/hyperlink" Target="mailto:correspondence@equalityhumanrights.com" TargetMode="External"/><Relationship Id="rId5" Type="http://schemas.openxmlformats.org/officeDocument/2006/relationships/webSettings" Target="webSettings.xml"/><Relationship Id="rId90" Type="http://schemas.openxmlformats.org/officeDocument/2006/relationships/hyperlink" Target="https://www.tuc.org.uk/sites/default/files/UnderRepresentationInApprenticeships.pdf" TargetMode="External"/><Relationship Id="rId95" Type="http://schemas.openxmlformats.org/officeDocument/2006/relationships/hyperlink" Target="http://www.ons.gov.uk/employmentandlabourmarket/peopleinwork/earningsandworkinghours/bulletins/annualsurveyofhoursandearnings/2016provisionalresults" TargetMode="External"/><Relationship Id="rId22" Type="http://schemas.openxmlformats.org/officeDocument/2006/relationships/header" Target="header8.xml"/><Relationship Id="rId27" Type="http://schemas.openxmlformats.org/officeDocument/2006/relationships/hyperlink" Target="https://www.equalityhumanrights.com/sites/default/files/research-report-55-gender-pay-gap-reporting-survey-2009.pdf" TargetMode="External"/><Relationship Id="rId43" Type="http://schemas.openxmlformats.org/officeDocument/2006/relationships/hyperlink" Target="https://www.gov.uk/government/news/thousands-of-disabled-people-supported-by-access-to-work" TargetMode="External"/><Relationship Id="rId48" Type="http://schemas.openxmlformats.org/officeDocument/2006/relationships/hyperlink" Target="https://www.equalityhumanrights.com/en/legal-responses/consultation-response-mandatory-gender-pay-gap-reporting" TargetMode="External"/><Relationship Id="rId64" Type="http://schemas.openxmlformats.org/officeDocument/2006/relationships/hyperlink" Target="https://www.gov.uk/government/consultations/closing-the-gender-pay-gap" TargetMode="External"/><Relationship Id="rId69" Type="http://schemas.openxmlformats.org/officeDocument/2006/relationships/hyperlink" Target="http://eprints.lse.ac.uk/28344/1/CASEreport60.pdf" TargetMode="External"/><Relationship Id="rId113" Type="http://schemas.openxmlformats.org/officeDocument/2006/relationships/hyperlink" Target="http://www.xperthr.co.uk/survey-analysis/monitoring-equality-and-diversity-in-recruitment-the-2009-irs-survey/97117/" TargetMode="External"/><Relationship Id="rId118" Type="http://schemas.openxmlformats.org/officeDocument/2006/relationships/hyperlink" Target="http://www.ucea.ac.uk/en/empres/paynegs/new-jnches/jw-reports/index.cfm" TargetMode="External"/><Relationship Id="rId80" Type="http://schemas.openxmlformats.org/officeDocument/2006/relationships/hyperlink" Target="https://www.equalityhumanrights.com/en/publication-download/research-report-9-pay-gaps-across-equalities-areas" TargetMode="External"/><Relationship Id="rId85" Type="http://schemas.openxmlformats.org/officeDocument/2006/relationships/hyperlink" Target="https://www.equalityhumanrights.com/sites/default/files/review_of_psed_in_wales_full_report_english_nov2014.pdf" TargetMode="External"/><Relationship Id="rId12" Type="http://schemas.openxmlformats.org/officeDocument/2006/relationships/header" Target="header1.xml"/><Relationship Id="rId17" Type="http://schemas.openxmlformats.org/officeDocument/2006/relationships/header" Target="header4.xml"/><Relationship Id="rId33" Type="http://schemas.openxmlformats.org/officeDocument/2006/relationships/hyperlink" Target="https://dash.harvard.edu/bitstream/handle/1/8506867/RWP12-009-Bohnet.pdf?sequence=1" TargetMode="External"/><Relationship Id="rId38" Type="http://schemas.openxmlformats.org/officeDocument/2006/relationships/hyperlink" Target="https://www.gov.uk/government/uploads/system/uploads/attachment_data/file/31710/11-745-women-on-boards.pdf" TargetMode="External"/><Relationship Id="rId59" Type="http://schemas.openxmlformats.org/officeDocument/2006/relationships/hyperlink" Target="http://www.fawcettsociety.org.uk/wp-content/uploads/2014/11/Fawcett-Equal-Pay-Day-report-November-2014.pdf" TargetMode="External"/><Relationship Id="rId103" Type="http://schemas.openxmlformats.org/officeDocument/2006/relationships/hyperlink" Target="https://www.gov.uk/government/news/pm-time-to-end-discrimination-and-finish-the-fight-for-real-equality" TargetMode="External"/><Relationship Id="rId108" Type="http://schemas.openxmlformats.org/officeDocument/2006/relationships/hyperlink" Target="http://www.familyandchildcaretrust.org/childcare-cost-survey-2015" TargetMode="External"/><Relationship Id="rId124" Type="http://schemas.openxmlformats.org/officeDocument/2006/relationships/hyperlink" Target="http://www.equalityhumanrights.com" TargetMode="External"/><Relationship Id="rId129" Type="http://schemas.openxmlformats.org/officeDocument/2006/relationships/header" Target="header12.xml"/><Relationship Id="rId54" Type="http://schemas.openxmlformats.org/officeDocument/2006/relationships/hyperlink" Target="http://www.eurofound.europa.eu/sites/default/files/ef_publication/field_ef_document/ef1018en.pdf" TargetMode="External"/><Relationship Id="rId70" Type="http://schemas.openxmlformats.org/officeDocument/2006/relationships/hyperlink" Target="https://www.equalityhumanrights.com/en/publication-download/research-report-71-all-things-being-equal-equality-and-diversity-careers" TargetMode="External"/><Relationship Id="rId75" Type="http://schemas.openxmlformats.org/officeDocument/2006/relationships/hyperlink" Target="https://www.johnlewispartnership.co.uk/content/dam/cws/pdfs/financials/annual-reports/JLP-annual-report-and-accounts-2014.pdf" TargetMode="External"/><Relationship Id="rId91" Type="http://schemas.openxmlformats.org/officeDocument/2006/relationships/hyperlink" Target="http://socialwelfare.bl.uk/subject-areas/services-client-groups/adults-disabilities/officefordisabilityissues/138713equality_act_guide.pdf" TargetMode="External"/><Relationship Id="rId96" Type="http://schemas.openxmlformats.org/officeDocument/2006/relationships/hyperlink" Target="http://www.ons.gov.uk/employmentandlabourmarket/peopleinwork/employmentandemployeetypes/bulletins/uklabourmarket/october2016"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9.xml"/><Relationship Id="rId28" Type="http://schemas.openxmlformats.org/officeDocument/2006/relationships/hyperlink" Target="http://www.resolutionfoundation.org/app/uploads/2014/08/The-price-of-motherhood-women-and-part-time-work.pdf" TargetMode="External"/><Relationship Id="rId49" Type="http://schemas.openxmlformats.org/officeDocument/2006/relationships/hyperlink" Target="https://www.equalityhumanrights.com/sites/default/files/ehrc_inquiry_ftd_ftse350_updated_22-4-16.pdf" TargetMode="External"/><Relationship Id="rId114" Type="http://schemas.openxmlformats.org/officeDocument/2006/relationships/hyperlink" Target="https://www.ft.com/content/91635c3e-b83b-11e4-86bb-00144feab7de" TargetMode="External"/><Relationship Id="rId119" Type="http://schemas.openxmlformats.org/officeDocument/2006/relationships/hyperlink" Target="http://www.economix.org/Parental%20allowance.pdf" TargetMode="External"/><Relationship Id="rId44" Type="http://schemas.openxmlformats.org/officeDocument/2006/relationships/hyperlink" Target="https://www.equalityhumanrights.com/en/advice-and-guidance/guides-psed-wales" TargetMode="External"/><Relationship Id="rId60" Type="http://schemas.openxmlformats.org/officeDocument/2006/relationships/hyperlink" Target="https://www.gov.uk/government/uploads/system/uploads/attachment_data/file/85558/baseline-report.pdf" TargetMode="External"/><Relationship Id="rId65" Type="http://schemas.openxmlformats.org/officeDocument/2006/relationships/hyperlink" Target="https://www.gov.uk/government/collections/disability-confident-campaign" TargetMode="External"/><Relationship Id="rId81" Type="http://schemas.openxmlformats.org/officeDocument/2006/relationships/hyperlink" Target="https://www.gov.uk/government/uploads/system/uploads/attachment_data/file/520052/National_Minimum_Wage_LPC_report_2015.pdf" TargetMode="External"/><Relationship Id="rId86" Type="http://schemas.openxmlformats.org/officeDocument/2006/relationships/hyperlink" Target="http://www.leavenetwork.org/fileadmin/Leavenetwork/Annual_reviews/2012_annual_review.pdf" TargetMode="External"/><Relationship Id="rId130" Type="http://schemas.openxmlformats.org/officeDocument/2006/relationships/fontTable" Target="fontTable.xml"/><Relationship Id="rId13" Type="http://schemas.openxmlformats.org/officeDocument/2006/relationships/footer" Target="footer1.xml"/><Relationship Id="rId18" Type="http://schemas.openxmlformats.org/officeDocument/2006/relationships/hyperlink" Target="https://www.gov.uk/recruitment-disabled-people/encouraging-applications" TargetMode="External"/><Relationship Id="rId39" Type="http://schemas.openxmlformats.org/officeDocument/2006/relationships/hyperlink" Target="http://media.corporate-ir.net/media_files/IROL/19/196805/agm2014/annual_report_and_accounts.pdf" TargetMode="External"/><Relationship Id="rId109" Type="http://schemas.openxmlformats.org/officeDocument/2006/relationships/hyperlink" Target="http://www.disabilityrightsuk.org/sites/default/files/pdf/doingsenioritydifferently.pdf" TargetMode="External"/><Relationship Id="rId34" Type="http://schemas.openxmlformats.org/officeDocument/2006/relationships/hyperlink" Target="https://www.equalityhumanrights.com/en/pay-gaps" TargetMode="External"/><Relationship Id="rId50" Type="http://schemas.openxmlformats.org/officeDocument/2006/relationships/hyperlink" Target="https://www.equalityhumanrights.com/en/public-sector-equality-duty-scotland/scotland-public-sector-equality-duty-projects/measuring" TargetMode="External"/><Relationship Id="rId55" Type="http://schemas.openxmlformats.org/officeDocument/2006/relationships/hyperlink" Target="http://ec.europa.eu/justice/gender-equality/files/gender_pay_gap/140227_gpg_brochure_web_en.pdf" TargetMode="External"/><Relationship Id="rId76" Type="http://schemas.openxmlformats.org/officeDocument/2006/relationships/hyperlink" Target="http://www.kpmg.com/uk/en/issuesandinsights/articlespublications/newsreleases/pages/kpmg-announces-detailed-diversity-targets-and-greater-transparency-on-the-profile-of-its-staff.aspx" TargetMode="External"/><Relationship Id="rId97" Type="http://schemas.openxmlformats.org/officeDocument/2006/relationships/hyperlink" Target="http://webarchive.nationalarchives.gov.uk/+/http:/www.cabinetoffice.gov.uk/media/227102/fair-access.pdf" TargetMode="External"/><Relationship Id="rId104" Type="http://schemas.openxmlformats.org/officeDocument/2006/relationships/hyperlink" Target="http://webarchive.nationalarchives.gov.uk/+/http:/www.cabinetoffice.gov.uk/media/cabinetoffice/strategy/assets/disability.pdf" TargetMode="External"/><Relationship Id="rId120" Type="http://schemas.openxmlformats.org/officeDocument/2006/relationships/hyperlink" Target="https://www.theguardian.com/education/2015/oct/26/ucas-name-blind-university-applications-racial-bias" TargetMode="External"/><Relationship Id="rId125" Type="http://schemas.openxmlformats.org/officeDocument/2006/relationships/hyperlink" Target="http://www.equalityadvisoryservice.com" TargetMode="External"/><Relationship Id="rId7" Type="http://schemas.openxmlformats.org/officeDocument/2006/relationships/endnotes" Target="endnotes.xml"/><Relationship Id="rId71" Type="http://schemas.openxmlformats.org/officeDocument/2006/relationships/hyperlink" Target="https://www.gov.uk/government/uploads/system/uploads/attachment_data/file/85572/equal-pay-audit-report.pdf" TargetMode="External"/><Relationship Id="rId92" Type="http://schemas.openxmlformats.org/officeDocument/2006/relationships/hyperlink" Target="https://www.gov.uk/government/uploads/system/uploads/attachment_data/file/426646/A_level_subject_take-up.pdf" TargetMode="External"/><Relationship Id="rId2" Type="http://schemas.openxmlformats.org/officeDocument/2006/relationships/numbering" Target="numbering.xml"/><Relationship Id="rId29" Type="http://schemas.openxmlformats.org/officeDocument/2006/relationships/hyperlink" Target="http://webarchive.nationalarchives.gov.uk/20130128102031/http:/research.dwp.gov.uk/asd/asd5/rports2009-2010/rrep598.pdf" TargetMode="External"/><Relationship Id="rId24" Type="http://schemas.openxmlformats.org/officeDocument/2006/relationships/header" Target="header10.xml"/><Relationship Id="rId40" Type="http://schemas.openxmlformats.org/officeDocument/2006/relationships/hyperlink" Target="https://www.gov.uk/government/uploads/system/uploads/attachment_data/file/295833/Analysis_of_the_Gender_Pay_Gap.pdf" TargetMode="External"/><Relationship Id="rId45" Type="http://schemas.openxmlformats.org/officeDocument/2006/relationships/hyperlink" Target="https://www.equalityhumanrights.com/en/publication-download/working-better-perfect-partnership-workplace-solutions-disabled-people-and" TargetMode="External"/><Relationship Id="rId66" Type="http://schemas.openxmlformats.org/officeDocument/2006/relationships/hyperlink" Target="https://www.gov.uk/government/news/pm-announces-new-measures-to-eradicate-gender-pay-inequality" TargetMode="External"/><Relationship Id="rId87" Type="http://schemas.openxmlformats.org/officeDocument/2006/relationships/hyperlink" Target="https://www.nao.org.uk/report/increasing-employment-rates-for-ethnic-minorities/" TargetMode="External"/><Relationship Id="rId110" Type="http://schemas.openxmlformats.org/officeDocument/2006/relationships/hyperlink" Target="http://www.scope.org.uk/About-Us/Media/Press-releases/February-2016/Labour-Market-Stats-show-more-disabled-people-are" TargetMode="External"/><Relationship Id="rId115" Type="http://schemas.openxmlformats.org/officeDocument/2006/relationships/hyperlink" Target="http://www.telegraph.co.uk/women/womens-business/11946167/Shared-parental-leave-Most-fathers-in-the-UK-arent-taking-it-up.html" TargetMode="External"/><Relationship Id="rId131" Type="http://schemas.openxmlformats.org/officeDocument/2006/relationships/theme" Target="theme/theme1.xml"/><Relationship Id="rId61" Type="http://schemas.openxmlformats.org/officeDocument/2006/relationships/hyperlink" Target="https://www.gov.uk/government/uploads/system/uploads/attachment_data/file/85571/impact-assessment.pdf" TargetMode="External"/><Relationship Id="rId82" Type="http://schemas.openxmlformats.org/officeDocument/2006/relationships/hyperlink" Target="http://webarchive.nationalarchives.gov.uk/20140108090250/http:/www.ukces.org.uk/assets/bispartners/ukces/docs/publications/equality-disability.pdf" TargetMode="External"/><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hyperlink" Target="http://cep.lse.ac.uk/pubs/download/ea027.pdf" TargetMode="External"/><Relationship Id="rId35" Type="http://schemas.openxmlformats.org/officeDocument/2006/relationships/hyperlink" Target="https://www.jrf.org.uk/report/effect-occupation-poverty-among-ethnic-minority-groups" TargetMode="External"/><Relationship Id="rId56" Type="http://schemas.openxmlformats.org/officeDocument/2006/relationships/hyperlink" Target="http://ec.europa.eu/eurostat/en/web/products-datasets/-/TSDSC340" TargetMode="External"/><Relationship Id="rId77" Type="http://schemas.openxmlformats.org/officeDocument/2006/relationships/hyperlink" Target="https://izajoels.springeropen.com/articles/10.1186/2193-9012-1-5" TargetMode="External"/><Relationship Id="rId100" Type="http://schemas.openxmlformats.org/officeDocument/2006/relationships/hyperlink" Target="https://www.equalityhumanrights.com/sites/default/files/briefing-paper-6-gender-pay-gaps-2012.pdf" TargetMode="External"/><Relationship Id="rId105" Type="http://schemas.openxmlformats.org/officeDocument/2006/relationships/hyperlink" Target="http://www.recruiter.co.uk/news/2014/06/outdated-two-ticks-symbol-needs-revamping-says-dwp/" TargetMode="External"/><Relationship Id="rId126" Type="http://schemas.openxmlformats.org/officeDocument/2006/relationships/hyperlink" Target="mailto:correspondence@equalityhumanrights.com" TargetMode="External"/><Relationship Id="rId8" Type="http://schemas.openxmlformats.org/officeDocument/2006/relationships/hyperlink" Target="http://www.equalityhumanrights.com" TargetMode="External"/><Relationship Id="rId51" Type="http://schemas.openxmlformats.org/officeDocument/2006/relationships/hyperlink" Target="https://www.equalityhumanrights.com/en/publication-download/technical-guidance-public-sector-equality-duty-wales" TargetMode="External"/><Relationship Id="rId72" Type="http://schemas.openxmlformats.org/officeDocument/2006/relationships/hyperlink" Target="http://www.employment-studies.co.uk/system/files/resources/files/504.pdf" TargetMode="External"/><Relationship Id="rId93" Type="http://schemas.openxmlformats.org/officeDocument/2006/relationships/hyperlink" Target="http://webarchive.nationalarchives.gov.uk/20100505211508/http:/www.equalities.gov.uk/pdf/301113_GEO_GenderPayGap_Part2_acc.pdf" TargetMode="External"/><Relationship Id="rId98" Type="http://schemas.openxmlformats.org/officeDocument/2006/relationships/hyperlink" Target="http://www.wavewales.co.uk/uploads/STRAND1/Working_Patterns_In_Wales.pdf" TargetMode="External"/><Relationship Id="rId121" Type="http://schemas.openxmlformats.org/officeDocument/2006/relationships/hyperlink" Target="http://www.natcen.ac.uk/media/20541/test-for-racial-discrimination.pdf" TargetMode="External"/><Relationship Id="rId3" Type="http://schemas.openxmlformats.org/officeDocument/2006/relationships/styles" Target="styles.xml"/><Relationship Id="rId25" Type="http://schemas.openxmlformats.org/officeDocument/2006/relationships/footer" Target="footer3.xml"/><Relationship Id="rId46" Type="http://schemas.openxmlformats.org/officeDocument/2006/relationships/hyperlink" Target="https://www.equalityhumanrights.com/en/publication-download/measuring-report-4-practice-report-public-authorities-practice-meeting-scottish" TargetMode="External"/><Relationship Id="rId67" Type="http://schemas.openxmlformats.org/officeDocument/2006/relationships/hyperlink" Target="https://www.gov.uk/recruitment-disabled-people/encouraging-applications" TargetMode="External"/><Relationship Id="rId116" Type="http://schemas.openxmlformats.org/officeDocument/2006/relationships/hyperlink" Target="http://www.dundee.ac.uk/media/dundeewebsite/hr/documents/equalitydiversity/PSED%20-%20Equality%20Outcomes%20Plan%20Progress%20Report,%20April%202015.pdf" TargetMode="External"/><Relationship Id="rId20" Type="http://schemas.openxmlformats.org/officeDocument/2006/relationships/header" Target="header6.xml"/><Relationship Id="rId41" Type="http://schemas.openxmlformats.org/officeDocument/2006/relationships/hyperlink" Target="https://www.gov.uk/government/uploads/system/uploads/attachment_data/file/85541/gender-equality-reporting.pdf" TargetMode="External"/><Relationship Id="rId62" Type="http://schemas.openxmlformats.org/officeDocument/2006/relationships/hyperlink" Target="https://www.gov.uk/government/uploads/system/uploads/attachment_data/file/85570/government-response.pdf" TargetMode="External"/><Relationship Id="rId83" Type="http://schemas.openxmlformats.org/officeDocument/2006/relationships/hyperlink" Target="http://www.cityofboston.gov/images_documents/Boston_Closing%20the%20Wage%20Gap_Interventions%20Report_tcm3-41353.pdf" TargetMode="External"/><Relationship Id="rId88" Type="http://schemas.openxmlformats.org/officeDocument/2006/relationships/hyperlink" Target="https://www.nct.org.uk/press-release/nct-research-finds-women-are-ending-maternity-leave-sooner-they-would" TargetMode="External"/><Relationship Id="rId111" Type="http://schemas.openxmlformats.org/officeDocument/2006/relationships/hyperlink" Target="https://members.businessdisabilityforum.org.uk/media_manager/public/86/State%20of%20the%20Nation%20Report%20-%20Retaining%20disabled%20talent.pdf" TargetMode="External"/><Relationship Id="rId15" Type="http://schemas.openxmlformats.org/officeDocument/2006/relationships/header" Target="header2.xml"/><Relationship Id="rId36" Type="http://schemas.openxmlformats.org/officeDocument/2006/relationships/hyperlink" Target="https://www.closethegap.org.uk/content/resources/CTG-PSED-guidance-for-employers-August-2012.pdf" TargetMode="External"/><Relationship Id="rId57" Type="http://schemas.openxmlformats.org/officeDocument/2006/relationships/hyperlink" Target="https://www.gov.uk/government/publications/eversheds-think-act-report-case-study" TargetMode="External"/><Relationship Id="rId106" Type="http://schemas.openxmlformats.org/officeDocument/2006/relationships/hyperlink" Target="http://www.resolutionfoundation.org/media/press-releases/disabled-people-face-twice-the-time-out-penalty-when-trying-to-re-enter-work/" TargetMode="External"/><Relationship Id="rId127" Type="http://schemas.openxmlformats.org/officeDocument/2006/relationships/hyperlink" Target="http://www.equalityhumanrights.com" TargetMode="External"/><Relationship Id="rId10" Type="http://schemas.openxmlformats.org/officeDocument/2006/relationships/hyperlink" Target="http://www.equalityhumanrights.com" TargetMode="External"/><Relationship Id="rId31" Type="http://schemas.openxmlformats.org/officeDocument/2006/relationships/hyperlink" Target="https://www.gov.uk/government/uploads/system/uploads/attachment_data/file/110692/13-651-modern-workplaces-shared-parental-leave-and-pay-impact-assessment2.pdf" TargetMode="External"/><Relationship Id="rId52" Type="http://schemas.openxmlformats.org/officeDocument/2006/relationships/hyperlink" Target="https://www.equalityhumanrights.com/sites/default/files/monitoring_report_on_universities1.pdf" TargetMode="External"/><Relationship Id="rId73" Type="http://schemas.openxmlformats.org/officeDocument/2006/relationships/hyperlink" Target="https://www.gov.uk/government/uploads/system/uploads/attachment_data/file/445458/Company_Reporting_GPG_research.pdf" TargetMode="External"/><Relationship Id="rId78" Type="http://schemas.openxmlformats.org/officeDocument/2006/relationships/hyperlink" Target="http://londoneconomics.co.uk/blog/publication/the-earnings-and-employment-returns-to-a-levels/" TargetMode="External"/><Relationship Id="rId94" Type="http://schemas.openxmlformats.org/officeDocument/2006/relationships/hyperlink" Target="https://www.nomisweb.co.uk/articles/ref/stories/19/2dec2011.pdf" TargetMode="External"/><Relationship Id="rId99" Type="http://schemas.openxmlformats.org/officeDocument/2006/relationships/hyperlink" Target="http://www.cardiff.ac.uk/__data/assets/pdf_file/0008/112796/CU-WAVE-Research-Review-Employer-Workforce-and-Pay-Case-Studies.pdf" TargetMode="External"/><Relationship Id="rId101" Type="http://schemas.openxmlformats.org/officeDocument/2006/relationships/hyperlink" Target="https://www.pracademy.co.uk/2015/08/03/7086/" TargetMode="External"/><Relationship Id="rId122" Type="http://schemas.openxmlformats.org/officeDocument/2006/relationships/hyperlink" Target="http://www.hrmagazine.co.uk/article-details/cipd-freedom-of-information-request-proves-flexible-working-carries-no-red-tape-for-business" TargetMode="External"/><Relationship Id="rId4" Type="http://schemas.openxmlformats.org/officeDocument/2006/relationships/settings" Target="settings.xml"/><Relationship Id="rId9" Type="http://schemas.openxmlformats.org/officeDocument/2006/relationships/hyperlink" Target="mailto:research@equalityhumanrights.com" TargetMode="External"/><Relationship Id="rId26"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http://www.equalityhumanrights.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equalityhumanrights.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employ-ability.org.uk/employers/disability-awareness-training" TargetMode="External"/><Relationship Id="rId3" Type="http://schemas.openxmlformats.org/officeDocument/2006/relationships/hyperlink" Target="https://www.gov.uk/government/consultations/consultation-on-modern-workplaces" TargetMode="External"/><Relationship Id="rId7" Type="http://schemas.openxmlformats.org/officeDocument/2006/relationships/hyperlink" Target="http://www.businessdisabilityforum.org.uk/talent-recruitment/" TargetMode="External"/><Relationship Id="rId2" Type="http://schemas.openxmlformats.org/officeDocument/2006/relationships/hyperlink" Target="http://www.legislation.gov.uk/uksi/2014/2559/contents/made" TargetMode="External"/><Relationship Id="rId1" Type="http://schemas.openxmlformats.org/officeDocument/2006/relationships/hyperlink" Target="https://www.gov.uk/government/news/pm-announces-new-measures-to-eradicate-gender-pay-inequality" TargetMode="External"/><Relationship Id="rId6" Type="http://schemas.openxmlformats.org/officeDocument/2006/relationships/hyperlink" Target="https://www.gov.uk/government/organisations/department-for-work-pensions" TargetMode="External"/><Relationship Id="rId5" Type="http://schemas.openxmlformats.org/officeDocument/2006/relationships/hyperlink" Target="http://www.livingwage.org.uk/" TargetMode="External"/><Relationship Id="rId10" Type="http://schemas.openxmlformats.org/officeDocument/2006/relationships/hyperlink" Target="http://www.leadershipacademy.nhs.uk/news/nhs-leadership-academy-launches-ready-now-programme-aimed-at-senior-bme-leaders/" TargetMode="External"/><Relationship Id="rId4" Type="http://schemas.openxmlformats.org/officeDocument/2006/relationships/hyperlink" Target="https://www.livingwage.gov.uk/" TargetMode="External"/><Relationship Id="rId9" Type="http://schemas.openxmlformats.org/officeDocument/2006/relationships/hyperlink" Target="https://www.equalityhumanrights.com/en/pay-g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58658-95A9-49EF-BAE1-C4F0C088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21576</Words>
  <Characters>122984</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Cazaly</dc:creator>
  <cp:lastModifiedBy>Maja Zaloznik</cp:lastModifiedBy>
  <cp:revision>3</cp:revision>
  <cp:lastPrinted>2017-08-10T13:07:00Z</cp:lastPrinted>
  <dcterms:created xsi:type="dcterms:W3CDTF">2018-03-30T17:36:00Z</dcterms:created>
  <dcterms:modified xsi:type="dcterms:W3CDTF">2018-03-30T17:36:00Z</dcterms:modified>
</cp:coreProperties>
</file>