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ADEC" w14:textId="0FD500D3" w:rsidR="00604F53" w:rsidRPr="00767446" w:rsidRDefault="00604F53" w:rsidP="004E6214">
      <w:pPr>
        <w:pStyle w:val="VirNAPOVED"/>
        <w:spacing w:before="0"/>
        <w:rPr>
          <w:b/>
          <w:bCs/>
          <w:color w:val="9E001A" w:themeColor="accent1"/>
          <w:sz w:val="18"/>
          <w:szCs w:val="18"/>
        </w:rPr>
        <w:sectPr w:rsidR="00604F53" w:rsidRPr="00767446" w:rsidSect="003677EB">
          <w:pgSz w:w="11906" w:h="16838"/>
          <w:pgMar w:top="1701" w:right="1418" w:bottom="1134" w:left="1418" w:header="567" w:footer="1134" w:gutter="0"/>
          <w:pgNumType w:start="1"/>
          <w:cols w:space="708"/>
          <w:docGrid w:linePitch="360"/>
        </w:sectPr>
      </w:pPr>
      <w:bookmarkStart w:id="0" w:name="_Toc525304171"/>
      <w:bookmarkStart w:id="1" w:name="_Toc527616894"/>
      <w:bookmarkStart w:id="2" w:name="_Toc528328881"/>
      <w:r w:rsidRPr="00767446">
        <w:rPr>
          <w:rFonts w:ascii="Times New Roman" w:hAnsi="Times New Roman" w:cs="Times New Roman"/>
          <w:noProof/>
          <w:sz w:val="24"/>
          <w:szCs w:val="24"/>
          <w:lang w:eastAsia="sl-SI"/>
        </w:rPr>
        <mc:AlternateContent>
          <mc:Choice Requires="wps">
            <w:drawing>
              <wp:anchor distT="0" distB="0" distL="114300" distR="114300" simplePos="0" relativeHeight="251664384" behindDoc="0" locked="0" layoutInCell="1" allowOverlap="1" wp14:anchorId="48B2D44B" wp14:editId="73F0D113">
                <wp:simplePos x="0" y="0"/>
                <wp:positionH relativeFrom="margin">
                  <wp:posOffset>4404995</wp:posOffset>
                </wp:positionH>
                <wp:positionV relativeFrom="paragraph">
                  <wp:posOffset>997470</wp:posOffset>
                </wp:positionV>
                <wp:extent cx="1607127" cy="790130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607127" cy="7901305"/>
                        </a:xfrm>
                        <a:prstGeom prst="rect">
                          <a:avLst/>
                        </a:prstGeom>
                        <a:noFill/>
                        <a:ln w="6350">
                          <a:noFill/>
                        </a:ln>
                        <a:effectLst/>
                      </wps:spPr>
                      <wps:txbx>
                        <w:txbxContent>
                          <w:p w14:paraId="4B77C010" w14:textId="01F6D605" w:rsidR="00953DE0" w:rsidRPr="00604F53" w:rsidRDefault="00953DE0" w:rsidP="00604F53">
                            <w:pPr>
                              <w:spacing w:before="120" w:after="0" w:line="600" w:lineRule="atLeast"/>
                              <w:rPr>
                                <w:rFonts w:cstheme="minorHAnsi"/>
                                <w:b/>
                                <w:bCs/>
                                <w:color w:val="9E001A" w:themeColor="accent1"/>
                                <w:sz w:val="96"/>
                                <w:szCs w:val="96"/>
                              </w:rPr>
                            </w:pPr>
                            <w:r>
                              <w:rPr>
                                <w:rFonts w:cstheme="minorHAnsi"/>
                                <w:b/>
                                <w:bCs/>
                                <w:color w:val="9E001A" w:themeColor="accent1"/>
                                <w:sz w:val="96"/>
                                <w:szCs w:val="96"/>
                              </w:rPr>
                              <w:t>jesenska</w:t>
                            </w:r>
                            <w:r w:rsidRPr="00604F53">
                              <w:rPr>
                                <w:rFonts w:cstheme="minorHAnsi"/>
                                <w:b/>
                                <w:bCs/>
                                <w:color w:val="9E001A" w:themeColor="accent1"/>
                                <w:sz w:val="96"/>
                                <w:szCs w:val="96"/>
                              </w:rPr>
                              <w:t xml:space="preserve"> napoved gospodarskih gibanj 202</w:t>
                            </w:r>
                            <w:r>
                              <w:rPr>
                                <w:rFonts w:cstheme="minorHAnsi"/>
                                <w:b/>
                                <w:bCs/>
                                <w:color w:val="9E001A" w:themeColor="accent1"/>
                                <w:sz w:val="96"/>
                                <w:szCs w:val="96"/>
                              </w:rPr>
                              <w:t>1</w:t>
                            </w:r>
                          </w:p>
                        </w:txbxContent>
                      </wps:txbx>
                      <wps:bodyPr rot="0" spcFirstLastPara="0" vertOverflow="overflow" horzOverflow="overflow" vert="vert270" wrap="square" lIns="0" tIns="0" rIns="180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2D44B" id="_x0000_t202" coordsize="21600,21600" o:spt="202" path="m,l,21600r21600,l21600,xe">
                <v:stroke joinstyle="miter"/>
                <v:path gradientshapeok="t" o:connecttype="rect"/>
              </v:shapetype>
              <v:shape id="Text Box 13" o:spid="_x0000_s1026" type="#_x0000_t202" style="position:absolute;left:0;text-align:left;margin-left:346.85pt;margin-top:78.55pt;width:126.55pt;height:62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" filled="f" stroked="f" strokeweight=".5pt">
                <v:textbox style="layout-flow:vertical;mso-layout-flow-alt:bottom-to-top" inset="0,0,.5mm,0">
                  <w:txbxContent>
                    <w:p w14:paraId="4B77C010" w14:textId="01F6D605" w:rsidR="00953DE0" w:rsidRPr="00604F53" w:rsidRDefault="00953DE0" w:rsidP="00604F53">
                      <w:pPr>
                        <w:spacing w:before="120" w:after="0" w:line="600" w:lineRule="atLeast"/>
                        <w:rPr>
                          <w:rFonts w:cstheme="minorHAnsi"/>
                          <w:b/>
                          <w:bCs/>
                          <w:color w:val="9E001A" w:themeColor="accent1"/>
                          <w:sz w:val="96"/>
                          <w:szCs w:val="96"/>
                        </w:rPr>
                      </w:pPr>
                      <w:r>
                        <w:rPr>
                          <w:rFonts w:cstheme="minorHAnsi"/>
                          <w:b/>
                          <w:bCs/>
                          <w:color w:val="9E001A" w:themeColor="accent1"/>
                          <w:sz w:val="96"/>
                          <w:szCs w:val="96"/>
                        </w:rPr>
                        <w:t>jesenska</w:t>
                      </w:r>
                      <w:r w:rsidRPr="00604F53">
                        <w:rPr>
                          <w:rFonts w:cstheme="minorHAnsi"/>
                          <w:b/>
                          <w:bCs/>
                          <w:color w:val="9E001A" w:themeColor="accent1"/>
                          <w:sz w:val="96"/>
                          <w:szCs w:val="96"/>
                        </w:rPr>
                        <w:t xml:space="preserve"> napoved gospodarskih gibanj 202</w:t>
                      </w:r>
                      <w:r>
                        <w:rPr>
                          <w:rFonts w:cstheme="minorHAnsi"/>
                          <w:b/>
                          <w:bCs/>
                          <w:color w:val="9E001A" w:themeColor="accent1"/>
                          <w:sz w:val="96"/>
                          <w:szCs w:val="96"/>
                        </w:rPr>
                        <w:t>1</w:t>
                      </w:r>
                    </w:p>
                  </w:txbxContent>
                </v:textbox>
                <w10:wrap anchorx="margin"/>
              </v:shape>
            </w:pict>
          </mc:Fallback>
        </mc:AlternateContent>
      </w:r>
      <w:r w:rsidRPr="00767446">
        <w:rPr>
          <w:rFonts w:ascii="Times New Roman" w:hAnsi="Times New Roman" w:cs="Times New Roman"/>
          <w:noProof/>
          <w:sz w:val="24"/>
          <w:szCs w:val="24"/>
          <w:lang w:eastAsia="sl-SI"/>
        </w:rPr>
        <w:drawing>
          <wp:anchor distT="0" distB="0" distL="114300" distR="114300" simplePos="0" relativeHeight="251663360" behindDoc="0" locked="0" layoutInCell="1" allowOverlap="1" wp14:anchorId="134B3EBF" wp14:editId="4530A5D5">
            <wp:simplePos x="0" y="0"/>
            <wp:positionH relativeFrom="column">
              <wp:posOffset>5057140</wp:posOffset>
            </wp:positionH>
            <wp:positionV relativeFrom="paragraph">
              <wp:posOffset>-734060</wp:posOffset>
            </wp:positionV>
            <wp:extent cx="1284605" cy="363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4605" cy="363220"/>
                    </a:xfrm>
                    <a:prstGeom prst="rect">
                      <a:avLst/>
                    </a:prstGeom>
                    <a:noFill/>
                  </pic:spPr>
                </pic:pic>
              </a:graphicData>
            </a:graphic>
            <wp14:sizeRelH relativeFrom="margin">
              <wp14:pctWidth>0</wp14:pctWidth>
            </wp14:sizeRelH>
            <wp14:sizeRelV relativeFrom="margin">
              <wp14:pctHeight>0</wp14:pctHeight>
            </wp14:sizeRelV>
          </wp:anchor>
        </w:drawing>
      </w:r>
      <w:r w:rsidRPr="00767446">
        <w:rPr>
          <w:rFonts w:ascii="Times New Roman" w:hAnsi="Times New Roman" w:cs="Times New Roman"/>
          <w:noProof/>
          <w:sz w:val="24"/>
          <w:szCs w:val="24"/>
          <w:lang w:eastAsia="sl-SI"/>
        </w:rPr>
        <mc:AlternateContent>
          <mc:Choice Requires="wps">
            <w:drawing>
              <wp:anchor distT="0" distB="0" distL="114300" distR="114300" simplePos="0" relativeHeight="251665408" behindDoc="0" locked="0" layoutInCell="1" allowOverlap="1" wp14:anchorId="0F870FD9" wp14:editId="5A903AC5">
                <wp:simplePos x="0" y="0"/>
                <wp:positionH relativeFrom="rightMargin">
                  <wp:posOffset>100965</wp:posOffset>
                </wp:positionH>
                <wp:positionV relativeFrom="paragraph">
                  <wp:posOffset>6524105</wp:posOffset>
                </wp:positionV>
                <wp:extent cx="534093" cy="2361334"/>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534093" cy="2361334"/>
                        </a:xfrm>
                        <a:prstGeom prst="rect">
                          <a:avLst/>
                        </a:prstGeom>
                        <a:noFill/>
                        <a:ln w="6350">
                          <a:noFill/>
                        </a:ln>
                        <a:effectLst/>
                      </wps:spPr>
                      <wps:txbx>
                        <w:txbxContent>
                          <w:p w14:paraId="1D64F49E" w14:textId="51730A31" w:rsidR="00953DE0" w:rsidRPr="00604F53" w:rsidRDefault="00953DE0" w:rsidP="00604F53">
                            <w:pPr>
                              <w:spacing w:before="120" w:after="0" w:line="600" w:lineRule="atLeast"/>
                              <w:rPr>
                                <w:rFonts w:cstheme="minorHAnsi"/>
                                <w:b/>
                                <w:bCs/>
                                <w:color w:val="9E001A" w:themeColor="accent1"/>
                                <w:sz w:val="144"/>
                                <w:szCs w:val="144"/>
                              </w:rPr>
                            </w:pPr>
                            <w:r>
                              <w:rPr>
                                <w:rFonts w:cstheme="minorHAnsi"/>
                                <w:b/>
                                <w:color w:val="9E001A" w:themeColor="accent1"/>
                                <w:sz w:val="36"/>
                                <w:szCs w:val="36"/>
                              </w:rPr>
                              <w:t>September 2021</w:t>
                            </w:r>
                          </w:p>
                        </w:txbxContent>
                      </wps:txbx>
                      <wps:bodyPr rot="0" spcFirstLastPara="0" vertOverflow="overflow" horzOverflow="overflow" vert="vert270" wrap="square" lIns="0" tIns="0" rIns="180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70FD9" id="Text Box 15" o:spid="_x0000_s1027" type="#_x0000_t202" style="position:absolute;left:0;text-align:left;margin-left:7.95pt;margin-top:513.7pt;width:42.05pt;height:185.9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" filled="f" stroked="f" strokeweight=".5pt">
                <v:textbox style="layout-flow:vertical;mso-layout-flow-alt:bottom-to-top" inset="0,0,.5mm,0">
                  <w:txbxContent>
                    <w:p w14:paraId="1D64F49E" w14:textId="51730A31" w:rsidR="00953DE0" w:rsidRPr="00604F53" w:rsidRDefault="00953DE0" w:rsidP="00604F53">
                      <w:pPr>
                        <w:spacing w:before="120" w:after="0" w:line="600" w:lineRule="atLeast"/>
                        <w:rPr>
                          <w:rFonts w:cstheme="minorHAnsi"/>
                          <w:b/>
                          <w:bCs/>
                          <w:color w:val="9E001A" w:themeColor="accent1"/>
                          <w:sz w:val="144"/>
                          <w:szCs w:val="144"/>
                        </w:rPr>
                      </w:pPr>
                      <w:r>
                        <w:rPr>
                          <w:rFonts w:cstheme="minorHAnsi"/>
                          <w:b/>
                          <w:color w:val="9E001A" w:themeColor="accent1"/>
                          <w:sz w:val="36"/>
                          <w:szCs w:val="36"/>
                        </w:rPr>
                        <w:t>September 2021</w:t>
                      </w:r>
                    </w:p>
                  </w:txbxContent>
                </v:textbox>
                <w10:wrap anchorx="margin"/>
              </v:shape>
            </w:pict>
          </mc:Fallback>
        </mc:AlternateContent>
      </w:r>
      <w:r w:rsidRPr="00767446">
        <w:rPr>
          <w:rFonts w:ascii="Times New Roman" w:hAnsi="Times New Roman" w:cs="Times New Roman"/>
          <w:noProof/>
          <w:sz w:val="24"/>
          <w:szCs w:val="24"/>
          <w:lang w:eastAsia="sl-SI"/>
        </w:rPr>
        <mc:AlternateContent>
          <mc:Choice Requires="wps">
            <w:drawing>
              <wp:anchor distT="0" distB="0" distL="114300" distR="114300" simplePos="0" relativeHeight="251661312" behindDoc="0" locked="0" layoutInCell="1" allowOverlap="1" wp14:anchorId="102CAB59" wp14:editId="422090FE">
                <wp:simplePos x="0" y="0"/>
                <wp:positionH relativeFrom="page">
                  <wp:posOffset>3688715</wp:posOffset>
                </wp:positionH>
                <wp:positionV relativeFrom="paragraph">
                  <wp:posOffset>-1083945</wp:posOffset>
                </wp:positionV>
                <wp:extent cx="3878580" cy="10692765"/>
                <wp:effectExtent l="0" t="0" r="7620" b="0"/>
                <wp:wrapNone/>
                <wp:docPr id="6" name="Rectangle 6"/>
                <wp:cNvGraphicFramePr/>
                <a:graphic xmlns:a="http://schemas.openxmlformats.org/drawingml/2006/main">
                  <a:graphicData uri="http://schemas.microsoft.com/office/word/2010/wordprocessingShape">
                    <wps:wsp>
                      <wps:cNvSpPr/>
                      <wps:spPr>
                        <a:xfrm>
                          <a:off x="0" y="0"/>
                          <a:ext cx="3878580" cy="10692765"/>
                        </a:xfrm>
                        <a:prstGeom prst="rect">
                          <a:avLst/>
                        </a:prstGeom>
                        <a:solidFill>
                          <a:srgbClr val="D8B5A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E30B566" id="Rectangle 6" o:spid="_x0000_s1026" style="position:absolute;margin-left:290.45pt;margin-top:-85.35pt;width:305.4pt;height:84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" fillcolor="#d8b5a3" stroked="f" strokeweight="1pt">
                <w10:wrap anchorx="page"/>
              </v:rect>
            </w:pict>
          </mc:Fallback>
        </mc:AlternateContent>
      </w:r>
      <w:r w:rsidRPr="00767446">
        <w:rPr>
          <w:rFonts w:ascii="Times New Roman" w:hAnsi="Times New Roman" w:cs="Times New Roman"/>
          <w:noProof/>
          <w:sz w:val="24"/>
          <w:szCs w:val="24"/>
          <w:lang w:eastAsia="sl-SI"/>
        </w:rPr>
        <mc:AlternateContent>
          <mc:Choice Requires="wps">
            <w:drawing>
              <wp:anchor distT="0" distB="0" distL="114300" distR="114300" simplePos="0" relativeHeight="251662336" behindDoc="0" locked="0" layoutInCell="1" allowOverlap="1" wp14:anchorId="1CB628E3" wp14:editId="70A73890">
                <wp:simplePos x="0" y="0"/>
                <wp:positionH relativeFrom="page">
                  <wp:posOffset>9525</wp:posOffset>
                </wp:positionH>
                <wp:positionV relativeFrom="paragraph">
                  <wp:posOffset>-1079500</wp:posOffset>
                </wp:positionV>
                <wp:extent cx="3877945" cy="10675620"/>
                <wp:effectExtent l="0" t="0" r="8255" b="0"/>
                <wp:wrapNone/>
                <wp:docPr id="5" name="Rectangle 5"/>
                <wp:cNvGraphicFramePr/>
                <a:graphic xmlns:a="http://schemas.openxmlformats.org/drawingml/2006/main">
                  <a:graphicData uri="http://schemas.microsoft.com/office/word/2010/wordprocessingShape">
                    <wps:wsp>
                      <wps:cNvSpPr/>
                      <wps:spPr>
                        <a:xfrm>
                          <a:off x="0" y="0"/>
                          <a:ext cx="3877945" cy="106756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D9D41A1" id="Rectangle 5" o:spid="_x0000_s1026" style="position:absolute;margin-left:.75pt;margin-top:-85pt;width:305.35pt;height:840.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" fillcolor="#9e001a [3204]" stroked="f" strokeweight="1pt">
                <w10:wrap anchorx="page"/>
              </v:rect>
            </w:pict>
          </mc:Fallback>
        </mc:AlternateContent>
      </w:r>
    </w:p>
    <w:p w14:paraId="22B020AE" w14:textId="0F4E96E7" w:rsidR="004E6214" w:rsidRPr="00767446" w:rsidRDefault="00D35FDA" w:rsidP="004E6214">
      <w:pPr>
        <w:pStyle w:val="VirNAPOVED"/>
        <w:spacing w:before="0"/>
        <w:rPr>
          <w:b/>
          <w:bCs/>
          <w:color w:val="9E001A" w:themeColor="accent1"/>
          <w:sz w:val="18"/>
          <w:szCs w:val="18"/>
        </w:rPr>
      </w:pPr>
      <w:r>
        <w:rPr>
          <w:b/>
          <w:bCs/>
          <w:color w:val="9E001A" w:themeColor="accent1"/>
          <w:sz w:val="18"/>
          <w:szCs w:val="18"/>
        </w:rPr>
        <w:lastRenderedPageBreak/>
        <w:t>Jesenska</w:t>
      </w:r>
      <w:r w:rsidR="00225660" w:rsidRPr="00767446">
        <w:rPr>
          <w:b/>
          <w:bCs/>
          <w:color w:val="9E001A" w:themeColor="accent1"/>
          <w:sz w:val="18"/>
          <w:szCs w:val="18"/>
        </w:rPr>
        <w:t xml:space="preserve"> </w:t>
      </w:r>
      <w:r w:rsidR="004E6214" w:rsidRPr="00767446">
        <w:rPr>
          <w:b/>
          <w:bCs/>
          <w:color w:val="9E001A" w:themeColor="accent1"/>
          <w:sz w:val="18"/>
          <w:szCs w:val="18"/>
        </w:rPr>
        <w:t>napoved gospodarskih gibanj</w:t>
      </w:r>
      <w:r w:rsidR="00225660" w:rsidRPr="00767446">
        <w:rPr>
          <w:b/>
          <w:bCs/>
          <w:color w:val="9E001A" w:themeColor="accent1"/>
          <w:sz w:val="18"/>
          <w:szCs w:val="18"/>
        </w:rPr>
        <w:t xml:space="preserve"> 202</w:t>
      </w:r>
      <w:r w:rsidR="007E6986">
        <w:rPr>
          <w:b/>
          <w:bCs/>
          <w:color w:val="9E001A" w:themeColor="accent1"/>
          <w:sz w:val="18"/>
          <w:szCs w:val="18"/>
        </w:rPr>
        <w:t>1</w:t>
      </w:r>
    </w:p>
    <w:p w14:paraId="59E28AE0" w14:textId="77777777" w:rsidR="004E6214" w:rsidRPr="00767446" w:rsidRDefault="004E6214" w:rsidP="004E6214">
      <w:pPr>
        <w:pStyle w:val="VirNAPOVED"/>
        <w:spacing w:before="0"/>
        <w:rPr>
          <w:sz w:val="18"/>
          <w:szCs w:val="18"/>
        </w:rPr>
      </w:pPr>
    </w:p>
    <w:p w14:paraId="100C09A1" w14:textId="77777777" w:rsidR="007B122F" w:rsidRPr="00767446" w:rsidRDefault="007B122F" w:rsidP="005D0532">
      <w:pPr>
        <w:pStyle w:val="BesediloNAPOVED"/>
        <w:rPr>
          <w:b/>
          <w:bCs/>
          <w:sz w:val="18"/>
          <w:szCs w:val="20"/>
        </w:rPr>
      </w:pPr>
      <w:bookmarkStart w:id="3" w:name="_Hlk49173623"/>
    </w:p>
    <w:p w14:paraId="21B79082" w14:textId="77777777" w:rsidR="007B122F" w:rsidRPr="00767446" w:rsidRDefault="007B122F" w:rsidP="005D0532">
      <w:pPr>
        <w:pStyle w:val="BesediloNAPOVED"/>
        <w:rPr>
          <w:b/>
          <w:bCs/>
          <w:sz w:val="18"/>
          <w:szCs w:val="20"/>
        </w:rPr>
      </w:pPr>
    </w:p>
    <w:p w14:paraId="5FD68254" w14:textId="1A2F946F" w:rsidR="005D0532" w:rsidRPr="00767446" w:rsidRDefault="005D0532" w:rsidP="005D0532">
      <w:pPr>
        <w:pStyle w:val="BesediloNAPOVED"/>
        <w:rPr>
          <w:sz w:val="18"/>
          <w:szCs w:val="20"/>
        </w:rPr>
      </w:pPr>
      <w:r w:rsidRPr="00767446">
        <w:rPr>
          <w:b/>
          <w:bCs/>
          <w:sz w:val="18"/>
          <w:szCs w:val="20"/>
        </w:rPr>
        <w:t>Izdajatelj:</w:t>
      </w:r>
      <w:r w:rsidRPr="00767446">
        <w:rPr>
          <w:sz w:val="18"/>
          <w:szCs w:val="20"/>
        </w:rPr>
        <w:t xml:space="preserve"> UMAR, Ljubljana, Gregorčičeva 27</w:t>
      </w:r>
    </w:p>
    <w:p w14:paraId="4352C255" w14:textId="77777777" w:rsidR="005D0532" w:rsidRPr="00767446" w:rsidRDefault="005D0532" w:rsidP="005D0532">
      <w:pPr>
        <w:pStyle w:val="BesediloNAPOVED"/>
        <w:rPr>
          <w:sz w:val="18"/>
          <w:szCs w:val="20"/>
        </w:rPr>
      </w:pPr>
      <w:r w:rsidRPr="00767446">
        <w:rPr>
          <w:b/>
          <w:bCs/>
          <w:sz w:val="18"/>
          <w:szCs w:val="20"/>
        </w:rPr>
        <w:t>Odgovarja:</w:t>
      </w:r>
      <w:r w:rsidRPr="00767446">
        <w:rPr>
          <w:sz w:val="18"/>
          <w:szCs w:val="20"/>
        </w:rPr>
        <w:t xml:space="preserve"> mag. Marijana </w:t>
      </w:r>
      <w:proofErr w:type="spellStart"/>
      <w:r w:rsidRPr="00767446">
        <w:rPr>
          <w:sz w:val="18"/>
          <w:szCs w:val="20"/>
        </w:rPr>
        <w:t>Bednaš</w:t>
      </w:r>
      <w:proofErr w:type="spellEnd"/>
      <w:r w:rsidRPr="00767446">
        <w:rPr>
          <w:sz w:val="18"/>
          <w:szCs w:val="20"/>
        </w:rPr>
        <w:t>, direktorica</w:t>
      </w:r>
    </w:p>
    <w:p w14:paraId="58F60D58" w14:textId="77777777" w:rsidR="005D0532" w:rsidRPr="00767446" w:rsidRDefault="005D0532" w:rsidP="005D0532">
      <w:pPr>
        <w:pStyle w:val="BesediloNAPOVED"/>
        <w:rPr>
          <w:sz w:val="18"/>
          <w:szCs w:val="20"/>
        </w:rPr>
      </w:pPr>
    </w:p>
    <w:p w14:paraId="726ADA55" w14:textId="7954CB70" w:rsidR="005D0532" w:rsidRPr="00767446" w:rsidRDefault="00203BDD" w:rsidP="005D0532">
      <w:pPr>
        <w:pStyle w:val="BesediloNAPOVED"/>
        <w:rPr>
          <w:sz w:val="18"/>
          <w:szCs w:val="20"/>
        </w:rPr>
      </w:pPr>
      <w:r w:rsidRPr="00767446">
        <w:rPr>
          <w:b/>
          <w:bCs/>
          <w:sz w:val="18"/>
          <w:szCs w:val="20"/>
        </w:rPr>
        <w:t>Glavna u</w:t>
      </w:r>
      <w:r w:rsidR="005D0532" w:rsidRPr="00767446">
        <w:rPr>
          <w:b/>
          <w:bCs/>
          <w:sz w:val="18"/>
          <w:szCs w:val="20"/>
        </w:rPr>
        <w:t>rednica:</w:t>
      </w:r>
      <w:r w:rsidR="005D0532" w:rsidRPr="00767446">
        <w:rPr>
          <w:sz w:val="18"/>
          <w:szCs w:val="20"/>
        </w:rPr>
        <w:t xml:space="preserve"> Nataša Todorović Jemec, </w:t>
      </w:r>
      <w:proofErr w:type="spellStart"/>
      <w:r w:rsidR="005D0532" w:rsidRPr="00767446">
        <w:rPr>
          <w:sz w:val="18"/>
          <w:szCs w:val="20"/>
        </w:rPr>
        <w:t>MSc</w:t>
      </w:r>
      <w:proofErr w:type="spellEnd"/>
    </w:p>
    <w:p w14:paraId="0846E844" w14:textId="77777777" w:rsidR="005D0532" w:rsidRPr="00767446" w:rsidRDefault="005D0532" w:rsidP="005D0532">
      <w:pPr>
        <w:pStyle w:val="BesediloNAPOVED"/>
        <w:rPr>
          <w:sz w:val="18"/>
          <w:szCs w:val="20"/>
        </w:rPr>
      </w:pPr>
    </w:p>
    <w:p w14:paraId="23493612" w14:textId="77777777" w:rsidR="005D0532" w:rsidRPr="00767446" w:rsidRDefault="005D0532" w:rsidP="005D0532">
      <w:pPr>
        <w:pStyle w:val="BesediloNAPOVED"/>
        <w:rPr>
          <w:sz w:val="18"/>
          <w:szCs w:val="20"/>
        </w:rPr>
      </w:pPr>
    </w:p>
    <w:p w14:paraId="4AAC2150" w14:textId="77777777" w:rsidR="005D0532" w:rsidRPr="00767446" w:rsidRDefault="005D0532" w:rsidP="005D0532">
      <w:pPr>
        <w:pStyle w:val="BesediloNAPOVED"/>
        <w:rPr>
          <w:b/>
          <w:bCs/>
          <w:sz w:val="18"/>
          <w:szCs w:val="20"/>
        </w:rPr>
      </w:pPr>
      <w:r w:rsidRPr="00767446">
        <w:rPr>
          <w:b/>
          <w:bCs/>
          <w:sz w:val="18"/>
          <w:szCs w:val="20"/>
        </w:rPr>
        <w:t>Pri pripravi napovedi so sodelovali (po abecednem vrstnem redu):</w:t>
      </w:r>
    </w:p>
    <w:p w14:paraId="4886CC8F" w14:textId="791339BC" w:rsidR="005D0532" w:rsidRPr="00767446" w:rsidRDefault="005D0532" w:rsidP="005D0532">
      <w:pPr>
        <w:pStyle w:val="BesediloNAPOVED"/>
        <w:rPr>
          <w:sz w:val="18"/>
          <w:szCs w:val="20"/>
        </w:rPr>
      </w:pPr>
      <w:r w:rsidRPr="00767446">
        <w:rPr>
          <w:sz w:val="18"/>
          <w:szCs w:val="20"/>
        </w:rPr>
        <w:t xml:space="preserve">mag. Barbara Bratuž Ferk, Urška Brodar, </w:t>
      </w:r>
      <w:proofErr w:type="spellStart"/>
      <w:r w:rsidRPr="00767446">
        <w:rPr>
          <w:sz w:val="18"/>
          <w:szCs w:val="20"/>
        </w:rPr>
        <w:t>Lejla</w:t>
      </w:r>
      <w:proofErr w:type="spellEnd"/>
      <w:r w:rsidRPr="00767446">
        <w:rPr>
          <w:sz w:val="18"/>
          <w:szCs w:val="20"/>
        </w:rPr>
        <w:t xml:space="preserve"> </w:t>
      </w:r>
      <w:proofErr w:type="spellStart"/>
      <w:r w:rsidRPr="00767446">
        <w:rPr>
          <w:sz w:val="18"/>
          <w:szCs w:val="20"/>
        </w:rPr>
        <w:t>Fajić</w:t>
      </w:r>
      <w:proofErr w:type="spellEnd"/>
      <w:r w:rsidRPr="00767446">
        <w:rPr>
          <w:sz w:val="18"/>
          <w:szCs w:val="20"/>
        </w:rPr>
        <w:t xml:space="preserve">, </w:t>
      </w:r>
      <w:r w:rsidR="001072F9">
        <w:rPr>
          <w:sz w:val="18"/>
          <w:szCs w:val="20"/>
        </w:rPr>
        <w:t xml:space="preserve">dr. Tina Golob Šušteršič, </w:t>
      </w:r>
      <w:r w:rsidRPr="00767446">
        <w:rPr>
          <w:sz w:val="18"/>
          <w:szCs w:val="20"/>
        </w:rPr>
        <w:t xml:space="preserve">mag. Marjan Hafner, mag. Matevž Hribernik, Katarina </w:t>
      </w:r>
      <w:proofErr w:type="spellStart"/>
      <w:r w:rsidRPr="00767446">
        <w:rPr>
          <w:sz w:val="18"/>
          <w:szCs w:val="20"/>
        </w:rPr>
        <w:t>Ivas</w:t>
      </w:r>
      <w:proofErr w:type="spellEnd"/>
      <w:r w:rsidRPr="00767446">
        <w:rPr>
          <w:sz w:val="18"/>
          <w:szCs w:val="20"/>
        </w:rPr>
        <w:t xml:space="preserve">, </w:t>
      </w:r>
      <w:proofErr w:type="spellStart"/>
      <w:r w:rsidRPr="00767446">
        <w:rPr>
          <w:sz w:val="18"/>
          <w:szCs w:val="20"/>
        </w:rPr>
        <w:t>MSc</w:t>
      </w:r>
      <w:proofErr w:type="spellEnd"/>
      <w:r w:rsidRPr="00767446">
        <w:rPr>
          <w:sz w:val="18"/>
          <w:szCs w:val="20"/>
        </w:rPr>
        <w:t>,</w:t>
      </w:r>
      <w:r w:rsidR="001B0054">
        <w:rPr>
          <w:sz w:val="18"/>
          <w:szCs w:val="20"/>
        </w:rPr>
        <w:t xml:space="preserve"> </w:t>
      </w:r>
      <w:r w:rsidRPr="00767446">
        <w:rPr>
          <w:sz w:val="18"/>
          <w:szCs w:val="20"/>
        </w:rPr>
        <w:t xml:space="preserve">Mojca Koprivnikar Šušteršič, mag. Mateja Kovač, mag. Janez Kušar, </w:t>
      </w:r>
      <w:r w:rsidR="00B66E5F">
        <w:rPr>
          <w:sz w:val="18"/>
          <w:szCs w:val="20"/>
        </w:rPr>
        <w:t xml:space="preserve">dr. </w:t>
      </w:r>
      <w:r w:rsidRPr="00767446">
        <w:rPr>
          <w:sz w:val="18"/>
          <w:szCs w:val="20"/>
        </w:rPr>
        <w:t xml:space="preserve">Andrej Kuštrin, </w:t>
      </w:r>
      <w:r w:rsidR="001B0054">
        <w:rPr>
          <w:sz w:val="18"/>
          <w:szCs w:val="20"/>
        </w:rPr>
        <w:t xml:space="preserve">Urška Lušina, mag., </w:t>
      </w:r>
      <w:r w:rsidRPr="00767446">
        <w:rPr>
          <w:sz w:val="18"/>
          <w:szCs w:val="20"/>
        </w:rPr>
        <w:t xml:space="preserve">dr. Jože Markič, Mitja Perko, mag., Jure Povšnar, Denis </w:t>
      </w:r>
      <w:proofErr w:type="spellStart"/>
      <w:r w:rsidRPr="00767446">
        <w:rPr>
          <w:sz w:val="18"/>
          <w:szCs w:val="20"/>
        </w:rPr>
        <w:t>Rogan</w:t>
      </w:r>
      <w:proofErr w:type="spellEnd"/>
      <w:r w:rsidRPr="00767446">
        <w:rPr>
          <w:sz w:val="18"/>
          <w:szCs w:val="20"/>
        </w:rPr>
        <w:t xml:space="preserve">, mag., Dragica </w:t>
      </w:r>
      <w:proofErr w:type="spellStart"/>
      <w:r w:rsidRPr="00767446">
        <w:rPr>
          <w:sz w:val="18"/>
          <w:szCs w:val="20"/>
        </w:rPr>
        <w:t>Šuc</w:t>
      </w:r>
      <w:proofErr w:type="spellEnd"/>
      <w:r w:rsidRPr="00767446">
        <w:rPr>
          <w:sz w:val="18"/>
          <w:szCs w:val="20"/>
        </w:rPr>
        <w:t xml:space="preserve">, </w:t>
      </w:r>
      <w:proofErr w:type="spellStart"/>
      <w:r w:rsidRPr="00767446">
        <w:rPr>
          <w:sz w:val="18"/>
          <w:szCs w:val="20"/>
        </w:rPr>
        <w:t>Msc</w:t>
      </w:r>
      <w:proofErr w:type="spellEnd"/>
      <w:r w:rsidRPr="00767446">
        <w:rPr>
          <w:sz w:val="18"/>
          <w:szCs w:val="20"/>
        </w:rPr>
        <w:t xml:space="preserve">, Branka Tavčar, mag. Ana Vidrih </w:t>
      </w:r>
    </w:p>
    <w:p w14:paraId="76626343" w14:textId="77777777" w:rsidR="005D0532" w:rsidRPr="00767446" w:rsidRDefault="005D0532" w:rsidP="005D0532">
      <w:pPr>
        <w:pStyle w:val="BesediloNAPOVED"/>
        <w:rPr>
          <w:sz w:val="18"/>
          <w:szCs w:val="20"/>
        </w:rPr>
      </w:pPr>
    </w:p>
    <w:p w14:paraId="3786EEF6" w14:textId="77777777" w:rsidR="005D0532" w:rsidRPr="00767446" w:rsidRDefault="005D0532" w:rsidP="005D0532">
      <w:pPr>
        <w:pStyle w:val="BesediloNAPOVED"/>
        <w:rPr>
          <w:sz w:val="18"/>
          <w:szCs w:val="20"/>
        </w:rPr>
      </w:pPr>
      <w:r w:rsidRPr="00767446">
        <w:rPr>
          <w:b/>
          <w:bCs/>
          <w:sz w:val="18"/>
          <w:szCs w:val="20"/>
        </w:rPr>
        <w:t>Uredniški odbor:</w:t>
      </w:r>
      <w:r w:rsidRPr="00767446">
        <w:rPr>
          <w:sz w:val="18"/>
          <w:szCs w:val="20"/>
        </w:rPr>
        <w:t xml:space="preserve"> mag. Marijana </w:t>
      </w:r>
      <w:proofErr w:type="spellStart"/>
      <w:r w:rsidRPr="00767446">
        <w:rPr>
          <w:sz w:val="18"/>
          <w:szCs w:val="20"/>
        </w:rPr>
        <w:t>Bednaš</w:t>
      </w:r>
      <w:proofErr w:type="spellEnd"/>
      <w:r w:rsidRPr="00767446">
        <w:rPr>
          <w:sz w:val="18"/>
          <w:szCs w:val="20"/>
        </w:rPr>
        <w:t xml:space="preserve">, </w:t>
      </w:r>
      <w:proofErr w:type="spellStart"/>
      <w:r w:rsidRPr="00767446">
        <w:rPr>
          <w:sz w:val="18"/>
          <w:szCs w:val="20"/>
        </w:rPr>
        <w:t>Lejla</w:t>
      </w:r>
      <w:proofErr w:type="spellEnd"/>
      <w:r w:rsidRPr="00767446">
        <w:rPr>
          <w:sz w:val="18"/>
          <w:szCs w:val="20"/>
        </w:rPr>
        <w:t xml:space="preserve"> </w:t>
      </w:r>
      <w:proofErr w:type="spellStart"/>
      <w:r w:rsidRPr="00767446">
        <w:rPr>
          <w:sz w:val="18"/>
          <w:szCs w:val="20"/>
        </w:rPr>
        <w:t>Fajić</w:t>
      </w:r>
      <w:proofErr w:type="spellEnd"/>
      <w:r w:rsidRPr="00767446">
        <w:rPr>
          <w:sz w:val="18"/>
          <w:szCs w:val="20"/>
        </w:rPr>
        <w:t xml:space="preserve">, dr. Alenka Kajzer, mag. </w:t>
      </w:r>
      <w:proofErr w:type="spellStart"/>
      <w:r w:rsidRPr="00767446">
        <w:rPr>
          <w:sz w:val="18"/>
          <w:szCs w:val="20"/>
        </w:rPr>
        <w:t>Rotija</w:t>
      </w:r>
      <w:proofErr w:type="spellEnd"/>
      <w:r w:rsidRPr="00767446">
        <w:rPr>
          <w:sz w:val="18"/>
          <w:szCs w:val="20"/>
        </w:rPr>
        <w:t xml:space="preserve"> Kmet Zupančič, mag. Janez Kušar </w:t>
      </w:r>
    </w:p>
    <w:p w14:paraId="4E8A2351" w14:textId="77777777" w:rsidR="005D0532" w:rsidRPr="00767446" w:rsidRDefault="005D0532" w:rsidP="005D0532">
      <w:pPr>
        <w:pStyle w:val="BesediloNAPOVED"/>
        <w:rPr>
          <w:sz w:val="18"/>
          <w:szCs w:val="20"/>
        </w:rPr>
      </w:pPr>
    </w:p>
    <w:p w14:paraId="2479AD00" w14:textId="7976C352" w:rsidR="005D0532" w:rsidRPr="00767446" w:rsidRDefault="005D0532" w:rsidP="005D0532">
      <w:pPr>
        <w:pStyle w:val="BesediloNAPOVED"/>
        <w:rPr>
          <w:sz w:val="18"/>
          <w:szCs w:val="20"/>
        </w:rPr>
      </w:pPr>
      <w:r w:rsidRPr="00767446">
        <w:rPr>
          <w:b/>
          <w:bCs/>
          <w:sz w:val="18"/>
          <w:szCs w:val="20"/>
        </w:rPr>
        <w:t>Tehnično urejanje in prelom:</w:t>
      </w:r>
      <w:r w:rsidRPr="00767446">
        <w:rPr>
          <w:sz w:val="18"/>
          <w:szCs w:val="20"/>
        </w:rPr>
        <w:t xml:space="preserve"> </w:t>
      </w:r>
      <w:proofErr w:type="spellStart"/>
      <w:r w:rsidRPr="00767446">
        <w:rPr>
          <w:sz w:val="18"/>
          <w:szCs w:val="20"/>
        </w:rPr>
        <w:t>Bibijana</w:t>
      </w:r>
      <w:proofErr w:type="spellEnd"/>
      <w:r w:rsidRPr="00767446">
        <w:rPr>
          <w:sz w:val="18"/>
          <w:szCs w:val="20"/>
        </w:rPr>
        <w:t xml:space="preserve"> Cirman Naglič</w:t>
      </w:r>
      <w:r w:rsidR="00EE7709">
        <w:rPr>
          <w:sz w:val="18"/>
          <w:szCs w:val="20"/>
        </w:rPr>
        <w:t>, Mojca Bizjak</w:t>
      </w:r>
    </w:p>
    <w:p w14:paraId="6AEE92EB" w14:textId="77777777" w:rsidR="005D0532" w:rsidRPr="00767446" w:rsidRDefault="005D0532" w:rsidP="005D0532">
      <w:pPr>
        <w:pStyle w:val="BesediloNAPOVED"/>
        <w:rPr>
          <w:sz w:val="18"/>
          <w:szCs w:val="20"/>
        </w:rPr>
      </w:pPr>
    </w:p>
    <w:p w14:paraId="5D872ADE" w14:textId="77777777" w:rsidR="005D0532" w:rsidRPr="00767446" w:rsidRDefault="005D0532" w:rsidP="005D0532">
      <w:pPr>
        <w:pStyle w:val="BesediloNAPOVED"/>
        <w:rPr>
          <w:sz w:val="18"/>
          <w:szCs w:val="20"/>
        </w:rPr>
      </w:pPr>
      <w:r w:rsidRPr="00767446">
        <w:rPr>
          <w:b/>
          <w:bCs/>
          <w:sz w:val="18"/>
          <w:szCs w:val="20"/>
        </w:rPr>
        <w:t>Tisk:</w:t>
      </w:r>
      <w:r w:rsidRPr="00767446">
        <w:rPr>
          <w:sz w:val="18"/>
          <w:szCs w:val="20"/>
        </w:rPr>
        <w:t xml:space="preserve"> </w:t>
      </w:r>
      <w:proofErr w:type="spellStart"/>
      <w:r w:rsidRPr="00767446">
        <w:rPr>
          <w:sz w:val="18"/>
          <w:szCs w:val="20"/>
        </w:rPr>
        <w:t>Eurograf</w:t>
      </w:r>
      <w:proofErr w:type="spellEnd"/>
      <w:r w:rsidRPr="00767446">
        <w:rPr>
          <w:sz w:val="18"/>
          <w:szCs w:val="20"/>
        </w:rPr>
        <w:t xml:space="preserve"> </w:t>
      </w:r>
      <w:proofErr w:type="spellStart"/>
      <w:r w:rsidRPr="00767446">
        <w:rPr>
          <w:sz w:val="18"/>
          <w:szCs w:val="20"/>
        </w:rPr>
        <w:t>d.o.o</w:t>
      </w:r>
      <w:proofErr w:type="spellEnd"/>
      <w:r w:rsidRPr="00767446">
        <w:rPr>
          <w:sz w:val="18"/>
          <w:szCs w:val="20"/>
        </w:rPr>
        <w:t>.</w:t>
      </w:r>
    </w:p>
    <w:p w14:paraId="25847D43" w14:textId="77777777" w:rsidR="005D0532" w:rsidRPr="00767446" w:rsidRDefault="005D0532" w:rsidP="005D0532">
      <w:pPr>
        <w:pStyle w:val="BesediloNAPOVED"/>
        <w:rPr>
          <w:sz w:val="18"/>
          <w:szCs w:val="20"/>
        </w:rPr>
      </w:pPr>
      <w:r w:rsidRPr="00767446">
        <w:rPr>
          <w:b/>
          <w:bCs/>
          <w:sz w:val="18"/>
          <w:szCs w:val="20"/>
        </w:rPr>
        <w:t>Naklada:</w:t>
      </w:r>
      <w:r w:rsidRPr="00767446">
        <w:rPr>
          <w:sz w:val="18"/>
          <w:szCs w:val="20"/>
        </w:rPr>
        <w:t xml:space="preserve"> </w:t>
      </w:r>
      <w:r w:rsidRPr="00767446">
        <w:rPr>
          <w:sz w:val="18"/>
          <w:szCs w:val="20"/>
        </w:rPr>
        <w:fldChar w:fldCharType="begin"/>
      </w:r>
      <w:r w:rsidRPr="00767446">
        <w:rPr>
          <w:sz w:val="18"/>
          <w:szCs w:val="20"/>
        </w:rPr>
        <w:instrText xml:space="preserve"> MACROBUTTON  AcceptAllChangesInDocAndStopTracking [količina] </w:instrText>
      </w:r>
      <w:r w:rsidRPr="00767446">
        <w:rPr>
          <w:sz w:val="18"/>
          <w:szCs w:val="20"/>
        </w:rPr>
        <w:fldChar w:fldCharType="end"/>
      </w:r>
      <w:r w:rsidRPr="00767446">
        <w:rPr>
          <w:sz w:val="18"/>
          <w:szCs w:val="20"/>
        </w:rPr>
        <w:t>izvodov</w:t>
      </w:r>
    </w:p>
    <w:p w14:paraId="66C63B6B" w14:textId="77777777" w:rsidR="005D0532" w:rsidRPr="00767446" w:rsidRDefault="005D0532" w:rsidP="005D0532">
      <w:pPr>
        <w:pStyle w:val="BesediloNAPOVED"/>
        <w:rPr>
          <w:sz w:val="18"/>
          <w:szCs w:val="20"/>
        </w:rPr>
      </w:pPr>
      <w:r w:rsidRPr="00767446">
        <w:rPr>
          <w:sz w:val="18"/>
          <w:szCs w:val="20"/>
        </w:rPr>
        <w:t>Prvi natis</w:t>
      </w:r>
    </w:p>
    <w:p w14:paraId="5DE26E08" w14:textId="77777777" w:rsidR="005D0532" w:rsidRPr="00767446" w:rsidRDefault="005D0532" w:rsidP="005D0532">
      <w:pPr>
        <w:pStyle w:val="BesediloNAPOVED"/>
        <w:rPr>
          <w:sz w:val="18"/>
          <w:szCs w:val="20"/>
        </w:rPr>
      </w:pPr>
    </w:p>
    <w:p w14:paraId="52A413E7" w14:textId="3112E45F" w:rsidR="005D0532" w:rsidRPr="00767446" w:rsidRDefault="005D0532" w:rsidP="005D0532">
      <w:pPr>
        <w:pStyle w:val="BesediloNAPOVED"/>
        <w:rPr>
          <w:sz w:val="18"/>
          <w:szCs w:val="20"/>
        </w:rPr>
      </w:pPr>
      <w:r w:rsidRPr="00767446">
        <w:rPr>
          <w:sz w:val="18"/>
          <w:szCs w:val="20"/>
        </w:rPr>
        <w:t xml:space="preserve">Ljubljana, </w:t>
      </w:r>
      <w:r w:rsidR="00926B3D">
        <w:rPr>
          <w:sz w:val="18"/>
          <w:szCs w:val="20"/>
        </w:rPr>
        <w:t>september</w:t>
      </w:r>
      <w:r w:rsidR="00225660" w:rsidRPr="00767446">
        <w:rPr>
          <w:sz w:val="18"/>
          <w:szCs w:val="20"/>
        </w:rPr>
        <w:t xml:space="preserve"> 202</w:t>
      </w:r>
      <w:r w:rsidR="004408C9">
        <w:rPr>
          <w:sz w:val="18"/>
          <w:szCs w:val="20"/>
        </w:rPr>
        <w:t>1</w:t>
      </w:r>
    </w:p>
    <w:bookmarkEnd w:id="3"/>
    <w:p w14:paraId="5D6920F0" w14:textId="4A28F0A4" w:rsidR="00C563A4" w:rsidRPr="00767446" w:rsidRDefault="00C563A4" w:rsidP="005D0532">
      <w:pPr>
        <w:pStyle w:val="BesediloNAPOVED"/>
        <w:rPr>
          <w:sz w:val="18"/>
          <w:szCs w:val="20"/>
        </w:rPr>
      </w:pPr>
    </w:p>
    <w:p w14:paraId="44C7E4FC" w14:textId="77777777" w:rsidR="004E6214" w:rsidRPr="00767446" w:rsidRDefault="004E6214" w:rsidP="005D0532">
      <w:pPr>
        <w:pStyle w:val="BesediloNAPOVED"/>
        <w:rPr>
          <w:rStyle w:val="VodilnistavekBoldpoudarekNAPOVED"/>
          <w:b w:val="0"/>
          <w:sz w:val="16"/>
          <w:szCs w:val="16"/>
        </w:rPr>
      </w:pPr>
    </w:p>
    <w:p w14:paraId="43A87415" w14:textId="77777777" w:rsidR="004E6214" w:rsidRPr="00767446" w:rsidRDefault="004E6214" w:rsidP="004E6214">
      <w:pPr>
        <w:pStyle w:val="BesediloNAPOVED"/>
        <w:rPr>
          <w:rStyle w:val="VodilnistavekBoldpoudarekNAPOVED"/>
          <w:b w:val="0"/>
        </w:rPr>
      </w:pPr>
    </w:p>
    <w:p w14:paraId="307A2FFB" w14:textId="77777777" w:rsidR="004E6214" w:rsidRPr="00767446" w:rsidRDefault="004E6214" w:rsidP="004E6214">
      <w:pPr>
        <w:pStyle w:val="BesediloNAPOVED"/>
        <w:rPr>
          <w:rStyle w:val="VodilnistavekBoldpoudarekNAPOVED"/>
          <w:b w:val="0"/>
        </w:rPr>
      </w:pPr>
    </w:p>
    <w:p w14:paraId="5A8F8EAB" w14:textId="77777777" w:rsidR="004E6214" w:rsidRPr="00767446" w:rsidRDefault="004E6214" w:rsidP="004E6214">
      <w:pPr>
        <w:pStyle w:val="BesediloNAPOVED"/>
        <w:rPr>
          <w:rStyle w:val="VodilnistavekBoldpoudarekNAPOVED"/>
          <w:b w:val="0"/>
        </w:rPr>
      </w:pPr>
    </w:p>
    <w:p w14:paraId="506111D5" w14:textId="77777777" w:rsidR="004E6214" w:rsidRPr="00767446" w:rsidRDefault="004E6214" w:rsidP="004E6214">
      <w:pPr>
        <w:pStyle w:val="BesediloNAPOVED"/>
        <w:rPr>
          <w:rStyle w:val="VodilnistavekBoldpoudarekNAPOVED"/>
          <w:b w:val="0"/>
        </w:rPr>
      </w:pPr>
    </w:p>
    <w:p w14:paraId="36F5FECF" w14:textId="77777777" w:rsidR="004E6214" w:rsidRPr="00767446" w:rsidRDefault="004E6214" w:rsidP="004E6214">
      <w:pPr>
        <w:pStyle w:val="BesediloNAPOVED"/>
        <w:rPr>
          <w:rStyle w:val="VodilnistavekBoldpoudarekNAPOVED"/>
          <w:b w:val="0"/>
        </w:rPr>
      </w:pPr>
    </w:p>
    <w:p w14:paraId="163D0A4B" w14:textId="77777777" w:rsidR="004E6214" w:rsidRPr="00767446" w:rsidRDefault="004E6214" w:rsidP="004E6214">
      <w:pPr>
        <w:pStyle w:val="BesediloNAPOVED"/>
        <w:tabs>
          <w:tab w:val="left" w:pos="2775"/>
        </w:tabs>
        <w:rPr>
          <w:rStyle w:val="VodilnistavekBoldpoudarekNAPOVED"/>
          <w:b w:val="0"/>
        </w:rPr>
      </w:pPr>
    </w:p>
    <w:p w14:paraId="3EC09079" w14:textId="77777777" w:rsidR="004E6214" w:rsidRPr="00767446" w:rsidRDefault="004E6214" w:rsidP="004E6214">
      <w:pPr>
        <w:pStyle w:val="BesediloNAPOVED"/>
        <w:rPr>
          <w:rStyle w:val="VodilnistavekBoldpoudarekNAPOVED"/>
          <w:b w:val="0"/>
        </w:rPr>
      </w:pPr>
    </w:p>
    <w:p w14:paraId="7C7358C1" w14:textId="77777777" w:rsidR="004E6214" w:rsidRPr="00767446" w:rsidRDefault="004E6214" w:rsidP="004E6214">
      <w:pPr>
        <w:pStyle w:val="BesediloNAPOVED"/>
        <w:rPr>
          <w:rStyle w:val="VodilnistavekBoldpoudarekNAPOVED"/>
          <w:b w:val="0"/>
        </w:rPr>
      </w:pPr>
    </w:p>
    <w:p w14:paraId="7020EC68" w14:textId="77777777" w:rsidR="004E6214" w:rsidRPr="00767446" w:rsidRDefault="004E6214" w:rsidP="004E6214">
      <w:pPr>
        <w:pStyle w:val="BesediloNAPOVED"/>
        <w:rPr>
          <w:rStyle w:val="VodilnistavekBoldpoudarekNAPOVED"/>
          <w:b w:val="0"/>
        </w:rPr>
      </w:pPr>
    </w:p>
    <w:p w14:paraId="3A1A3B35" w14:textId="77777777" w:rsidR="004E6214" w:rsidRPr="00767446" w:rsidRDefault="004E6214" w:rsidP="004E6214">
      <w:pPr>
        <w:pStyle w:val="BesediloNAPOVED"/>
        <w:rPr>
          <w:rStyle w:val="VodilnistavekBoldpoudarekNAPOVED"/>
          <w:b w:val="0"/>
        </w:rPr>
      </w:pPr>
    </w:p>
    <w:p w14:paraId="1B5E299C" w14:textId="77777777" w:rsidR="004E6214" w:rsidRPr="00767446" w:rsidRDefault="004E6214" w:rsidP="004E6214">
      <w:pPr>
        <w:pStyle w:val="BesediloNAPOVED"/>
        <w:rPr>
          <w:rStyle w:val="VodilnistavekBoldpoudarekNAPOVED"/>
          <w:b w:val="0"/>
        </w:rPr>
      </w:pPr>
    </w:p>
    <w:p w14:paraId="066F18D9" w14:textId="77777777" w:rsidR="004E6214" w:rsidRPr="00767446" w:rsidRDefault="004E6214" w:rsidP="004E6214">
      <w:pPr>
        <w:pStyle w:val="BesediloNAPOVED"/>
        <w:rPr>
          <w:rStyle w:val="VodilnistavekBoldpoudarekNAPOVED"/>
          <w:b w:val="0"/>
        </w:rPr>
      </w:pPr>
    </w:p>
    <w:p w14:paraId="6F18E1C5" w14:textId="77777777" w:rsidR="004E6214" w:rsidRPr="00767446" w:rsidRDefault="004E6214" w:rsidP="004E6214">
      <w:pPr>
        <w:pStyle w:val="BesediloNAPOVED"/>
        <w:rPr>
          <w:rStyle w:val="VodilnistavekBoldpoudarekNAPOVED"/>
          <w:b w:val="0"/>
        </w:rPr>
      </w:pPr>
    </w:p>
    <w:p w14:paraId="289A3176" w14:textId="77777777" w:rsidR="004E6214" w:rsidRPr="00767446" w:rsidRDefault="004E6214" w:rsidP="004E6214">
      <w:pPr>
        <w:pStyle w:val="BesediloNAPOVED"/>
        <w:rPr>
          <w:rStyle w:val="VodilnistavekBoldpoudarekNAPOVED"/>
          <w:b w:val="0"/>
        </w:rPr>
      </w:pPr>
    </w:p>
    <w:p w14:paraId="3E684F1D" w14:textId="77777777" w:rsidR="004E6214" w:rsidRPr="00767446" w:rsidRDefault="004E6214" w:rsidP="004E6214">
      <w:pPr>
        <w:pStyle w:val="BesediloNAPOVED"/>
        <w:rPr>
          <w:rStyle w:val="VodilnistavekBoldpoudarekNAPOVED"/>
          <w:b w:val="0"/>
        </w:rPr>
      </w:pPr>
    </w:p>
    <w:p w14:paraId="42AFDDCE" w14:textId="77777777" w:rsidR="004E6214" w:rsidRPr="00767446" w:rsidRDefault="004E6214" w:rsidP="004E6214">
      <w:pPr>
        <w:pStyle w:val="BesediloNAPOVED"/>
        <w:rPr>
          <w:rStyle w:val="VodilnistavekBoldpoudarekNAPOVED"/>
          <w:b w:val="0"/>
        </w:rPr>
      </w:pPr>
    </w:p>
    <w:p w14:paraId="6FDD129B" w14:textId="77777777" w:rsidR="004E6214" w:rsidRPr="00767446" w:rsidRDefault="004E6214" w:rsidP="004E6214">
      <w:pPr>
        <w:pStyle w:val="BesediloNAPOVED"/>
        <w:rPr>
          <w:rStyle w:val="VodilnistavekBoldpoudarekNAPOVED"/>
          <w:b w:val="0"/>
        </w:rPr>
      </w:pPr>
    </w:p>
    <w:p w14:paraId="0F1FBE4C" w14:textId="77777777" w:rsidR="004E6214" w:rsidRPr="00767446" w:rsidRDefault="004E6214" w:rsidP="004E6214">
      <w:pPr>
        <w:pStyle w:val="BesediloNAPOVED"/>
        <w:rPr>
          <w:rStyle w:val="VodilnistavekBoldpoudarekNAPOVED"/>
          <w:b w:val="0"/>
        </w:rPr>
      </w:pPr>
    </w:p>
    <w:p w14:paraId="4FD411FF" w14:textId="77777777" w:rsidR="004E6214" w:rsidRPr="00767446" w:rsidRDefault="004E6214" w:rsidP="004E6214">
      <w:pPr>
        <w:pStyle w:val="BesediloNAPOVED"/>
        <w:rPr>
          <w:rStyle w:val="VodilnistavekBoldpoudarekNAPOVED"/>
          <w:b w:val="0"/>
        </w:rPr>
      </w:pPr>
    </w:p>
    <w:p w14:paraId="15C339CF" w14:textId="77777777" w:rsidR="004E6214" w:rsidRPr="00767446" w:rsidRDefault="004E6214" w:rsidP="004E6214">
      <w:pPr>
        <w:pStyle w:val="BesediloNAPOVED"/>
        <w:rPr>
          <w:rStyle w:val="VodilnistavekBoldpoudarekNAPOVED"/>
          <w:b w:val="0"/>
        </w:rPr>
      </w:pPr>
    </w:p>
    <w:p w14:paraId="7D8D6953" w14:textId="77777777" w:rsidR="004E6214" w:rsidRPr="00767446" w:rsidRDefault="004E6214" w:rsidP="004E6214">
      <w:pPr>
        <w:pStyle w:val="BesediloNAPOVED"/>
        <w:rPr>
          <w:rStyle w:val="VodilnistavekBoldpoudarekNAPOVED"/>
          <w:b w:val="0"/>
        </w:rPr>
      </w:pPr>
    </w:p>
    <w:p w14:paraId="350E9F05" w14:textId="34310F72" w:rsidR="004E6214" w:rsidRPr="00767446" w:rsidRDefault="004E6214" w:rsidP="004E6214">
      <w:pPr>
        <w:pStyle w:val="BesediloNAPOVED"/>
        <w:rPr>
          <w:rStyle w:val="VodilnistavekBoldpoudarekNAPOVED"/>
          <w:b w:val="0"/>
        </w:rPr>
      </w:pPr>
    </w:p>
    <w:p w14:paraId="592A56A3" w14:textId="484A9D55" w:rsidR="004E6214" w:rsidRPr="00767446" w:rsidRDefault="004E6214" w:rsidP="004E6214">
      <w:pPr>
        <w:pStyle w:val="BesediloNAPOVED"/>
        <w:rPr>
          <w:rStyle w:val="VodilnistavekBoldpoudarekNAPOVED"/>
          <w:b w:val="0"/>
        </w:rPr>
      </w:pPr>
    </w:p>
    <w:p w14:paraId="1146828C" w14:textId="77777777" w:rsidR="004E6214" w:rsidRPr="00767446" w:rsidRDefault="004E6214" w:rsidP="004E6214">
      <w:pPr>
        <w:pStyle w:val="BesediloNAPOVED"/>
        <w:rPr>
          <w:rStyle w:val="VodilnistavekBoldpoudarekNAPOVED"/>
          <w:b w:val="0"/>
        </w:rPr>
      </w:pPr>
    </w:p>
    <w:p w14:paraId="0CF7650D" w14:textId="77777777" w:rsidR="004E6214" w:rsidRPr="00767446" w:rsidRDefault="004E6214" w:rsidP="004E6214">
      <w:pPr>
        <w:pStyle w:val="BesediloNAPOVED"/>
        <w:rPr>
          <w:rStyle w:val="VodilnistavekBoldpoudarekNAPOVED"/>
          <w:b w:val="0"/>
        </w:rPr>
      </w:pPr>
    </w:p>
    <w:p w14:paraId="09EC5C39" w14:textId="77777777" w:rsidR="004E6214" w:rsidRPr="00767446" w:rsidRDefault="004E6214" w:rsidP="004E6214">
      <w:pPr>
        <w:pStyle w:val="BesediloNAPOVED"/>
        <w:rPr>
          <w:rStyle w:val="VodilnistavekBoldpoudarekNAPOVED"/>
          <w:b w:val="0"/>
          <w:sz w:val="18"/>
          <w:szCs w:val="20"/>
        </w:rPr>
      </w:pPr>
      <w:r w:rsidRPr="00767446">
        <w:rPr>
          <w:rStyle w:val="VodilnistavekBoldpoudarekNAPOVED"/>
          <w:b w:val="0"/>
          <w:sz w:val="18"/>
          <w:szCs w:val="20"/>
        </w:rPr>
        <w:t>Publikacija je brezplačna.</w:t>
      </w:r>
    </w:p>
    <w:p w14:paraId="4B9AA889" w14:textId="77777777" w:rsidR="004E6214" w:rsidRPr="00767446" w:rsidRDefault="004E6214" w:rsidP="004E6214">
      <w:pPr>
        <w:pStyle w:val="BesediloNAPOVED"/>
        <w:rPr>
          <w:rStyle w:val="VodilnistavekBoldpoudarekNAPOVED"/>
          <w:b w:val="0"/>
        </w:rPr>
      </w:pPr>
    </w:p>
    <w:p w14:paraId="07406198" w14:textId="746A09DE" w:rsidR="004E6214" w:rsidRPr="00767446" w:rsidRDefault="004E6214" w:rsidP="004E6214">
      <w:pPr>
        <w:pStyle w:val="VirNAPOVED"/>
        <w:spacing w:before="0"/>
        <w:rPr>
          <w:sz w:val="18"/>
          <w:szCs w:val="18"/>
        </w:rPr>
      </w:pPr>
      <w:r w:rsidRPr="00767446">
        <w:rPr>
          <w:sz w:val="18"/>
          <w:szCs w:val="18"/>
        </w:rPr>
        <w:t>©202</w:t>
      </w:r>
      <w:r w:rsidR="00526B56">
        <w:rPr>
          <w:sz w:val="18"/>
          <w:szCs w:val="18"/>
        </w:rPr>
        <w:t>1</w:t>
      </w:r>
      <w:r w:rsidRPr="00767446">
        <w:rPr>
          <w:sz w:val="18"/>
          <w:szCs w:val="18"/>
        </w:rPr>
        <w:t>, Urad RS za makroekonomske analize in razvoj</w:t>
      </w:r>
    </w:p>
    <w:p w14:paraId="4BECC52E" w14:textId="77777777" w:rsidR="004E6214" w:rsidRPr="00767446" w:rsidRDefault="004E6214" w:rsidP="004E6214">
      <w:pPr>
        <w:pStyle w:val="VirNAPOVED"/>
        <w:spacing w:before="0"/>
        <w:rPr>
          <w:sz w:val="18"/>
          <w:szCs w:val="18"/>
        </w:rPr>
      </w:pPr>
      <w:r w:rsidRPr="00767446">
        <w:rPr>
          <w:sz w:val="18"/>
          <w:szCs w:val="18"/>
        </w:rPr>
        <w:t xml:space="preserve">Razmnoževanje publikacije ali njenih delov ni dovoljeno. </w:t>
      </w:r>
    </w:p>
    <w:p w14:paraId="5E22BB6A" w14:textId="5555620E" w:rsidR="003677EB" w:rsidRPr="00767446" w:rsidRDefault="004E6214" w:rsidP="004E6214">
      <w:pPr>
        <w:pStyle w:val="VirNAPOVED"/>
        <w:spacing w:before="0"/>
        <w:rPr>
          <w:rStyle w:val="VodilnistavekBoldpoudarekNAPOVED"/>
          <w:b w:val="0"/>
        </w:rPr>
      </w:pPr>
      <w:r w:rsidRPr="00767446">
        <w:rPr>
          <w:sz w:val="18"/>
          <w:szCs w:val="18"/>
        </w:rPr>
        <w:t>Objava besedila in podatkov v celoti ali deloma je dovoljena le z navedbo vira.</w:t>
      </w:r>
      <w:r w:rsidR="003677EB" w:rsidRPr="00767446">
        <w:rPr>
          <w:rStyle w:val="VodilnistavekBoldpoudarekNAPOVED"/>
          <w:b w:val="0"/>
        </w:rPr>
        <w:br w:type="page"/>
      </w:r>
    </w:p>
    <w:bookmarkStart w:id="4" w:name="_Toc43368641" w:displacedByCustomXml="next"/>
    <w:sdt>
      <w:sdtPr>
        <w:rPr>
          <w:rFonts w:asciiTheme="minorHAnsi" w:eastAsia="Times New Roman" w:hAnsiTheme="minorHAnsi" w:cs="Times New Roman"/>
          <w:b w:val="0"/>
          <w:color w:val="auto"/>
          <w:sz w:val="20"/>
          <w:szCs w:val="20"/>
          <w:lang w:val="sl-SI" w:eastAsia="sl-SI"/>
        </w:rPr>
        <w:id w:val="-999649961"/>
        <w:docPartObj>
          <w:docPartGallery w:val="Table of Contents"/>
          <w:docPartUnique/>
        </w:docPartObj>
      </w:sdtPr>
      <w:sdtEndPr>
        <w:rPr>
          <w:rFonts w:eastAsiaTheme="minorHAnsi" w:cstheme="minorBidi"/>
          <w:bCs/>
          <w:sz w:val="22"/>
          <w:szCs w:val="22"/>
          <w:lang w:eastAsia="en-US"/>
        </w:rPr>
      </w:sdtEndPr>
      <w:sdtContent>
        <w:p w14:paraId="1ACCB599" w14:textId="764BFD15" w:rsidR="008441E7" w:rsidRPr="00767446" w:rsidRDefault="008441E7" w:rsidP="00602E3D">
          <w:pPr>
            <w:pStyle w:val="TOCHeading"/>
            <w:rPr>
              <w:lang w:val="sl-SI"/>
            </w:rPr>
          </w:pPr>
          <w:r w:rsidRPr="00767446">
            <w:rPr>
              <w:lang w:val="sl-SI"/>
            </w:rPr>
            <w:t>Kazalo</w:t>
          </w:r>
        </w:p>
        <w:p w14:paraId="5C38FAD3" w14:textId="77777777" w:rsidR="008441E7" w:rsidRPr="00767446" w:rsidRDefault="008441E7" w:rsidP="008441E7">
          <w:pPr>
            <w:pStyle w:val="BesediloNAPOVED"/>
          </w:pPr>
        </w:p>
        <w:p w14:paraId="5F481B23" w14:textId="01D07A5D" w:rsidR="00D224DD" w:rsidRDefault="008441E7">
          <w:pPr>
            <w:pStyle w:val="TOC1"/>
            <w:rPr>
              <w:rFonts w:asciiTheme="minorHAnsi" w:eastAsiaTheme="minorEastAsia" w:hAnsiTheme="minorHAnsi" w:cstheme="minorBidi"/>
              <w:b w:val="0"/>
              <w:sz w:val="22"/>
              <w:szCs w:val="22"/>
              <w:lang w:eastAsia="sl-SI"/>
            </w:rPr>
          </w:pPr>
          <w:r w:rsidRPr="00767446">
            <w:rPr>
              <w:rFonts w:ascii="Myriad Pro" w:hAnsi="Myriad Pro"/>
              <w:b w:val="0"/>
              <w:bCs/>
              <w:noProof w:val="0"/>
            </w:rPr>
            <w:fldChar w:fldCharType="begin"/>
          </w:r>
          <w:r w:rsidRPr="00767446">
            <w:rPr>
              <w:b w:val="0"/>
              <w:bCs/>
              <w:noProof w:val="0"/>
            </w:rPr>
            <w:instrText xml:space="preserve"> TOC \o "1-3" \h \z \u </w:instrText>
          </w:r>
          <w:r w:rsidRPr="00767446">
            <w:rPr>
              <w:rFonts w:ascii="Myriad Pro" w:hAnsi="Myriad Pro"/>
              <w:b w:val="0"/>
              <w:bCs/>
              <w:noProof w:val="0"/>
            </w:rPr>
            <w:fldChar w:fldCharType="separate"/>
          </w:r>
          <w:hyperlink w:anchor="_Toc81050592" w:history="1">
            <w:r w:rsidR="00D224DD" w:rsidRPr="003B20BF">
              <w:rPr>
                <w:rStyle w:val="Hyperlink"/>
              </w:rPr>
              <w:t>Povzetek</w:t>
            </w:r>
            <w:r w:rsidR="00D224DD">
              <w:rPr>
                <w:webHidden/>
              </w:rPr>
              <w:tab/>
            </w:r>
            <w:r w:rsidR="00D224DD">
              <w:rPr>
                <w:webHidden/>
              </w:rPr>
              <w:fldChar w:fldCharType="begin"/>
            </w:r>
            <w:r w:rsidR="00D224DD">
              <w:rPr>
                <w:webHidden/>
              </w:rPr>
              <w:instrText xml:space="preserve"> PAGEREF _Toc81050592 \h </w:instrText>
            </w:r>
            <w:r w:rsidR="00D224DD">
              <w:rPr>
                <w:webHidden/>
              </w:rPr>
            </w:r>
            <w:r w:rsidR="00D224DD">
              <w:rPr>
                <w:webHidden/>
              </w:rPr>
              <w:fldChar w:fldCharType="separate"/>
            </w:r>
            <w:r w:rsidR="00D224DD">
              <w:rPr>
                <w:webHidden/>
              </w:rPr>
              <w:t>3</w:t>
            </w:r>
            <w:r w:rsidR="00D224DD">
              <w:rPr>
                <w:webHidden/>
              </w:rPr>
              <w:fldChar w:fldCharType="end"/>
            </w:r>
          </w:hyperlink>
        </w:p>
        <w:p w14:paraId="6C45EFA5" w14:textId="7702ABF1" w:rsidR="00D224DD" w:rsidRDefault="00953DE0">
          <w:pPr>
            <w:pStyle w:val="TOC1"/>
            <w:rPr>
              <w:rFonts w:asciiTheme="minorHAnsi" w:eastAsiaTheme="minorEastAsia" w:hAnsiTheme="minorHAnsi" w:cstheme="minorBidi"/>
              <w:b w:val="0"/>
              <w:sz w:val="22"/>
              <w:szCs w:val="22"/>
              <w:lang w:eastAsia="sl-SI"/>
            </w:rPr>
          </w:pPr>
          <w:hyperlink w:anchor="_Toc81050593" w:history="1">
            <w:r w:rsidR="00D224DD" w:rsidRPr="003B20BF">
              <w:rPr>
                <w:rStyle w:val="Hyperlink"/>
              </w:rPr>
              <w:t>1</w:t>
            </w:r>
            <w:r w:rsidR="00D224DD">
              <w:rPr>
                <w:rFonts w:asciiTheme="minorHAnsi" w:eastAsiaTheme="minorEastAsia" w:hAnsiTheme="minorHAnsi" w:cstheme="minorBidi"/>
                <w:b w:val="0"/>
                <w:sz w:val="22"/>
                <w:szCs w:val="22"/>
                <w:lang w:eastAsia="sl-SI"/>
              </w:rPr>
              <w:tab/>
            </w:r>
            <w:r w:rsidR="00D224DD" w:rsidRPr="003B20BF">
              <w:rPr>
                <w:rStyle w:val="Hyperlink"/>
              </w:rPr>
              <w:t>Izhodišča Jesenske napovedi gospodarskih gibanj 2021</w:t>
            </w:r>
            <w:r w:rsidR="00D224DD">
              <w:rPr>
                <w:webHidden/>
              </w:rPr>
              <w:tab/>
            </w:r>
            <w:r w:rsidR="00D224DD">
              <w:rPr>
                <w:webHidden/>
              </w:rPr>
              <w:fldChar w:fldCharType="begin"/>
            </w:r>
            <w:r w:rsidR="00D224DD">
              <w:rPr>
                <w:webHidden/>
              </w:rPr>
              <w:instrText xml:space="preserve"> PAGEREF _Toc81050593 \h </w:instrText>
            </w:r>
            <w:r w:rsidR="00D224DD">
              <w:rPr>
                <w:webHidden/>
              </w:rPr>
            </w:r>
            <w:r w:rsidR="00D224DD">
              <w:rPr>
                <w:webHidden/>
              </w:rPr>
              <w:fldChar w:fldCharType="separate"/>
            </w:r>
            <w:r w:rsidR="00D224DD">
              <w:rPr>
                <w:webHidden/>
              </w:rPr>
              <w:t>6</w:t>
            </w:r>
            <w:r w:rsidR="00D224DD">
              <w:rPr>
                <w:webHidden/>
              </w:rPr>
              <w:fldChar w:fldCharType="end"/>
            </w:r>
          </w:hyperlink>
        </w:p>
        <w:p w14:paraId="5207764A" w14:textId="15A27358" w:rsidR="00D224DD" w:rsidRDefault="00953DE0">
          <w:pPr>
            <w:pStyle w:val="TOC1"/>
            <w:rPr>
              <w:rFonts w:asciiTheme="minorHAnsi" w:eastAsiaTheme="minorEastAsia" w:hAnsiTheme="minorHAnsi" w:cstheme="minorBidi"/>
              <w:b w:val="0"/>
              <w:sz w:val="22"/>
              <w:szCs w:val="22"/>
              <w:lang w:eastAsia="sl-SI"/>
            </w:rPr>
          </w:pPr>
          <w:hyperlink w:anchor="_Toc81050594" w:history="1">
            <w:r w:rsidR="00D224DD" w:rsidRPr="003B20BF">
              <w:rPr>
                <w:rStyle w:val="Hyperlink"/>
              </w:rPr>
              <w:t>2</w:t>
            </w:r>
            <w:r w:rsidR="00D224DD">
              <w:rPr>
                <w:rFonts w:asciiTheme="minorHAnsi" w:eastAsiaTheme="minorEastAsia" w:hAnsiTheme="minorHAnsi" w:cstheme="minorBidi"/>
                <w:b w:val="0"/>
                <w:sz w:val="22"/>
                <w:szCs w:val="22"/>
                <w:lang w:eastAsia="sl-SI"/>
              </w:rPr>
              <w:tab/>
            </w:r>
            <w:r w:rsidR="00D224DD" w:rsidRPr="003B20BF">
              <w:rPr>
                <w:rStyle w:val="Hyperlink"/>
              </w:rPr>
              <w:t>Obsežni ukrepi za omilitev posledic pandemije in za pomoč pri okrevanju gospodarstva</w:t>
            </w:r>
            <w:r w:rsidR="00D224DD">
              <w:rPr>
                <w:webHidden/>
              </w:rPr>
              <w:tab/>
            </w:r>
            <w:r w:rsidR="00D224DD">
              <w:rPr>
                <w:webHidden/>
              </w:rPr>
              <w:fldChar w:fldCharType="begin"/>
            </w:r>
            <w:r w:rsidR="00D224DD">
              <w:rPr>
                <w:webHidden/>
              </w:rPr>
              <w:instrText xml:space="preserve"> PAGEREF _Toc81050594 \h </w:instrText>
            </w:r>
            <w:r w:rsidR="00D224DD">
              <w:rPr>
                <w:webHidden/>
              </w:rPr>
            </w:r>
            <w:r w:rsidR="00D224DD">
              <w:rPr>
                <w:webHidden/>
              </w:rPr>
              <w:fldChar w:fldCharType="separate"/>
            </w:r>
            <w:r w:rsidR="00D224DD">
              <w:rPr>
                <w:webHidden/>
              </w:rPr>
              <w:t>9</w:t>
            </w:r>
            <w:r w:rsidR="00D224DD">
              <w:rPr>
                <w:webHidden/>
              </w:rPr>
              <w:fldChar w:fldCharType="end"/>
            </w:r>
          </w:hyperlink>
        </w:p>
        <w:p w14:paraId="0351DDB6" w14:textId="3169D225" w:rsidR="00D224DD" w:rsidRDefault="00953DE0">
          <w:pPr>
            <w:pStyle w:val="TOC1"/>
            <w:rPr>
              <w:rFonts w:asciiTheme="minorHAnsi" w:eastAsiaTheme="minorEastAsia" w:hAnsiTheme="minorHAnsi" w:cstheme="minorBidi"/>
              <w:b w:val="0"/>
              <w:sz w:val="22"/>
              <w:szCs w:val="22"/>
              <w:lang w:eastAsia="sl-SI"/>
            </w:rPr>
          </w:pPr>
          <w:hyperlink w:anchor="_Toc81050595" w:history="1">
            <w:r w:rsidR="00D224DD" w:rsidRPr="003B20BF">
              <w:rPr>
                <w:rStyle w:val="Hyperlink"/>
              </w:rPr>
              <w:t>3</w:t>
            </w:r>
            <w:r w:rsidR="00D224DD">
              <w:rPr>
                <w:rFonts w:asciiTheme="minorHAnsi" w:eastAsiaTheme="minorEastAsia" w:hAnsiTheme="minorHAnsi" w:cstheme="minorBidi"/>
                <w:b w:val="0"/>
                <w:sz w:val="22"/>
                <w:szCs w:val="22"/>
                <w:lang w:eastAsia="sl-SI"/>
              </w:rPr>
              <w:tab/>
            </w:r>
            <w:r w:rsidR="00D224DD" w:rsidRPr="003B20BF">
              <w:rPr>
                <w:rStyle w:val="Hyperlink"/>
              </w:rPr>
              <w:t>Pomladanska napoved gospodarskih gibanj v Sloveniji</w:t>
            </w:r>
            <w:r w:rsidR="00D224DD">
              <w:rPr>
                <w:webHidden/>
              </w:rPr>
              <w:tab/>
            </w:r>
            <w:r w:rsidR="00D224DD">
              <w:rPr>
                <w:webHidden/>
              </w:rPr>
              <w:fldChar w:fldCharType="begin"/>
            </w:r>
            <w:r w:rsidR="00D224DD">
              <w:rPr>
                <w:webHidden/>
              </w:rPr>
              <w:instrText xml:space="preserve"> PAGEREF _Toc81050595 \h </w:instrText>
            </w:r>
            <w:r w:rsidR="00D224DD">
              <w:rPr>
                <w:webHidden/>
              </w:rPr>
            </w:r>
            <w:r w:rsidR="00D224DD">
              <w:rPr>
                <w:webHidden/>
              </w:rPr>
              <w:fldChar w:fldCharType="separate"/>
            </w:r>
            <w:r w:rsidR="00D224DD">
              <w:rPr>
                <w:webHidden/>
              </w:rPr>
              <w:t>13</w:t>
            </w:r>
            <w:r w:rsidR="00D224DD">
              <w:rPr>
                <w:webHidden/>
              </w:rPr>
              <w:fldChar w:fldCharType="end"/>
            </w:r>
          </w:hyperlink>
        </w:p>
        <w:p w14:paraId="76B34703" w14:textId="72494FC8" w:rsidR="00D224DD" w:rsidRDefault="00953DE0">
          <w:pPr>
            <w:pStyle w:val="TOC2"/>
            <w:rPr>
              <w:rFonts w:asciiTheme="minorHAnsi" w:eastAsiaTheme="minorEastAsia" w:hAnsiTheme="minorHAnsi"/>
              <w:sz w:val="22"/>
              <w:lang w:eastAsia="sl-SI"/>
            </w:rPr>
          </w:pPr>
          <w:hyperlink w:anchor="_Toc81050596" w:history="1">
            <w:r w:rsidR="00D224DD" w:rsidRPr="003B20BF">
              <w:rPr>
                <w:rStyle w:val="Hyperlink"/>
              </w:rPr>
              <w:t>3.1 Bruto domači proizvod – agregati potrošnje</w:t>
            </w:r>
            <w:r w:rsidR="00D224DD">
              <w:rPr>
                <w:webHidden/>
              </w:rPr>
              <w:tab/>
            </w:r>
            <w:r w:rsidR="00D224DD">
              <w:rPr>
                <w:webHidden/>
              </w:rPr>
              <w:fldChar w:fldCharType="begin"/>
            </w:r>
            <w:r w:rsidR="00D224DD">
              <w:rPr>
                <w:webHidden/>
              </w:rPr>
              <w:instrText xml:space="preserve"> PAGEREF _Toc81050596 \h </w:instrText>
            </w:r>
            <w:r w:rsidR="00D224DD">
              <w:rPr>
                <w:webHidden/>
              </w:rPr>
            </w:r>
            <w:r w:rsidR="00D224DD">
              <w:rPr>
                <w:webHidden/>
              </w:rPr>
              <w:fldChar w:fldCharType="separate"/>
            </w:r>
            <w:r w:rsidR="00D224DD">
              <w:rPr>
                <w:webHidden/>
              </w:rPr>
              <w:t>15</w:t>
            </w:r>
            <w:r w:rsidR="00D224DD">
              <w:rPr>
                <w:webHidden/>
              </w:rPr>
              <w:fldChar w:fldCharType="end"/>
            </w:r>
          </w:hyperlink>
        </w:p>
        <w:p w14:paraId="56B82B43" w14:textId="4211F576" w:rsidR="00D224DD" w:rsidRDefault="00953DE0">
          <w:pPr>
            <w:pStyle w:val="TOC2"/>
            <w:rPr>
              <w:rFonts w:asciiTheme="minorHAnsi" w:eastAsiaTheme="minorEastAsia" w:hAnsiTheme="minorHAnsi"/>
              <w:sz w:val="22"/>
              <w:lang w:eastAsia="sl-SI"/>
            </w:rPr>
          </w:pPr>
          <w:hyperlink w:anchor="_Toc81050597" w:history="1">
            <w:r w:rsidR="00D224DD" w:rsidRPr="003B20BF">
              <w:rPr>
                <w:rStyle w:val="Hyperlink"/>
              </w:rPr>
              <w:t>3.2 Dodana vrednost po dejavnostih</w:t>
            </w:r>
            <w:r w:rsidR="00D224DD">
              <w:rPr>
                <w:webHidden/>
              </w:rPr>
              <w:tab/>
            </w:r>
            <w:r w:rsidR="00D224DD">
              <w:rPr>
                <w:webHidden/>
              </w:rPr>
              <w:fldChar w:fldCharType="begin"/>
            </w:r>
            <w:r w:rsidR="00D224DD">
              <w:rPr>
                <w:webHidden/>
              </w:rPr>
              <w:instrText xml:space="preserve"> PAGEREF _Toc81050597 \h </w:instrText>
            </w:r>
            <w:r w:rsidR="00D224DD">
              <w:rPr>
                <w:webHidden/>
              </w:rPr>
            </w:r>
            <w:r w:rsidR="00D224DD">
              <w:rPr>
                <w:webHidden/>
              </w:rPr>
              <w:fldChar w:fldCharType="separate"/>
            </w:r>
            <w:r w:rsidR="00D224DD">
              <w:rPr>
                <w:webHidden/>
              </w:rPr>
              <w:t>24</w:t>
            </w:r>
            <w:r w:rsidR="00D224DD">
              <w:rPr>
                <w:webHidden/>
              </w:rPr>
              <w:fldChar w:fldCharType="end"/>
            </w:r>
          </w:hyperlink>
        </w:p>
        <w:p w14:paraId="72608CC4" w14:textId="65B2D9FC" w:rsidR="00D224DD" w:rsidRDefault="00953DE0">
          <w:pPr>
            <w:pStyle w:val="TOC2"/>
            <w:rPr>
              <w:rFonts w:asciiTheme="minorHAnsi" w:eastAsiaTheme="minorEastAsia" w:hAnsiTheme="minorHAnsi"/>
              <w:sz w:val="22"/>
              <w:lang w:eastAsia="sl-SI"/>
            </w:rPr>
          </w:pPr>
          <w:hyperlink w:anchor="_Toc81050598" w:history="1">
            <w:r w:rsidR="00D224DD" w:rsidRPr="003B20BF">
              <w:rPr>
                <w:rStyle w:val="Hyperlink"/>
              </w:rPr>
              <w:t>3.3 Zaposlenost in brezposelnost</w:t>
            </w:r>
            <w:r w:rsidR="00D224DD">
              <w:rPr>
                <w:webHidden/>
              </w:rPr>
              <w:tab/>
            </w:r>
            <w:r w:rsidR="00D224DD">
              <w:rPr>
                <w:webHidden/>
              </w:rPr>
              <w:fldChar w:fldCharType="begin"/>
            </w:r>
            <w:r w:rsidR="00D224DD">
              <w:rPr>
                <w:webHidden/>
              </w:rPr>
              <w:instrText xml:space="preserve"> PAGEREF _Toc81050598 \h </w:instrText>
            </w:r>
            <w:r w:rsidR="00D224DD">
              <w:rPr>
                <w:webHidden/>
              </w:rPr>
            </w:r>
            <w:r w:rsidR="00D224DD">
              <w:rPr>
                <w:webHidden/>
              </w:rPr>
              <w:fldChar w:fldCharType="separate"/>
            </w:r>
            <w:r w:rsidR="00D224DD">
              <w:rPr>
                <w:webHidden/>
              </w:rPr>
              <w:t>25</w:t>
            </w:r>
            <w:r w:rsidR="00D224DD">
              <w:rPr>
                <w:webHidden/>
              </w:rPr>
              <w:fldChar w:fldCharType="end"/>
            </w:r>
          </w:hyperlink>
        </w:p>
        <w:p w14:paraId="7D053CD3" w14:textId="01E193BA" w:rsidR="00D224DD" w:rsidRDefault="00953DE0">
          <w:pPr>
            <w:pStyle w:val="TOC2"/>
            <w:rPr>
              <w:rFonts w:asciiTheme="minorHAnsi" w:eastAsiaTheme="minorEastAsia" w:hAnsiTheme="minorHAnsi"/>
              <w:sz w:val="22"/>
              <w:lang w:eastAsia="sl-SI"/>
            </w:rPr>
          </w:pPr>
          <w:hyperlink w:anchor="_Toc81050599" w:history="1">
            <w:r w:rsidR="00D224DD" w:rsidRPr="003B20BF">
              <w:rPr>
                <w:rStyle w:val="Hyperlink"/>
                <w:highlight w:val="yellow"/>
              </w:rPr>
              <w:t>3.4 Plače</w:t>
            </w:r>
            <w:r w:rsidR="00D224DD">
              <w:rPr>
                <w:webHidden/>
              </w:rPr>
              <w:tab/>
            </w:r>
            <w:r w:rsidR="00D224DD">
              <w:rPr>
                <w:webHidden/>
              </w:rPr>
              <w:fldChar w:fldCharType="begin"/>
            </w:r>
            <w:r w:rsidR="00D224DD">
              <w:rPr>
                <w:webHidden/>
              </w:rPr>
              <w:instrText xml:space="preserve"> PAGEREF _Toc81050599 \h </w:instrText>
            </w:r>
            <w:r w:rsidR="00D224DD">
              <w:rPr>
                <w:webHidden/>
              </w:rPr>
            </w:r>
            <w:r w:rsidR="00D224DD">
              <w:rPr>
                <w:webHidden/>
              </w:rPr>
              <w:fldChar w:fldCharType="separate"/>
            </w:r>
            <w:r w:rsidR="00D224DD">
              <w:rPr>
                <w:webHidden/>
              </w:rPr>
              <w:t>30</w:t>
            </w:r>
            <w:r w:rsidR="00D224DD">
              <w:rPr>
                <w:webHidden/>
              </w:rPr>
              <w:fldChar w:fldCharType="end"/>
            </w:r>
          </w:hyperlink>
        </w:p>
        <w:p w14:paraId="4CFB7425" w14:textId="1014061C" w:rsidR="00D224DD" w:rsidRDefault="00953DE0">
          <w:pPr>
            <w:pStyle w:val="TOC2"/>
            <w:rPr>
              <w:rFonts w:asciiTheme="minorHAnsi" w:eastAsiaTheme="minorEastAsia" w:hAnsiTheme="minorHAnsi"/>
              <w:sz w:val="22"/>
              <w:lang w:eastAsia="sl-SI"/>
            </w:rPr>
          </w:pPr>
          <w:hyperlink w:anchor="_Toc81050600" w:history="1">
            <w:r w:rsidR="00D224DD" w:rsidRPr="003B20BF">
              <w:rPr>
                <w:rStyle w:val="Hyperlink"/>
              </w:rPr>
              <w:t>3.5 Inflacija</w:t>
            </w:r>
            <w:r w:rsidR="00D224DD">
              <w:rPr>
                <w:webHidden/>
              </w:rPr>
              <w:tab/>
            </w:r>
            <w:r w:rsidR="00D224DD">
              <w:rPr>
                <w:webHidden/>
              </w:rPr>
              <w:fldChar w:fldCharType="begin"/>
            </w:r>
            <w:r w:rsidR="00D224DD">
              <w:rPr>
                <w:webHidden/>
              </w:rPr>
              <w:instrText xml:space="preserve"> PAGEREF _Toc81050600 \h </w:instrText>
            </w:r>
            <w:r w:rsidR="00D224DD">
              <w:rPr>
                <w:webHidden/>
              </w:rPr>
            </w:r>
            <w:r w:rsidR="00D224DD">
              <w:rPr>
                <w:webHidden/>
              </w:rPr>
              <w:fldChar w:fldCharType="separate"/>
            </w:r>
            <w:r w:rsidR="00D224DD">
              <w:rPr>
                <w:webHidden/>
              </w:rPr>
              <w:t>32</w:t>
            </w:r>
            <w:r w:rsidR="00D224DD">
              <w:rPr>
                <w:webHidden/>
              </w:rPr>
              <w:fldChar w:fldCharType="end"/>
            </w:r>
          </w:hyperlink>
        </w:p>
        <w:p w14:paraId="65A39544" w14:textId="011EF2C5" w:rsidR="00D224DD" w:rsidRDefault="00953DE0">
          <w:pPr>
            <w:pStyle w:val="TOC2"/>
            <w:rPr>
              <w:rFonts w:asciiTheme="minorHAnsi" w:eastAsiaTheme="minorEastAsia" w:hAnsiTheme="minorHAnsi"/>
              <w:sz w:val="22"/>
              <w:lang w:eastAsia="sl-SI"/>
            </w:rPr>
          </w:pPr>
          <w:hyperlink w:anchor="_Toc81050601" w:history="1">
            <w:r w:rsidR="00D224DD" w:rsidRPr="003B20BF">
              <w:rPr>
                <w:rStyle w:val="Hyperlink"/>
              </w:rPr>
              <w:t>3.6 Tekoči račun plačilne bilance</w:t>
            </w:r>
            <w:r w:rsidR="00D224DD">
              <w:rPr>
                <w:webHidden/>
              </w:rPr>
              <w:tab/>
            </w:r>
            <w:r w:rsidR="00D224DD">
              <w:rPr>
                <w:webHidden/>
              </w:rPr>
              <w:fldChar w:fldCharType="begin"/>
            </w:r>
            <w:r w:rsidR="00D224DD">
              <w:rPr>
                <w:webHidden/>
              </w:rPr>
              <w:instrText xml:space="preserve"> PAGEREF _Toc81050601 \h </w:instrText>
            </w:r>
            <w:r w:rsidR="00D224DD">
              <w:rPr>
                <w:webHidden/>
              </w:rPr>
            </w:r>
            <w:r w:rsidR="00D224DD">
              <w:rPr>
                <w:webHidden/>
              </w:rPr>
              <w:fldChar w:fldCharType="separate"/>
            </w:r>
            <w:r w:rsidR="00D224DD">
              <w:rPr>
                <w:webHidden/>
              </w:rPr>
              <w:t>33</w:t>
            </w:r>
            <w:r w:rsidR="00D224DD">
              <w:rPr>
                <w:webHidden/>
              </w:rPr>
              <w:fldChar w:fldCharType="end"/>
            </w:r>
          </w:hyperlink>
        </w:p>
        <w:p w14:paraId="4FA24C23" w14:textId="3A750735" w:rsidR="00D224DD" w:rsidRDefault="00953DE0">
          <w:pPr>
            <w:pStyle w:val="TOC1"/>
            <w:rPr>
              <w:rFonts w:asciiTheme="minorHAnsi" w:eastAsiaTheme="minorEastAsia" w:hAnsiTheme="minorHAnsi" w:cstheme="minorBidi"/>
              <w:b w:val="0"/>
              <w:sz w:val="22"/>
              <w:szCs w:val="22"/>
              <w:lang w:eastAsia="sl-SI"/>
            </w:rPr>
          </w:pPr>
          <w:hyperlink w:anchor="_Toc81050602" w:history="1">
            <w:r w:rsidR="00D224DD" w:rsidRPr="003B20BF">
              <w:rPr>
                <w:rStyle w:val="Hyperlink"/>
              </w:rPr>
              <w:t>4</w:t>
            </w:r>
            <w:r w:rsidR="00D224DD">
              <w:rPr>
                <w:rFonts w:asciiTheme="minorHAnsi" w:eastAsiaTheme="minorEastAsia" w:hAnsiTheme="minorHAnsi" w:cstheme="minorBidi"/>
                <w:b w:val="0"/>
                <w:sz w:val="22"/>
                <w:szCs w:val="22"/>
                <w:lang w:eastAsia="sl-SI"/>
              </w:rPr>
              <w:tab/>
            </w:r>
            <w:r w:rsidR="00D224DD" w:rsidRPr="003B20BF">
              <w:rPr>
                <w:rStyle w:val="Hyperlink"/>
              </w:rPr>
              <w:t>Tveganja glede uresničitve napovedi</w:t>
            </w:r>
            <w:r w:rsidR="00D224DD">
              <w:rPr>
                <w:webHidden/>
              </w:rPr>
              <w:tab/>
            </w:r>
            <w:r w:rsidR="00D224DD">
              <w:rPr>
                <w:webHidden/>
              </w:rPr>
              <w:fldChar w:fldCharType="begin"/>
            </w:r>
            <w:r w:rsidR="00D224DD">
              <w:rPr>
                <w:webHidden/>
              </w:rPr>
              <w:instrText xml:space="preserve"> PAGEREF _Toc81050602 \h </w:instrText>
            </w:r>
            <w:r w:rsidR="00D224DD">
              <w:rPr>
                <w:webHidden/>
              </w:rPr>
            </w:r>
            <w:r w:rsidR="00D224DD">
              <w:rPr>
                <w:webHidden/>
              </w:rPr>
              <w:fldChar w:fldCharType="separate"/>
            </w:r>
            <w:r w:rsidR="00D224DD">
              <w:rPr>
                <w:webHidden/>
              </w:rPr>
              <w:t>35</w:t>
            </w:r>
            <w:r w:rsidR="00D224DD">
              <w:rPr>
                <w:webHidden/>
              </w:rPr>
              <w:fldChar w:fldCharType="end"/>
            </w:r>
          </w:hyperlink>
        </w:p>
        <w:p w14:paraId="204FACEA" w14:textId="65798556" w:rsidR="00D224DD" w:rsidRDefault="00953DE0">
          <w:pPr>
            <w:pStyle w:val="TOC1"/>
            <w:rPr>
              <w:rFonts w:asciiTheme="minorHAnsi" w:eastAsiaTheme="minorEastAsia" w:hAnsiTheme="minorHAnsi" w:cstheme="minorBidi"/>
              <w:b w:val="0"/>
              <w:sz w:val="22"/>
              <w:szCs w:val="22"/>
              <w:lang w:eastAsia="sl-SI"/>
            </w:rPr>
          </w:pPr>
          <w:hyperlink w:anchor="_Toc81050603" w:history="1">
            <w:r w:rsidR="00D224DD" w:rsidRPr="003B20BF">
              <w:rPr>
                <w:rStyle w:val="Hyperlink"/>
              </w:rPr>
              <w:t>5</w:t>
            </w:r>
            <w:r w:rsidR="00D224DD">
              <w:rPr>
                <w:rFonts w:asciiTheme="minorHAnsi" w:eastAsiaTheme="minorEastAsia" w:hAnsiTheme="minorHAnsi" w:cstheme="minorBidi"/>
                <w:b w:val="0"/>
                <w:sz w:val="22"/>
                <w:szCs w:val="22"/>
                <w:lang w:eastAsia="sl-SI"/>
              </w:rPr>
              <w:tab/>
            </w:r>
            <w:r w:rsidR="00D224DD" w:rsidRPr="003B20BF">
              <w:rPr>
                <w:rStyle w:val="Hyperlink"/>
              </w:rPr>
              <w:t>Proizvodna vrzel in rast potencialnega BDP</w:t>
            </w:r>
            <w:r w:rsidR="00D224DD">
              <w:rPr>
                <w:webHidden/>
              </w:rPr>
              <w:tab/>
            </w:r>
            <w:r w:rsidR="00D224DD">
              <w:rPr>
                <w:webHidden/>
              </w:rPr>
              <w:fldChar w:fldCharType="begin"/>
            </w:r>
            <w:r w:rsidR="00D224DD">
              <w:rPr>
                <w:webHidden/>
              </w:rPr>
              <w:instrText xml:space="preserve"> PAGEREF _Toc81050603 \h </w:instrText>
            </w:r>
            <w:r w:rsidR="00D224DD">
              <w:rPr>
                <w:webHidden/>
              </w:rPr>
            </w:r>
            <w:r w:rsidR="00D224DD">
              <w:rPr>
                <w:webHidden/>
              </w:rPr>
              <w:fldChar w:fldCharType="separate"/>
            </w:r>
            <w:r w:rsidR="00D224DD">
              <w:rPr>
                <w:webHidden/>
              </w:rPr>
              <w:t>37</w:t>
            </w:r>
            <w:r w:rsidR="00D224DD">
              <w:rPr>
                <w:webHidden/>
              </w:rPr>
              <w:fldChar w:fldCharType="end"/>
            </w:r>
          </w:hyperlink>
        </w:p>
        <w:p w14:paraId="2BA94A73" w14:textId="401CB30A" w:rsidR="00D224DD" w:rsidRDefault="00953DE0">
          <w:pPr>
            <w:pStyle w:val="TOC1"/>
            <w:rPr>
              <w:rFonts w:asciiTheme="minorHAnsi" w:eastAsiaTheme="minorEastAsia" w:hAnsiTheme="minorHAnsi" w:cstheme="minorBidi"/>
              <w:b w:val="0"/>
              <w:sz w:val="22"/>
              <w:szCs w:val="22"/>
              <w:lang w:eastAsia="sl-SI"/>
            </w:rPr>
          </w:pPr>
          <w:hyperlink w:anchor="_Toc81050604" w:history="1">
            <w:r w:rsidR="00D224DD" w:rsidRPr="003B20BF">
              <w:rPr>
                <w:rStyle w:val="Hyperlink"/>
              </w:rPr>
              <w:t>Seznam kratic</w:t>
            </w:r>
            <w:r w:rsidR="00D224DD">
              <w:rPr>
                <w:webHidden/>
              </w:rPr>
              <w:tab/>
            </w:r>
            <w:r w:rsidR="00D224DD">
              <w:rPr>
                <w:webHidden/>
              </w:rPr>
              <w:fldChar w:fldCharType="begin"/>
            </w:r>
            <w:r w:rsidR="00D224DD">
              <w:rPr>
                <w:webHidden/>
              </w:rPr>
              <w:instrText xml:space="preserve"> PAGEREF _Toc81050604 \h </w:instrText>
            </w:r>
            <w:r w:rsidR="00D224DD">
              <w:rPr>
                <w:webHidden/>
              </w:rPr>
            </w:r>
            <w:r w:rsidR="00D224DD">
              <w:rPr>
                <w:webHidden/>
              </w:rPr>
              <w:fldChar w:fldCharType="separate"/>
            </w:r>
            <w:r w:rsidR="00D224DD">
              <w:rPr>
                <w:webHidden/>
              </w:rPr>
              <w:t>39</w:t>
            </w:r>
            <w:r w:rsidR="00D224DD">
              <w:rPr>
                <w:webHidden/>
              </w:rPr>
              <w:fldChar w:fldCharType="end"/>
            </w:r>
          </w:hyperlink>
        </w:p>
        <w:p w14:paraId="3A5F685A" w14:textId="465C557B" w:rsidR="008441E7" w:rsidRPr="00767446" w:rsidRDefault="008441E7">
          <w:pPr>
            <w:rPr>
              <w:b/>
              <w:bCs/>
            </w:rPr>
          </w:pPr>
          <w:r w:rsidRPr="00767446">
            <w:rPr>
              <w:b/>
              <w:bCs/>
            </w:rPr>
            <w:fldChar w:fldCharType="end"/>
          </w:r>
        </w:p>
      </w:sdtContent>
    </w:sdt>
    <w:p w14:paraId="37B0F177" w14:textId="77777777" w:rsidR="008441E7" w:rsidRPr="00767446" w:rsidRDefault="008441E7" w:rsidP="008441E7"/>
    <w:p w14:paraId="2EA8CB3F" w14:textId="77777777" w:rsidR="008441E7" w:rsidRPr="00767446" w:rsidRDefault="008441E7">
      <w:pPr>
        <w:spacing w:after="0" w:line="240" w:lineRule="auto"/>
        <w:rPr>
          <w:b/>
          <w:color w:val="9E001A" w:themeColor="accent1"/>
          <w:sz w:val="28"/>
          <w:szCs w:val="28"/>
        </w:rPr>
      </w:pPr>
      <w:r w:rsidRPr="00767446">
        <w:br w:type="page"/>
      </w:r>
    </w:p>
    <w:p w14:paraId="590E23F0" w14:textId="1CCB9B95" w:rsidR="00EA6C0F" w:rsidRDefault="00EA6C0F" w:rsidP="008441E7">
      <w:pPr>
        <w:pStyle w:val="Heading1"/>
        <w:numPr>
          <w:ilvl w:val="0"/>
          <w:numId w:val="0"/>
        </w:numPr>
      </w:pPr>
      <w:bookmarkStart w:id="5" w:name="_Toc81050592"/>
      <w:bookmarkStart w:id="6" w:name="_Hlk50734146"/>
      <w:bookmarkStart w:id="7" w:name="_Hlk58580806"/>
      <w:bookmarkStart w:id="8" w:name="_Hlk66463077"/>
      <w:bookmarkStart w:id="9" w:name="_Hlk50732469"/>
      <w:r w:rsidRPr="00767446">
        <w:lastRenderedPageBreak/>
        <w:t>Povzetek</w:t>
      </w:r>
      <w:bookmarkEnd w:id="5"/>
      <w:bookmarkEnd w:id="4"/>
      <w:r w:rsidRPr="00767446">
        <w:t xml:space="preserve"> </w:t>
      </w:r>
    </w:p>
    <w:p w14:paraId="4A1C74BA" w14:textId="77777777" w:rsidR="00743F97" w:rsidRPr="00743F97" w:rsidRDefault="00743F97" w:rsidP="00743F97">
      <w:pPr>
        <w:pStyle w:val="BesediloNAPOVED"/>
      </w:pPr>
    </w:p>
    <w:bookmarkEnd w:id="6"/>
    <w:p w14:paraId="4ABF306C" w14:textId="2A64A8C9" w:rsidR="009147E3" w:rsidRDefault="00A45F01" w:rsidP="00A45F01">
      <w:pPr>
        <w:pStyle w:val="BesediloNAPOVED"/>
        <w:rPr>
          <w:rFonts w:cstheme="minorHAnsi"/>
          <w:szCs w:val="20"/>
        </w:rPr>
      </w:pPr>
      <w:r w:rsidRPr="00A45F01">
        <w:rPr>
          <w:rFonts w:cstheme="minorHAnsi"/>
          <w:b/>
          <w:szCs w:val="20"/>
        </w:rPr>
        <w:t xml:space="preserve">Pandemija COVID-19 v kombinaciji s strogimi </w:t>
      </w:r>
      <w:r w:rsidR="00BA6504">
        <w:rPr>
          <w:rFonts w:cstheme="minorHAnsi"/>
          <w:b/>
          <w:szCs w:val="20"/>
        </w:rPr>
        <w:t xml:space="preserve">omejitvenimi </w:t>
      </w:r>
      <w:r w:rsidRPr="00A45F01">
        <w:rPr>
          <w:rFonts w:cstheme="minorHAnsi"/>
          <w:b/>
          <w:szCs w:val="20"/>
        </w:rPr>
        <w:t xml:space="preserve">ukrepi je </w:t>
      </w:r>
      <w:r w:rsidR="00AC7BA1">
        <w:rPr>
          <w:rFonts w:cstheme="minorHAnsi"/>
          <w:b/>
          <w:szCs w:val="20"/>
        </w:rPr>
        <w:t>p</w:t>
      </w:r>
      <w:r w:rsidRPr="00A45F01">
        <w:rPr>
          <w:rFonts w:cstheme="minorHAnsi"/>
          <w:b/>
          <w:szCs w:val="20"/>
        </w:rPr>
        <w:t>rizadela gospodarsko aktivnost</w:t>
      </w:r>
      <w:r w:rsidR="00AC7BA1">
        <w:rPr>
          <w:rFonts w:cstheme="minorHAnsi"/>
          <w:b/>
          <w:szCs w:val="20"/>
        </w:rPr>
        <w:t xml:space="preserve">. Sprejeti ukrepi za </w:t>
      </w:r>
      <w:r w:rsidR="00AC7BA1" w:rsidRPr="004553F6">
        <w:rPr>
          <w:rFonts w:cstheme="minorHAnsi"/>
          <w:b/>
          <w:szCs w:val="20"/>
        </w:rPr>
        <w:t>omejitev njenih negativnih posledic za prebivalstvo in gospodarstvo</w:t>
      </w:r>
      <w:r w:rsidR="00AC7BA1">
        <w:rPr>
          <w:rFonts w:cstheme="minorHAnsi"/>
          <w:b/>
          <w:szCs w:val="20"/>
        </w:rPr>
        <w:t xml:space="preserve"> pa so preprečili večji padec aktivnosti in omogočili njeno hitrejše okrevanje</w:t>
      </w:r>
      <w:r w:rsidR="00D25AA7">
        <w:rPr>
          <w:rFonts w:cstheme="minorHAnsi"/>
          <w:b/>
          <w:szCs w:val="20"/>
        </w:rPr>
        <w:t xml:space="preserve">. </w:t>
      </w:r>
      <w:bookmarkStart w:id="10" w:name="_Hlk66788585"/>
      <w:r w:rsidRPr="00370E88">
        <w:rPr>
          <w:rFonts w:cstheme="minorHAnsi"/>
          <w:bCs/>
          <w:szCs w:val="20"/>
        </w:rPr>
        <w:t xml:space="preserve">Strogi ukrepi za zajezitev širjenja </w:t>
      </w:r>
      <w:proofErr w:type="spellStart"/>
      <w:r w:rsidRPr="00370E88">
        <w:rPr>
          <w:rFonts w:cstheme="minorHAnsi"/>
          <w:bCs/>
          <w:szCs w:val="20"/>
        </w:rPr>
        <w:t>koronavirusa</w:t>
      </w:r>
      <w:proofErr w:type="spellEnd"/>
      <w:r w:rsidRPr="00370E88">
        <w:rPr>
          <w:rFonts w:cstheme="minorHAnsi"/>
          <w:bCs/>
          <w:szCs w:val="20"/>
        </w:rPr>
        <w:t xml:space="preserve"> so lani na globalni ravni in v Sloveniji povzročili močan padec gospodarske aktivnosti, </w:t>
      </w:r>
      <w:r w:rsidR="00AC7BA1">
        <w:rPr>
          <w:rFonts w:cstheme="minorHAnsi"/>
          <w:bCs/>
          <w:szCs w:val="20"/>
        </w:rPr>
        <w:t xml:space="preserve">zlasti v drugem četrtletju. V nadaljnjih valih epidemije (jesensko-zimskem drugem valu in letošnjem pomladanskem valu), pa je bil vpliv na aktivnost manjši zaradi postopne prilagoditve </w:t>
      </w:r>
      <w:r w:rsidR="00AC7BA1" w:rsidRPr="00370E88">
        <w:rPr>
          <w:rFonts w:cstheme="minorHAnsi"/>
          <w:bCs/>
          <w:szCs w:val="20"/>
        </w:rPr>
        <w:t>podjetij in potrošnikov novim razmeram</w:t>
      </w:r>
      <w:r w:rsidR="00AC7BA1">
        <w:rPr>
          <w:rFonts w:cstheme="minorHAnsi"/>
          <w:bCs/>
          <w:szCs w:val="20"/>
        </w:rPr>
        <w:t xml:space="preserve"> in omejitvenih ukrepov usmerjenih na storitvene dejavnosti, medtem ko so dejavnosti vezane na mednarodno menjavo (predelovalne dejavnosti in promet) lahko nadaljevale svoje okrevanje. </w:t>
      </w:r>
      <w:r w:rsidR="00652B40">
        <w:rPr>
          <w:rFonts w:cstheme="minorHAnsi"/>
          <w:bCs/>
          <w:szCs w:val="20"/>
        </w:rPr>
        <w:t xml:space="preserve">Tekom letošnjega leta so z izboljšanjem epidemiološke situacije začele </w:t>
      </w:r>
      <w:r w:rsidR="002E084C">
        <w:rPr>
          <w:rFonts w:cstheme="minorHAnsi"/>
          <w:bCs/>
          <w:szCs w:val="20"/>
        </w:rPr>
        <w:t xml:space="preserve">vidneje </w:t>
      </w:r>
      <w:r w:rsidR="00652B40">
        <w:rPr>
          <w:rFonts w:cstheme="minorHAnsi"/>
          <w:bCs/>
          <w:szCs w:val="20"/>
        </w:rPr>
        <w:t>okrevati tudi storitve</w:t>
      </w:r>
      <w:r w:rsidR="00D25AA7">
        <w:rPr>
          <w:rFonts w:cstheme="minorHAnsi"/>
          <w:bCs/>
          <w:szCs w:val="20"/>
        </w:rPr>
        <w:t xml:space="preserve">. </w:t>
      </w:r>
      <w:bookmarkStart w:id="11" w:name="_Hlk66788740"/>
      <w:bookmarkEnd w:id="10"/>
      <w:r w:rsidRPr="00D25AA7">
        <w:t xml:space="preserve">Po izbruhu epidemije je bila sprejeta vrsta ukrepov za omejitev njenih negativnih posledic za prebivalstvo in gospodarstvo ter za njegovo hitrejše okrevanje, tako na nacionalni ravni kot v okviru ECB in Evropske komisije. </w:t>
      </w:r>
      <w:r w:rsidR="00D25AA7" w:rsidRPr="00D25AA7">
        <w:t xml:space="preserve">Ti </w:t>
      </w:r>
      <w:r w:rsidRPr="00D25AA7">
        <w:t>so</w:t>
      </w:r>
      <w:r w:rsidRPr="004553F6">
        <w:rPr>
          <w:rFonts w:cstheme="minorHAnsi"/>
          <w:szCs w:val="20"/>
        </w:rPr>
        <w:t xml:space="preserve"> občutno ublažili izpad prihodkov gospodarstva in prebivalstva zaradi pandemije ter podjetjem nudili likvidnost in podporo pri soočanju z </w:t>
      </w:r>
      <w:r w:rsidRPr="00922556">
        <w:rPr>
          <w:rFonts w:cstheme="minorHAnsi"/>
          <w:szCs w:val="20"/>
        </w:rPr>
        <w:t xml:space="preserve">negativnimi posledicami. S tem so znatno ublažili lansko krčenje gospodarske aktivnosti in tudi preprečili propad nekaterih najbolj izpostavljenih dejavnosti. </w:t>
      </w:r>
      <w:bookmarkStart w:id="12" w:name="_Hlk66789479"/>
      <w:r w:rsidRPr="00922556">
        <w:rPr>
          <w:rFonts w:cstheme="minorHAnsi"/>
          <w:szCs w:val="20"/>
        </w:rPr>
        <w:t xml:space="preserve">Vpliv </w:t>
      </w:r>
      <w:proofErr w:type="spellStart"/>
      <w:r w:rsidRPr="00922556">
        <w:rPr>
          <w:rFonts w:cstheme="minorHAnsi"/>
          <w:szCs w:val="20"/>
        </w:rPr>
        <w:t>protikoronskih</w:t>
      </w:r>
      <w:proofErr w:type="spellEnd"/>
      <w:r w:rsidRPr="00922556">
        <w:rPr>
          <w:rFonts w:cstheme="minorHAnsi"/>
          <w:szCs w:val="20"/>
        </w:rPr>
        <w:t xml:space="preserve"> ukrepov </w:t>
      </w:r>
      <w:r w:rsidR="004553F6" w:rsidRPr="00922556">
        <w:rPr>
          <w:rFonts w:cstheme="minorHAnsi"/>
          <w:szCs w:val="20"/>
        </w:rPr>
        <w:t>je</w:t>
      </w:r>
      <w:r w:rsidRPr="00922556">
        <w:rPr>
          <w:rFonts w:cstheme="minorHAnsi"/>
          <w:szCs w:val="20"/>
        </w:rPr>
        <w:t xml:space="preserve"> ključen tudi letos</w:t>
      </w:r>
      <w:r w:rsidR="009147E3" w:rsidRPr="00922556">
        <w:rPr>
          <w:rFonts w:cstheme="minorHAnsi"/>
          <w:szCs w:val="20"/>
        </w:rPr>
        <w:t xml:space="preserve">, saj pomagajo ohranjati zlasti </w:t>
      </w:r>
      <w:r w:rsidR="00922556" w:rsidRPr="00922556">
        <w:rPr>
          <w:rFonts w:cstheme="minorHAnsi"/>
          <w:szCs w:val="20"/>
        </w:rPr>
        <w:t xml:space="preserve">nekatere </w:t>
      </w:r>
      <w:r w:rsidR="009147E3" w:rsidRPr="00922556">
        <w:rPr>
          <w:rFonts w:cstheme="minorHAnsi"/>
          <w:szCs w:val="20"/>
        </w:rPr>
        <w:t>storitven</w:t>
      </w:r>
      <w:r w:rsidR="00922556" w:rsidRPr="00922556">
        <w:rPr>
          <w:rFonts w:cstheme="minorHAnsi"/>
          <w:szCs w:val="20"/>
        </w:rPr>
        <w:t>e</w:t>
      </w:r>
      <w:r w:rsidR="009147E3" w:rsidRPr="00922556">
        <w:rPr>
          <w:rFonts w:cstheme="minorHAnsi"/>
          <w:szCs w:val="20"/>
        </w:rPr>
        <w:t xml:space="preserve"> dejavnosti</w:t>
      </w:r>
      <w:r w:rsidR="00922556" w:rsidRPr="00922556">
        <w:rPr>
          <w:rFonts w:cstheme="minorHAnsi"/>
          <w:szCs w:val="20"/>
        </w:rPr>
        <w:t xml:space="preserve">, ki zaradi določenih omejitev, ki </w:t>
      </w:r>
      <w:r w:rsidR="009147E3" w:rsidRPr="00922556">
        <w:rPr>
          <w:rFonts w:cstheme="minorHAnsi"/>
          <w:szCs w:val="20"/>
        </w:rPr>
        <w:t xml:space="preserve">ostajajo v veljavi zaradi prisotnosti virusa, </w:t>
      </w:r>
      <w:r w:rsidR="00922556" w:rsidRPr="00922556">
        <w:rPr>
          <w:rFonts w:cstheme="minorHAnsi"/>
          <w:szCs w:val="20"/>
        </w:rPr>
        <w:t>še ne morejo normalno poslovati.</w:t>
      </w:r>
      <w:r w:rsidR="00922556">
        <w:rPr>
          <w:rFonts w:cstheme="minorHAnsi"/>
          <w:szCs w:val="20"/>
        </w:rPr>
        <w:t xml:space="preserve"> </w:t>
      </w:r>
      <w:r w:rsidR="00AE5714">
        <w:rPr>
          <w:rFonts w:cstheme="minorHAnsi"/>
          <w:szCs w:val="20"/>
        </w:rPr>
        <w:t xml:space="preserve">Hkrati pa lahko podjetja, ki ponovno poslujejo brez omejitev, hitro okrevajo. </w:t>
      </w:r>
      <w:r w:rsidR="009147E3">
        <w:rPr>
          <w:rFonts w:cstheme="minorHAnsi"/>
          <w:szCs w:val="20"/>
        </w:rPr>
        <w:t xml:space="preserve"> </w:t>
      </w:r>
    </w:p>
    <w:bookmarkEnd w:id="11"/>
    <w:bookmarkEnd w:id="12"/>
    <w:p w14:paraId="2FBA9137" w14:textId="77777777" w:rsidR="00A45F01" w:rsidRPr="00A45F01" w:rsidRDefault="00A45F01" w:rsidP="00A45F01">
      <w:pPr>
        <w:pStyle w:val="BesediloNAPOVED"/>
        <w:rPr>
          <w:rFonts w:cstheme="minorHAnsi"/>
          <w:b/>
          <w:bCs/>
          <w:iCs/>
          <w:szCs w:val="20"/>
        </w:rPr>
      </w:pPr>
    </w:p>
    <w:p w14:paraId="78C87DF5" w14:textId="49543458" w:rsidR="00A45F01" w:rsidRDefault="00C5590A" w:rsidP="00A45F01">
      <w:pPr>
        <w:pStyle w:val="BesediloNAPOVED"/>
        <w:rPr>
          <w:rFonts w:cstheme="minorHAnsi"/>
          <w:szCs w:val="20"/>
          <w:highlight w:val="yellow"/>
        </w:rPr>
      </w:pPr>
      <w:r w:rsidRPr="002957EE">
        <w:rPr>
          <w:rFonts w:cstheme="minorHAnsi"/>
          <w:b/>
          <w:szCs w:val="20"/>
        </w:rPr>
        <w:t>Gospodarska aktivnost v evrskem območju je v prvi polovici leta okrevala nad pričakovanji</w:t>
      </w:r>
      <w:r w:rsidR="00887913">
        <w:rPr>
          <w:rFonts w:cstheme="minorHAnsi"/>
          <w:b/>
          <w:szCs w:val="20"/>
        </w:rPr>
        <w:t xml:space="preserve"> </w:t>
      </w:r>
      <w:r w:rsidR="00887913" w:rsidRPr="00887913">
        <w:rPr>
          <w:rFonts w:cstheme="minorHAnsi"/>
          <w:b/>
          <w:szCs w:val="20"/>
          <w:highlight w:val="yellow"/>
        </w:rPr>
        <w:t>(8</w:t>
      </w:r>
      <w:r w:rsidR="00887913" w:rsidRPr="002F3196">
        <w:rPr>
          <w:bCs/>
        </w:rPr>
        <w:t> </w:t>
      </w:r>
      <w:r w:rsidR="00887913">
        <w:rPr>
          <w:rFonts w:cstheme="minorHAnsi"/>
          <w:b/>
          <w:szCs w:val="20"/>
        </w:rPr>
        <w:t>% medletno)</w:t>
      </w:r>
      <w:r w:rsidRPr="002957EE">
        <w:rPr>
          <w:rFonts w:cstheme="minorHAnsi"/>
          <w:b/>
          <w:szCs w:val="20"/>
        </w:rPr>
        <w:t xml:space="preserve">, v tretjem četrtletju naj bi se rast še okrepila, </w:t>
      </w:r>
      <w:r>
        <w:rPr>
          <w:rFonts w:cstheme="minorHAnsi"/>
          <w:b/>
          <w:szCs w:val="20"/>
          <w:highlight w:val="yellow"/>
        </w:rPr>
        <w:t xml:space="preserve">v zadnjem pa malo umirila. </w:t>
      </w:r>
      <w:r w:rsidRPr="00E868F8">
        <w:rPr>
          <w:bCs/>
        </w:rPr>
        <w:t>Gospodars</w:t>
      </w:r>
      <w:r>
        <w:rPr>
          <w:bCs/>
        </w:rPr>
        <w:t>ka aktivnost</w:t>
      </w:r>
      <w:r w:rsidRPr="00E868F8">
        <w:rPr>
          <w:bCs/>
        </w:rPr>
        <w:t xml:space="preserve"> evrskega območja </w:t>
      </w:r>
      <w:r>
        <w:rPr>
          <w:bCs/>
        </w:rPr>
        <w:t xml:space="preserve">se </w:t>
      </w:r>
      <w:r>
        <w:t xml:space="preserve">je po zaostrovanju in podaljšanju zajezitvenih ukrepov od lanske jeseni </w:t>
      </w:r>
      <w:r w:rsidRPr="00E868F8">
        <w:rPr>
          <w:bCs/>
        </w:rPr>
        <w:t xml:space="preserve">v </w:t>
      </w:r>
      <w:r>
        <w:rPr>
          <w:bCs/>
        </w:rPr>
        <w:t>prvem letošnjem</w:t>
      </w:r>
      <w:r w:rsidRPr="00E868F8">
        <w:rPr>
          <w:bCs/>
        </w:rPr>
        <w:t xml:space="preserve"> četrtletju ponovno </w:t>
      </w:r>
      <w:r>
        <w:rPr>
          <w:bCs/>
        </w:rPr>
        <w:t xml:space="preserve">nekoliko </w:t>
      </w:r>
      <w:r w:rsidRPr="00E868F8">
        <w:rPr>
          <w:bCs/>
        </w:rPr>
        <w:t>skrčil</w:t>
      </w:r>
      <w:r>
        <w:rPr>
          <w:bCs/>
        </w:rPr>
        <w:t>a,</w:t>
      </w:r>
      <w:r w:rsidRPr="00C877E2">
        <w:rPr>
          <w:bCs/>
        </w:rPr>
        <w:t xml:space="preserve"> </w:t>
      </w:r>
      <w:r>
        <w:rPr>
          <w:bCs/>
        </w:rPr>
        <w:t>nato pa v drugem ob postopnem sproščanju zajezitvenih ukrepov okrevala hitreje od napovedi mednarodnih institucij. Podjetja in potrošniki so se omejitvam pandemičnega okolja namreč prilagodili bolje od pričakovanj, pospešena aktivnost svetovnega gospodarstva in trgovine ter učinkoviti ukrepi podpornih politik pa so prispevali dodatni zagon.</w:t>
      </w:r>
      <w:r w:rsidRPr="00C877E2">
        <w:rPr>
          <w:bCs/>
        </w:rPr>
        <w:t xml:space="preserve"> </w:t>
      </w:r>
      <w:r w:rsidRPr="00E868F8">
        <w:rPr>
          <w:bCs/>
        </w:rPr>
        <w:t>Glede na razpoložljive gospodarske kazalnike aktivnosti in razpoloženja</w:t>
      </w:r>
      <w:r>
        <w:rPr>
          <w:bCs/>
        </w:rPr>
        <w:t xml:space="preserve"> se bo gospodarska rast</w:t>
      </w:r>
      <w:r w:rsidRPr="00E868F8">
        <w:rPr>
          <w:bCs/>
        </w:rPr>
        <w:t xml:space="preserve"> v evrskem območju v </w:t>
      </w:r>
      <w:r>
        <w:rPr>
          <w:bCs/>
        </w:rPr>
        <w:t>tretjem</w:t>
      </w:r>
      <w:r w:rsidRPr="00E868F8">
        <w:rPr>
          <w:bCs/>
        </w:rPr>
        <w:t xml:space="preserve"> četrtletju </w:t>
      </w:r>
      <w:r>
        <w:rPr>
          <w:bCs/>
        </w:rPr>
        <w:t xml:space="preserve">ob večji </w:t>
      </w:r>
      <w:proofErr w:type="spellStart"/>
      <w:r>
        <w:rPr>
          <w:bCs/>
        </w:rPr>
        <w:t>precepljenosti</w:t>
      </w:r>
      <w:proofErr w:type="spellEnd"/>
      <w:r>
        <w:rPr>
          <w:bCs/>
        </w:rPr>
        <w:t xml:space="preserve"> še okrepila, v zadnjem pa ob ponovnem poslabšanju epidemiološke slike malo umirila. G</w:t>
      </w:r>
      <w:r w:rsidRPr="00D23C96">
        <w:rPr>
          <w:bCs/>
        </w:rPr>
        <w:t xml:space="preserve">ospodarski subjekti </w:t>
      </w:r>
      <w:r>
        <w:rPr>
          <w:bCs/>
        </w:rPr>
        <w:t xml:space="preserve">se bodo namreč </w:t>
      </w:r>
      <w:r w:rsidRPr="00D23C96">
        <w:rPr>
          <w:bCs/>
        </w:rPr>
        <w:t>še naprej prilagajali zajezitvenim ukrepom, kar bo postopoma zmanjševalo vpliv omejitev na gospodarsko aktivnost</w:t>
      </w:r>
      <w:r>
        <w:rPr>
          <w:bCs/>
        </w:rPr>
        <w:t xml:space="preserve">. </w:t>
      </w:r>
      <w:r w:rsidRPr="00D23C96">
        <w:rPr>
          <w:bCs/>
        </w:rPr>
        <w:t>BDP evrskega območja naj bi po lanskem upadu</w:t>
      </w:r>
      <w:r>
        <w:rPr>
          <w:bCs/>
        </w:rPr>
        <w:t xml:space="preserve"> letos</w:t>
      </w:r>
      <w:r w:rsidRPr="00D23C96">
        <w:rPr>
          <w:bCs/>
        </w:rPr>
        <w:t xml:space="preserve"> okreval s </w:t>
      </w:r>
      <w:r>
        <w:rPr>
          <w:bCs/>
        </w:rPr>
        <w:t>5</w:t>
      </w:r>
      <w:r w:rsidRPr="00D23C96">
        <w:rPr>
          <w:bCs/>
        </w:rPr>
        <w:t>-odstotno rastjo</w:t>
      </w:r>
      <w:r>
        <w:rPr>
          <w:bCs/>
        </w:rPr>
        <w:t xml:space="preserve">, naslednje leto pa naj bi bila rast 4,3 %, s čimer naj bi </w:t>
      </w:r>
      <w:proofErr w:type="spellStart"/>
      <w:r>
        <w:rPr>
          <w:bCs/>
        </w:rPr>
        <w:t>p</w:t>
      </w:r>
      <w:r w:rsidRPr="00D23C96">
        <w:rPr>
          <w:bCs/>
        </w:rPr>
        <w:t>redkrizno</w:t>
      </w:r>
      <w:proofErr w:type="spellEnd"/>
      <w:r w:rsidRPr="00D23C96">
        <w:rPr>
          <w:bCs/>
        </w:rPr>
        <w:t xml:space="preserve"> raven dosegel </w:t>
      </w:r>
      <w:r>
        <w:rPr>
          <w:bCs/>
        </w:rPr>
        <w:t>v zadnjem letošnjem četrtletju</w:t>
      </w:r>
      <w:r w:rsidRPr="00D23C96">
        <w:rPr>
          <w:bCs/>
        </w:rPr>
        <w:t>.</w:t>
      </w:r>
      <w:r>
        <w:rPr>
          <w:bCs/>
        </w:rPr>
        <w:t xml:space="preserve"> </w:t>
      </w:r>
      <w:r w:rsidRPr="00D23C96">
        <w:rPr>
          <w:bCs/>
        </w:rPr>
        <w:t xml:space="preserve">Gospodarski učinki pandemije so sicer v državah članicah evrskega območja zelo neenakomerni in tudi hitrost okrevanja se med njimi </w:t>
      </w:r>
      <w:r>
        <w:rPr>
          <w:bCs/>
        </w:rPr>
        <w:t>precej</w:t>
      </w:r>
      <w:r w:rsidRPr="00D23C96">
        <w:rPr>
          <w:bCs/>
        </w:rPr>
        <w:t xml:space="preserve"> razlik</w:t>
      </w:r>
      <w:r>
        <w:rPr>
          <w:bCs/>
        </w:rPr>
        <w:t>uje, kar je</w:t>
      </w:r>
      <w:r w:rsidRPr="00D23C96">
        <w:rPr>
          <w:bCs/>
        </w:rPr>
        <w:t xml:space="preserve"> </w:t>
      </w:r>
      <w:r>
        <w:rPr>
          <w:bCs/>
        </w:rPr>
        <w:t xml:space="preserve">posledica </w:t>
      </w:r>
      <w:r w:rsidRPr="00D23C96">
        <w:rPr>
          <w:bCs/>
        </w:rPr>
        <w:t xml:space="preserve">poteka epidemije ter razlik v strukturi </w:t>
      </w:r>
      <w:r w:rsidRPr="005F03BE">
        <w:rPr>
          <w:bCs/>
        </w:rPr>
        <w:t xml:space="preserve">gospodarstev. </w:t>
      </w:r>
      <w:r w:rsidR="00BA3FAE" w:rsidRPr="006E4A43">
        <w:rPr>
          <w:rFonts w:cstheme="minorHAnsi"/>
          <w:szCs w:val="20"/>
          <w:highlight w:val="yellow"/>
        </w:rPr>
        <w:t>Okrevanje evrskega območja bodo še naprej podpiral</w:t>
      </w:r>
      <w:r w:rsidR="00BA3FAE">
        <w:rPr>
          <w:rFonts w:cstheme="minorHAnsi"/>
          <w:szCs w:val="20"/>
          <w:highlight w:val="yellow"/>
        </w:rPr>
        <w:t xml:space="preserve">a podporna fiskalna politika, </w:t>
      </w:r>
      <w:r w:rsidR="00BA3FAE" w:rsidRPr="006E4A43">
        <w:rPr>
          <w:rFonts w:cstheme="minorHAnsi"/>
          <w:szCs w:val="20"/>
          <w:highlight w:val="yellow"/>
        </w:rPr>
        <w:t>povečane javne naložbe ter spodbujevalne denarne politike</w:t>
      </w:r>
      <w:r w:rsidR="00BA3FAE">
        <w:rPr>
          <w:rFonts w:cstheme="minorHAnsi"/>
          <w:szCs w:val="20"/>
          <w:highlight w:val="yellow"/>
        </w:rPr>
        <w:t>.</w:t>
      </w:r>
    </w:p>
    <w:p w14:paraId="30D60067" w14:textId="77777777" w:rsidR="00BA3FAE" w:rsidRDefault="00BA3FAE" w:rsidP="00A45F01">
      <w:pPr>
        <w:pStyle w:val="BesediloNAPOVED"/>
        <w:rPr>
          <w:rFonts w:cstheme="minorHAnsi"/>
          <w:b/>
          <w:szCs w:val="20"/>
        </w:rPr>
      </w:pPr>
    </w:p>
    <w:p w14:paraId="6D9590A7" w14:textId="3AD7335B" w:rsidR="00450C79" w:rsidRPr="004966F7" w:rsidRDefault="00450C79" w:rsidP="00450C79">
      <w:pPr>
        <w:pStyle w:val="BesediloNAPOVED"/>
        <w:rPr>
          <w:rFonts w:cstheme="minorHAnsi"/>
          <w:bCs/>
          <w:szCs w:val="20"/>
        </w:rPr>
      </w:pPr>
      <w:r w:rsidRPr="002F3196">
        <w:rPr>
          <w:rFonts w:cstheme="minorHAnsi"/>
          <w:b/>
          <w:szCs w:val="20"/>
        </w:rPr>
        <w:t xml:space="preserve">V Jesenski napovedi za letos predvidevamo 5,9-odstotno rast BDP, naslednje leto se bo umirila na </w:t>
      </w:r>
      <w:r w:rsidRPr="002F3196">
        <w:rPr>
          <w:b/>
        </w:rPr>
        <w:t>5,2</w:t>
      </w:r>
      <w:r w:rsidRPr="002F3196">
        <w:rPr>
          <w:bCs/>
        </w:rPr>
        <w:t> </w:t>
      </w:r>
      <w:r w:rsidRPr="002F3196">
        <w:rPr>
          <w:b/>
        </w:rPr>
        <w:t xml:space="preserve">%, </w:t>
      </w:r>
      <w:r w:rsidRPr="002F3196">
        <w:rPr>
          <w:rFonts w:cstheme="minorHAnsi"/>
          <w:b/>
          <w:bCs/>
          <w:szCs w:val="20"/>
        </w:rPr>
        <w:t>leta 2023 pa bo znašala 3,4 </w:t>
      </w:r>
      <w:r w:rsidRPr="004966F7">
        <w:rPr>
          <w:rFonts w:cstheme="minorHAnsi"/>
          <w:b/>
          <w:bCs/>
          <w:szCs w:val="20"/>
        </w:rPr>
        <w:t>%</w:t>
      </w:r>
      <w:r w:rsidRPr="004966F7">
        <w:rPr>
          <w:rFonts w:cstheme="minorHAnsi"/>
          <w:b/>
          <w:szCs w:val="20"/>
        </w:rPr>
        <w:t xml:space="preserve">. </w:t>
      </w:r>
      <w:r w:rsidRPr="004966F7">
        <w:rPr>
          <w:rFonts w:cstheme="minorHAnsi"/>
          <w:bCs/>
          <w:szCs w:val="20"/>
        </w:rPr>
        <w:t>Po globokem lanskem padcu aktivnosti (5,5</w:t>
      </w:r>
      <w:r w:rsidRPr="004966F7">
        <w:rPr>
          <w:bCs/>
        </w:rPr>
        <w:t> </w:t>
      </w:r>
      <w:r w:rsidRPr="004966F7">
        <w:rPr>
          <w:rFonts w:cstheme="minorHAnsi"/>
          <w:bCs/>
          <w:szCs w:val="20"/>
        </w:rPr>
        <w:t>%), se letos nadaljuje okrevanje dejavnosti vpetih v mednarodno menjavo (predelovalnih dejavnosti in prometa), ki se je začelo že v drugi polovici lanskega leta. Ustavilo pa se je okrevanje v gradbeništvu,</w:t>
      </w:r>
      <w:r w:rsidRPr="004966F7">
        <w:rPr>
          <w:bCs/>
        </w:rPr>
        <w:t xml:space="preserve"> kjer se je aktivnost v prvem polletju četrtletno zmanjšala dvakrat zapored </w:t>
      </w:r>
      <w:r w:rsidRPr="004966F7">
        <w:t xml:space="preserve">predvsem zaradi manjše gradnje </w:t>
      </w:r>
      <w:proofErr w:type="spellStart"/>
      <w:r w:rsidRPr="004966F7">
        <w:t>nestanovanjskih</w:t>
      </w:r>
      <w:proofErr w:type="spellEnd"/>
      <w:r w:rsidRPr="004966F7">
        <w:t xml:space="preserve"> stavb in tudi težav pri dobavi in s cenami materialov. Nadalje rastejo tudi investicije ter uvoz in izvoz. </w:t>
      </w:r>
      <w:r w:rsidRPr="004966F7">
        <w:rPr>
          <w:rFonts w:cstheme="minorHAnsi"/>
          <w:bCs/>
          <w:szCs w:val="20"/>
        </w:rPr>
        <w:t xml:space="preserve">S postopnim sproščanjem omejitvenih ukrepov pa okreva tudi trgovina in od drugega četrtletja </w:t>
      </w:r>
      <w:r w:rsidRPr="004966F7">
        <w:rPr>
          <w:bCs/>
        </w:rPr>
        <w:t>gostinske in nastanitvene storitvah, igralništvo ter športne, kulturne, razvedrilne in osebne dejavnosti. To je skladno z okrevanjem zasebne potrošnje.</w:t>
      </w:r>
      <w:r w:rsidR="00C46305">
        <w:rPr>
          <w:bCs/>
        </w:rPr>
        <w:t xml:space="preserve"> Posledično je rast aktivnosti v prvem polletju znašala 8,2</w:t>
      </w:r>
      <w:r w:rsidR="00C46305" w:rsidRPr="002F3196">
        <w:rPr>
          <w:rFonts w:cstheme="minorHAnsi"/>
          <w:b/>
          <w:bCs/>
          <w:szCs w:val="20"/>
        </w:rPr>
        <w:t> </w:t>
      </w:r>
      <w:r w:rsidR="00C46305">
        <w:rPr>
          <w:bCs/>
        </w:rPr>
        <w:t>%.</w:t>
      </w:r>
      <w:r w:rsidRPr="004966F7">
        <w:rPr>
          <w:bCs/>
        </w:rPr>
        <w:t xml:space="preserve"> </w:t>
      </w:r>
      <w:r w:rsidR="00830689" w:rsidRPr="00830689">
        <w:rPr>
          <w:bCs/>
        </w:rPr>
        <w:t xml:space="preserve">Na podlagi razpoložljivih podatkov ocenjujemo, da se je poleti nadaljevala rast dejavnosti, vpetih v mednarodno menjavo, prav tako se je ob nadaljnjem sproščanju omejitvenih ukrepov ob pogoju PCT nadaljevalo tudi okrevanje v storitvah in zasebni potrošnji, kar bo pozitivno vplivalo na rast skupne gospodarske aktivnosti. </w:t>
      </w:r>
      <w:r w:rsidRPr="004966F7">
        <w:rPr>
          <w:bCs/>
        </w:rPr>
        <w:t xml:space="preserve">Na nadaljnjo rast storitvenih dejavnosti in zasebne potrošnje vpliva tudi unovčenje lanskih in letošnjih turističnih bonov. Predvidevamo, da se bo rast v zadnjem četrtletju umirila, saj bi sezonska komponenta ob prisotnosti virusa lahko poleg že obstoječih omejitev (npr. pogoj PCT) prinesla še previdnejše </w:t>
      </w:r>
      <w:r w:rsidRPr="004966F7">
        <w:t>(</w:t>
      </w:r>
      <w:proofErr w:type="spellStart"/>
      <w:r w:rsidRPr="004966F7">
        <w:t>samoomejitveno</w:t>
      </w:r>
      <w:proofErr w:type="spellEnd"/>
      <w:r w:rsidRPr="004966F7">
        <w:t xml:space="preserve">) obnašanje prebivalstva, kar bo </w:t>
      </w:r>
      <w:r w:rsidRPr="004966F7">
        <w:lastRenderedPageBreak/>
        <w:t>zavrlo rast predvsem storitvenih dejavnosti in zasebne potrošnje. Umirila naj bi se tudi rast v predelovalnih dejavnostih, ki se ob visokem povpraševanju srečujejo z omejitvami na strani ponudbe. Za letošnje leto torej pričakujemo 5,9-odstotno rast, kar je več od predvidevanj v Pomladanski napovedi in s</w:t>
      </w:r>
      <w:r w:rsidRPr="004966F7">
        <w:rPr>
          <w:bCs/>
        </w:rPr>
        <w:t xml:space="preserve"> tem bo gospodarska aktivnost že letos dosegla </w:t>
      </w:r>
      <w:proofErr w:type="spellStart"/>
      <w:r w:rsidRPr="004966F7">
        <w:rPr>
          <w:bCs/>
        </w:rPr>
        <w:t>predkrizno</w:t>
      </w:r>
      <w:proofErr w:type="spellEnd"/>
      <w:r w:rsidRPr="004966F7">
        <w:rPr>
          <w:bCs/>
        </w:rPr>
        <w:t xml:space="preserve"> raven iz leta 2019, k čemur bo prispevalo tudi ohranjanje nekaterih ukrepov za blažitev posledic epidemije. </w:t>
      </w:r>
      <w:r w:rsidRPr="004966F7">
        <w:rPr>
          <w:rFonts w:cstheme="minorHAnsi"/>
          <w:bCs/>
          <w:szCs w:val="20"/>
        </w:rPr>
        <w:t>Gospodarsko okrevanje ostaja nadalje diferencirano po posameznih dejavnostih. V</w:t>
      </w:r>
      <w:r w:rsidRPr="004966F7">
        <w:rPr>
          <w:bCs/>
        </w:rPr>
        <w:t xml:space="preserve"> predelovalnih dejavnostih in gradbeništvu ter storitvami povezanimi s tema dvema dejavnostma bo raven aktivnosti iz leta 2019 dosežena že letos. Podobno velja tudi za investicije in mednarodno menjavo. Ostale storitve in zasebna potrošnja, </w:t>
      </w:r>
      <w:r w:rsidRPr="004966F7">
        <w:t xml:space="preserve">ki jih je epidemija bolj prizadela, pa bodo večinoma svojo </w:t>
      </w:r>
      <w:proofErr w:type="spellStart"/>
      <w:r w:rsidRPr="004966F7">
        <w:t>predkrizno</w:t>
      </w:r>
      <w:proofErr w:type="spellEnd"/>
      <w:r w:rsidRPr="004966F7">
        <w:t xml:space="preserve"> raven dosegle naslednje leto. K okrevanju zasebne potrošnje bo poleg </w:t>
      </w:r>
      <w:r w:rsidRPr="004966F7">
        <w:rPr>
          <w:rFonts w:cstheme="minorHAnsi"/>
          <w:bCs/>
          <w:szCs w:val="20"/>
        </w:rPr>
        <w:t xml:space="preserve">rasti razpoložljivega dohodka prispevalo tudi sproščanje prihrankov in s tem postopno zmanjševanje stopnje varčevanja gospodinjstev, ki pa bo predvidoma še precej presegala raven iz leta 2019. Tudi rast državne potrošnje se bo letos še povečala. </w:t>
      </w:r>
      <w:r w:rsidRPr="004966F7">
        <w:rPr>
          <w:bCs/>
        </w:rPr>
        <w:t>Okrevanje gospodarstva se bo v naslednjih dveh letih nadaljevalo, umirile pa se bodo težave z dobavo materialov. Pri tem predvidevamo, da bodo (zlasti v 2022) določeni omejitveni ukrepi še vedno prisotni in bodo omejevali popolno okrevanje določenih storitvenih dejavnosti (zlasti potovanj).</w:t>
      </w:r>
    </w:p>
    <w:p w14:paraId="79F023C6" w14:textId="77777777" w:rsidR="00A45F01" w:rsidRPr="006E4A43" w:rsidRDefault="00A45F01" w:rsidP="00A45F01">
      <w:pPr>
        <w:pStyle w:val="BesediloNAPOVED"/>
        <w:rPr>
          <w:rFonts w:cstheme="minorHAnsi"/>
          <w:b/>
          <w:szCs w:val="20"/>
          <w:highlight w:val="yellow"/>
        </w:rPr>
      </w:pPr>
    </w:p>
    <w:p w14:paraId="5614E764" w14:textId="77777777" w:rsidR="00A84D99" w:rsidRDefault="00A84D99" w:rsidP="00A84D99">
      <w:pPr>
        <w:pStyle w:val="BesediloNAPOVED"/>
        <w:rPr>
          <w:rFonts w:cstheme="minorHAnsi"/>
          <w:szCs w:val="20"/>
          <w:highlight w:val="yellow"/>
        </w:rPr>
      </w:pPr>
      <w:r w:rsidRPr="00A42264">
        <w:rPr>
          <w:rFonts w:cstheme="minorHAnsi"/>
          <w:b/>
          <w:szCs w:val="20"/>
        </w:rPr>
        <w:t xml:space="preserve">Razmere na trgu dela naj bi se po poslabšanju v lanskem letu do leta 2023 postopno izboljševale, </w:t>
      </w:r>
      <w:r w:rsidRPr="005C768C">
        <w:rPr>
          <w:b/>
        </w:rPr>
        <w:t xml:space="preserve">a bodo v ospredje prišle vedno večje omejitve, povezane z razpoložljivostjo delovne sile. </w:t>
      </w:r>
      <w:r w:rsidRPr="005C768C">
        <w:rPr>
          <w:rFonts w:cstheme="minorHAnsi"/>
          <w:b/>
          <w:bCs/>
          <w:szCs w:val="20"/>
        </w:rPr>
        <w:t xml:space="preserve"> </w:t>
      </w:r>
      <w:r w:rsidRPr="005C768C">
        <w:rPr>
          <w:rFonts w:cstheme="minorHAnsi"/>
          <w:szCs w:val="20"/>
        </w:rPr>
        <w:t xml:space="preserve">Večletna ugodna gibanja na trgu dela je v spomladanskih mesecih lani prekinil prvi val epidemije; zaposlenost je močno padla, brezposelnost pa skokovito porasla, a so sprejeti interventni ukrepi za ohranjanje delovnih mest poslabšanje razmer hitro omejili. Sledilo je postopno izboljševanje, ki pa še naprej ostaja </w:t>
      </w:r>
      <w:r w:rsidRPr="005C768C">
        <w:t>močno</w:t>
      </w:r>
      <w:r>
        <w:t xml:space="preserve"> odvisno od razvoja epidemiološke slike in morebitnega ponovnega zapiranja posameznih dejavnosti, ki bi lahko okrevanje, zlasti v storitvah, ki zahtevajo več stikov, upočasnilo. Vladni ukrepi tudi letos blažijo negativne posledice </w:t>
      </w:r>
      <w:proofErr w:type="spellStart"/>
      <w:r>
        <w:t>koronakrize</w:t>
      </w:r>
      <w:proofErr w:type="spellEnd"/>
      <w:r>
        <w:t xml:space="preserve"> na trgu dela in pričakujemo, da se bodo tudi nadalje prilagajali </w:t>
      </w:r>
      <w:r w:rsidRPr="005C768C">
        <w:t>epidemiološk</w:t>
      </w:r>
      <w:r>
        <w:t>i</w:t>
      </w:r>
      <w:r w:rsidRPr="005C768C">
        <w:t xml:space="preserve"> in gospodarsk</w:t>
      </w:r>
      <w:r>
        <w:t>i</w:t>
      </w:r>
      <w:r w:rsidRPr="005C768C">
        <w:t xml:space="preserve"> situacij</w:t>
      </w:r>
      <w:r>
        <w:t>i. Za 2021 pričakujemo 0,8-odstotno rast zaposlenosti in medletno znižanje števila brezposelnih za 11</w:t>
      </w:r>
      <w:r>
        <w:rPr>
          <w:bCs/>
        </w:rPr>
        <w:t> </w:t>
      </w:r>
      <w:r>
        <w:t>%, kar bo le še 2</w:t>
      </w:r>
      <w:r>
        <w:rPr>
          <w:bCs/>
        </w:rPr>
        <w:t> </w:t>
      </w:r>
      <w:r>
        <w:t>% več kot leta 2019. V</w:t>
      </w:r>
      <w:r w:rsidRPr="00B4778F">
        <w:t xml:space="preserve"> prihodnjih dveh letih</w:t>
      </w:r>
      <w:r>
        <w:t xml:space="preserve"> naj bi se</w:t>
      </w:r>
      <w:r w:rsidRPr="00B4778F">
        <w:t xml:space="preserve"> okrevanje na trgu dela</w:t>
      </w:r>
      <w:r>
        <w:t xml:space="preserve"> postopno</w:t>
      </w:r>
      <w:r w:rsidRPr="00B4778F">
        <w:t xml:space="preserve"> nadaljevalo, </w:t>
      </w:r>
      <w:r>
        <w:t xml:space="preserve">pri čemer bo ob koncu obdobja napovedi število zaposlenih naraslo nad </w:t>
      </w:r>
      <w:r w:rsidRPr="00292E77">
        <w:rPr>
          <w:highlight w:val="yellow"/>
        </w:rPr>
        <w:t>x?</w:t>
      </w:r>
      <w:r>
        <w:t>, število b</w:t>
      </w:r>
      <w:r w:rsidRPr="00B4778F">
        <w:t xml:space="preserve">rezposelnih </w:t>
      </w:r>
      <w:r>
        <w:t xml:space="preserve">pa padlo </w:t>
      </w:r>
      <w:r w:rsidRPr="00912E43">
        <w:rPr>
          <w:highlight w:val="yellow"/>
        </w:rPr>
        <w:t>na zgodovinsko nizko raven</w:t>
      </w:r>
      <w:r>
        <w:t>.</w:t>
      </w:r>
    </w:p>
    <w:p w14:paraId="726BCD4E" w14:textId="77777777" w:rsidR="00A45F01" w:rsidRPr="006E4A43" w:rsidRDefault="00A45F01" w:rsidP="00A45F01">
      <w:pPr>
        <w:pStyle w:val="BesediloNAPOVED"/>
        <w:rPr>
          <w:rFonts w:cstheme="minorHAnsi"/>
          <w:b/>
          <w:bCs/>
          <w:szCs w:val="20"/>
          <w:highlight w:val="yellow"/>
        </w:rPr>
      </w:pPr>
    </w:p>
    <w:p w14:paraId="40D9E624" w14:textId="77777777" w:rsidR="00367E28" w:rsidRPr="00367E28" w:rsidRDefault="00367E28" w:rsidP="00367E28">
      <w:pPr>
        <w:pStyle w:val="BesediloNAPOVED"/>
        <w:rPr>
          <w:rFonts w:cstheme="minorHAnsi"/>
          <w:szCs w:val="20"/>
        </w:rPr>
      </w:pPr>
      <w:r w:rsidRPr="00367E28">
        <w:rPr>
          <w:b/>
        </w:rPr>
        <w:t xml:space="preserve">Cene življenjskih potrebščin bodo, po lanskem medletnem znižanju, letos in v naslednjih dveh letih ob predpostavki zmernega gospodarskega okrevanja medletno postopno rasle proti dvema odstotkoma. </w:t>
      </w:r>
      <w:r w:rsidRPr="00367E28">
        <w:rPr>
          <w:rFonts w:cstheme="minorHAnsi"/>
          <w:szCs w:val="20"/>
        </w:rPr>
        <w:t xml:space="preserve">Inflacija bo letos v povprečju 1,5-odstotna. K temu bodo ob prispevale predvsem višje cene energentov tudi zaradi nizke lanske osnove, krepiti pa so se začele </w:t>
      </w:r>
      <w:r w:rsidRPr="00367E28">
        <w:rPr>
          <w:bCs/>
        </w:rPr>
        <w:t xml:space="preserve">cene </w:t>
      </w:r>
      <w:proofErr w:type="spellStart"/>
      <w:r w:rsidRPr="00367E28">
        <w:rPr>
          <w:bCs/>
        </w:rPr>
        <w:t>neenergetskega</w:t>
      </w:r>
      <w:proofErr w:type="spellEnd"/>
      <w:r w:rsidRPr="00367E28">
        <w:rPr>
          <w:bCs/>
        </w:rPr>
        <w:t xml:space="preserve"> industrijskega blaga zaradi omejitvenih dejavnikov pri proizvodnji ob solidnem povpraševanju</w:t>
      </w:r>
      <w:r w:rsidRPr="00367E28">
        <w:rPr>
          <w:rFonts w:cstheme="minorHAnsi"/>
          <w:szCs w:val="20"/>
        </w:rPr>
        <w:t>. Rast cen hrane in storitev bo ostala zmerna. Inflacija se bo naslednje leto okrepila na 2</w:t>
      </w:r>
      <w:r w:rsidRPr="00367E28">
        <w:t> </w:t>
      </w:r>
      <w:r w:rsidRPr="00367E28">
        <w:rPr>
          <w:rFonts w:cstheme="minorHAnsi"/>
          <w:szCs w:val="20"/>
        </w:rPr>
        <w:t xml:space="preserve">% na kar bo poleg visokega prenosa iz letošnjega leta v povezavi z nadaljnjim okrevanjem vplivala predvsem rast cen storitev, ki bo pomembno prispevala k inflaciji tudi leta 2023. </w:t>
      </w:r>
    </w:p>
    <w:p w14:paraId="7E52F826" w14:textId="77777777" w:rsidR="00A45F01" w:rsidRPr="00A45F01" w:rsidRDefault="00A45F01" w:rsidP="00A45F01">
      <w:pPr>
        <w:pStyle w:val="BesediloNAPOVED"/>
        <w:rPr>
          <w:rFonts w:cstheme="minorHAnsi"/>
          <w:b/>
          <w:bCs/>
          <w:szCs w:val="20"/>
        </w:rPr>
      </w:pPr>
    </w:p>
    <w:p w14:paraId="31C015E8" w14:textId="1966B4B9" w:rsidR="00FA127D" w:rsidRPr="00A45F01" w:rsidRDefault="00FA127D" w:rsidP="00FA127D">
      <w:pPr>
        <w:pStyle w:val="BesediloNAPOVED"/>
        <w:rPr>
          <w:rFonts w:cstheme="minorHAnsi"/>
          <w:szCs w:val="20"/>
        </w:rPr>
      </w:pPr>
      <w:r w:rsidRPr="00A45F01">
        <w:rPr>
          <w:rFonts w:cstheme="minorHAnsi"/>
          <w:b/>
          <w:szCs w:val="20"/>
        </w:rPr>
        <w:t xml:space="preserve">Največje tveganje za uresničitev napovedi je še naprej povezano z epidemiološkimi razmerami v Sloveniji in najpomembnejših trgovinskih partnericah, </w:t>
      </w:r>
      <w:r w:rsidRPr="00964201">
        <w:rPr>
          <w:b/>
        </w:rPr>
        <w:t xml:space="preserve">pomembno </w:t>
      </w:r>
      <w:r>
        <w:rPr>
          <w:b/>
        </w:rPr>
        <w:t>je</w:t>
      </w:r>
      <w:r w:rsidRPr="00964201">
        <w:rPr>
          <w:b/>
        </w:rPr>
        <w:t xml:space="preserve"> tudi </w:t>
      </w:r>
      <w:r>
        <w:rPr>
          <w:b/>
        </w:rPr>
        <w:t xml:space="preserve">premišljeno prilagajanje </w:t>
      </w:r>
      <w:r w:rsidRPr="00964201">
        <w:rPr>
          <w:b/>
        </w:rPr>
        <w:t>ukrepov za blaženje posledic epidemije</w:t>
      </w:r>
      <w:r>
        <w:rPr>
          <w:b/>
        </w:rPr>
        <w:t xml:space="preserve"> </w:t>
      </w:r>
      <w:r w:rsidRPr="00FC77CE">
        <w:rPr>
          <w:b/>
        </w:rPr>
        <w:t xml:space="preserve">glede na epidemiološko </w:t>
      </w:r>
      <w:r w:rsidR="00BF679C">
        <w:rPr>
          <w:b/>
        </w:rPr>
        <w:t xml:space="preserve">in gospodarsko </w:t>
      </w:r>
      <w:r w:rsidRPr="00FC77CE">
        <w:rPr>
          <w:b/>
        </w:rPr>
        <w:t>situacijo</w:t>
      </w:r>
      <w:r w:rsidRPr="00964201">
        <w:rPr>
          <w:b/>
        </w:rPr>
        <w:t xml:space="preserve">. </w:t>
      </w:r>
      <w:r w:rsidRPr="00A45F01">
        <w:rPr>
          <w:rFonts w:cstheme="minorHAnsi"/>
          <w:b/>
          <w:szCs w:val="20"/>
        </w:rPr>
        <w:t xml:space="preserve"> </w:t>
      </w:r>
      <w:r>
        <w:t xml:space="preserve">Morebitni strožji omejitveni ukrepi ob novih valovih okužb, tudi kot posledica novih in bolj nalezljivih mutacij </w:t>
      </w:r>
      <w:proofErr w:type="spellStart"/>
      <w:r>
        <w:t>koronavirusa</w:t>
      </w:r>
      <w:proofErr w:type="spellEnd"/>
      <w:r>
        <w:t xml:space="preserve"> in/ali nepripravljenosti prebivalstva za cepljenje, ter s tem povezana ponovna večja zaprtja gospodarstev v prihodnje predstavljajo največjo grožnjo stabilnejšemu okrevanju. Visoka negotovost in oteženo delovanje določenih storitvenih dejavnosti bi vplivala tudi ohranjanje visoke ravni varčevanja oziroma </w:t>
      </w:r>
      <w:r w:rsidRPr="00A42EF7">
        <w:t xml:space="preserve">njegovo počasnejše sproščanje. </w:t>
      </w:r>
      <w:r>
        <w:t xml:space="preserve">Pomembno je tudi premišljeno </w:t>
      </w:r>
      <w:r w:rsidRPr="00FC77CE">
        <w:t xml:space="preserve">prilagajanje ukrepov za blaženje posledic epidemije glede na epidemiološko </w:t>
      </w:r>
      <w:r w:rsidR="00BF679C">
        <w:t xml:space="preserve">in gospodarsko </w:t>
      </w:r>
      <w:r w:rsidRPr="00FC77CE">
        <w:t>situacijo</w:t>
      </w:r>
      <w:r>
        <w:t>- njihovo</w:t>
      </w:r>
      <w:r w:rsidRPr="00A42EF7">
        <w:rPr>
          <w:rFonts w:cstheme="minorHAnsi"/>
          <w:szCs w:val="20"/>
        </w:rPr>
        <w:t xml:space="preserve"> prehitro ali prepočasno umikanje bi lahko ogrozilo okrevanje. </w:t>
      </w:r>
      <w:r w:rsidRPr="00A42EF7">
        <w:t xml:space="preserve">Večji vpliv podjetniških težav bi se lahko odrazil v večjemu številu propadov in stečajev podjetij, kar bi </w:t>
      </w:r>
      <w:r w:rsidRPr="00A42EF7">
        <w:rPr>
          <w:rFonts w:cstheme="minorHAnsi"/>
          <w:szCs w:val="20"/>
        </w:rPr>
        <w:t xml:space="preserve">lahko privedlo do povečanja brezposelnosti </w:t>
      </w:r>
      <w:r w:rsidRPr="00A42EF7">
        <w:t xml:space="preserve">in posledične prizadetost bančnega in finančnega sektorja. Negativno tveganje predstavlja tudi višja inflacija ob hitrejšem okrevanju svetovnih gospodarstev in če bodo trenutne omejitve v ponudbi trajale dlje časa. </w:t>
      </w:r>
      <w:r w:rsidRPr="00A42EF7">
        <w:rPr>
          <w:rFonts w:cstheme="minorHAnsi"/>
          <w:szCs w:val="20"/>
        </w:rPr>
        <w:t>Gospodarska rast pa bi lahko bila tudi višja v primeru hitrejšega trajnega izboljšanja epidemioloških razmer tudi zaradi hitrejše</w:t>
      </w:r>
      <w:r w:rsidRPr="00E83586">
        <w:rPr>
          <w:rFonts w:cstheme="minorHAnsi"/>
          <w:szCs w:val="20"/>
        </w:rPr>
        <w:t xml:space="preserve"> </w:t>
      </w:r>
      <w:proofErr w:type="spellStart"/>
      <w:r w:rsidRPr="00E83586">
        <w:rPr>
          <w:rFonts w:cstheme="minorHAnsi"/>
          <w:szCs w:val="20"/>
        </w:rPr>
        <w:t>precepljenosti</w:t>
      </w:r>
      <w:proofErr w:type="spellEnd"/>
      <w:r w:rsidRPr="00E83586">
        <w:rPr>
          <w:rFonts w:cstheme="minorHAnsi"/>
          <w:szCs w:val="20"/>
        </w:rPr>
        <w:t xml:space="preserve"> prebivalstva. </w:t>
      </w:r>
      <w:r w:rsidRPr="00E83586">
        <w:rPr>
          <w:bCs/>
        </w:rPr>
        <w:t>Hitrejše</w:t>
      </w:r>
      <w:r w:rsidRPr="00AC7E94">
        <w:rPr>
          <w:bCs/>
        </w:rPr>
        <w:t xml:space="preserve"> izboljšanje epidemioloških razmer bi lahko vplivalo na hitrejšo potrošnjo presežnih prihrankov gospodinjstev in tudi hitrejšo rast investicij zaradi višje stopnje zaupanja. </w:t>
      </w:r>
      <w:r>
        <w:rPr>
          <w:bCs/>
        </w:rPr>
        <w:t>Tudi v</w:t>
      </w:r>
      <w:r w:rsidRPr="00AC7E94">
        <w:rPr>
          <w:bCs/>
        </w:rPr>
        <w:t xml:space="preserve">išja svetovna </w:t>
      </w:r>
      <w:r w:rsidRPr="00AC7E94">
        <w:rPr>
          <w:bCs/>
        </w:rPr>
        <w:lastRenderedPageBreak/>
        <w:t>gospodarska rast</w:t>
      </w:r>
      <w:r>
        <w:rPr>
          <w:bCs/>
        </w:rPr>
        <w:t xml:space="preserve"> </w:t>
      </w:r>
      <w:r w:rsidRPr="00AC7E94">
        <w:rPr>
          <w:bCs/>
        </w:rPr>
        <w:t>predstavlja dodatno pozitivno tveganje, saj bi lahko imela večji pozitiven vpliv tudi na rast v EU.</w:t>
      </w:r>
      <w:r>
        <w:rPr>
          <w:bCs/>
        </w:rPr>
        <w:t xml:space="preserve"> Prav tako bo kl</w:t>
      </w:r>
      <w:r w:rsidRPr="004E2E1A">
        <w:rPr>
          <w:rFonts w:cstheme="minorHAnsi"/>
          <w:szCs w:val="20"/>
        </w:rPr>
        <w:t>jučna hitrost in učinkovitost črpanja sredstev iz novega večletnega finančnega okvira in finančnega paketa za odpornost in okrevanje v Sloveniji in naših glavnih trgovinskih partnericah ter ciljna usmerjenost teh virov v reševanje glavnih razvojnih izzivov.</w:t>
      </w:r>
    </w:p>
    <w:p w14:paraId="7884858E" w14:textId="2CE7DBDE" w:rsidR="00CD306D" w:rsidRPr="00767446" w:rsidRDefault="00CD306D" w:rsidP="008441E7">
      <w:pPr>
        <w:pStyle w:val="BesediloNAPOVED"/>
        <w:keepNext/>
        <w:keepLines/>
        <w:pageBreakBefore/>
        <w:rPr>
          <w:b/>
          <w:color w:val="9E001A" w:themeColor="accent1"/>
          <w:sz w:val="22"/>
        </w:rPr>
      </w:pPr>
      <w:r w:rsidRPr="00B92670">
        <w:rPr>
          <w:noProof/>
          <w:color w:val="9E001A" w:themeColor="accent1"/>
          <w:sz w:val="22"/>
          <w:lang w:eastAsia="sl-SI"/>
        </w:rPr>
        <w:lastRenderedPageBreak/>
        <w:drawing>
          <wp:anchor distT="0" distB="0" distL="114300" distR="114300" simplePos="0" relativeHeight="251659264" behindDoc="0" locked="0" layoutInCell="1" allowOverlap="1" wp14:anchorId="68DF9743" wp14:editId="062EB96E">
            <wp:simplePos x="0" y="0"/>
            <wp:positionH relativeFrom="column">
              <wp:posOffset>0</wp:posOffset>
            </wp:positionH>
            <wp:positionV relativeFrom="page">
              <wp:posOffset>1114894</wp:posOffset>
            </wp:positionV>
            <wp:extent cx="85520" cy="10392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520" cy="103924"/>
                    </a:xfrm>
                    <a:prstGeom prst="rect">
                      <a:avLst/>
                    </a:prstGeom>
                    <a:noFill/>
                  </pic:spPr>
                </pic:pic>
              </a:graphicData>
            </a:graphic>
            <wp14:sizeRelH relativeFrom="margin">
              <wp14:pctWidth>0</wp14:pctWidth>
            </wp14:sizeRelH>
            <wp14:sizeRelV relativeFrom="margin">
              <wp14:pctHeight>0</wp14:pctHeight>
            </wp14:sizeRelV>
          </wp:anchor>
        </w:drawing>
      </w:r>
      <w:r w:rsidRPr="00B92670">
        <w:rPr>
          <w:b/>
          <w:color w:val="9E001A" w:themeColor="accent1"/>
          <w:sz w:val="22"/>
        </w:rPr>
        <w:t xml:space="preserve">  </w:t>
      </w:r>
      <w:r w:rsidRPr="00B92670">
        <w:rPr>
          <w:b/>
          <w:sz w:val="22"/>
        </w:rPr>
        <w:t>Glavni makroekonomski agregati Slovenije</w:t>
      </w:r>
    </w:p>
    <w:tbl>
      <w:tblPr>
        <w:tblStyle w:val="tabelaNAPOVED0"/>
        <w:tblW w:w="9072" w:type="dxa"/>
        <w:tblLayout w:type="fixed"/>
        <w:tblCellMar>
          <w:top w:w="0" w:type="dxa"/>
          <w:bottom w:w="0" w:type="dxa"/>
        </w:tblCellMar>
        <w:tblLook w:val="04A0" w:firstRow="1" w:lastRow="0" w:firstColumn="1" w:lastColumn="0" w:noHBand="0" w:noVBand="1"/>
      </w:tblPr>
      <w:tblGrid>
        <w:gridCol w:w="4395"/>
        <w:gridCol w:w="1134"/>
        <w:gridCol w:w="1134"/>
        <w:gridCol w:w="1275"/>
        <w:gridCol w:w="1134"/>
      </w:tblGrid>
      <w:tr w:rsidR="00BE1844" w:rsidRPr="00767446" w14:paraId="2E922189" w14:textId="77777777" w:rsidTr="002623FD">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395" w:type="dxa"/>
            <w:vMerge w:val="restart"/>
            <w:noWrap/>
            <w:hideMark/>
          </w:tcPr>
          <w:p w14:paraId="3E3B6890" w14:textId="77777777" w:rsidR="00BE1844" w:rsidRPr="00767446" w:rsidRDefault="00BE1844" w:rsidP="00C17605">
            <w:pPr>
              <w:pStyle w:val="TabelalevistolpecNAPOVED"/>
              <w:rPr>
                <w:highlight w:val="yellow"/>
              </w:rPr>
            </w:pPr>
            <w:r w:rsidRPr="00767446">
              <w:t> </w:t>
            </w:r>
          </w:p>
        </w:tc>
        <w:tc>
          <w:tcPr>
            <w:tcW w:w="1134" w:type="dxa"/>
            <w:vMerge w:val="restart"/>
          </w:tcPr>
          <w:p w14:paraId="08272DF3" w14:textId="3BFF57B7" w:rsidR="00BE1844" w:rsidRPr="00767446" w:rsidRDefault="00BE1844" w:rsidP="006C00D7">
            <w:pPr>
              <w:pStyle w:val="TabelaglavaNAPOVED"/>
              <w:cnfStyle w:val="100000000000" w:firstRow="1" w:lastRow="0" w:firstColumn="0" w:lastColumn="0" w:oddVBand="0" w:evenVBand="0" w:oddHBand="0" w:evenHBand="0" w:firstRowFirstColumn="0" w:firstRowLastColumn="0" w:lastRowFirstColumn="0" w:lastRowLastColumn="0"/>
            </w:pPr>
            <w:r w:rsidRPr="00767446">
              <w:t>20</w:t>
            </w:r>
            <w:r w:rsidR="00B92670">
              <w:t>20</w:t>
            </w:r>
          </w:p>
        </w:tc>
        <w:tc>
          <w:tcPr>
            <w:tcW w:w="3543" w:type="dxa"/>
            <w:gridSpan w:val="3"/>
            <w:shd w:val="clear" w:color="auto" w:fill="E9E9E9" w:themeFill="accent3" w:themeFillTint="33"/>
          </w:tcPr>
          <w:p w14:paraId="621A85F6" w14:textId="05CCE722" w:rsidR="00BE1844" w:rsidRPr="00767446" w:rsidRDefault="006E4A43" w:rsidP="00C17605">
            <w:pPr>
              <w:pStyle w:val="TabelaglavaNAPOVED"/>
              <w:jc w:val="center"/>
              <w:cnfStyle w:val="100000000000" w:firstRow="1" w:lastRow="0" w:firstColumn="0" w:lastColumn="0" w:oddVBand="0" w:evenVBand="0" w:oddHBand="0" w:evenHBand="0" w:firstRowFirstColumn="0" w:firstRowLastColumn="0" w:lastRowFirstColumn="0" w:lastRowLastColumn="0"/>
              <w:rPr>
                <w:color w:val="9E001A" w:themeColor="accent1"/>
              </w:rPr>
            </w:pPr>
            <w:r>
              <w:rPr>
                <w:color w:val="9E001A" w:themeColor="accent1"/>
              </w:rPr>
              <w:t>Jesenska</w:t>
            </w:r>
            <w:r w:rsidR="00807511" w:rsidRPr="00767446">
              <w:rPr>
                <w:color w:val="9E001A" w:themeColor="accent1"/>
              </w:rPr>
              <w:t xml:space="preserve"> n</w:t>
            </w:r>
            <w:r w:rsidR="00BE1844" w:rsidRPr="00767446">
              <w:rPr>
                <w:color w:val="9E001A" w:themeColor="accent1"/>
              </w:rPr>
              <w:t>apoved</w:t>
            </w:r>
            <w:r w:rsidR="00807511" w:rsidRPr="00767446">
              <w:rPr>
                <w:color w:val="9E001A" w:themeColor="accent1"/>
              </w:rPr>
              <w:t xml:space="preserve"> (</w:t>
            </w:r>
            <w:r>
              <w:rPr>
                <w:color w:val="9E001A" w:themeColor="accent1"/>
              </w:rPr>
              <w:t>september</w:t>
            </w:r>
            <w:r w:rsidR="00807511" w:rsidRPr="00767446">
              <w:rPr>
                <w:color w:val="9E001A" w:themeColor="accent1"/>
              </w:rPr>
              <w:t xml:space="preserve"> 202</w:t>
            </w:r>
            <w:r w:rsidR="00B92670">
              <w:rPr>
                <w:color w:val="9E001A" w:themeColor="accent1"/>
              </w:rPr>
              <w:t>1</w:t>
            </w:r>
            <w:r w:rsidR="00807511" w:rsidRPr="00767446">
              <w:rPr>
                <w:color w:val="9E001A" w:themeColor="accent1"/>
              </w:rPr>
              <w:t>)</w:t>
            </w:r>
          </w:p>
        </w:tc>
      </w:tr>
      <w:tr w:rsidR="00B92670" w:rsidRPr="00767446" w14:paraId="7E0940B1"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vMerge/>
            <w:shd w:val="clear" w:color="auto" w:fill="FFFFFF" w:themeFill="background1"/>
            <w:noWrap/>
            <w:hideMark/>
          </w:tcPr>
          <w:p w14:paraId="3C3F4D48" w14:textId="77777777" w:rsidR="00B92670" w:rsidRPr="00767446" w:rsidRDefault="00B92670" w:rsidP="00B92670">
            <w:pPr>
              <w:pStyle w:val="TabelalevistolpecNAPOVED"/>
              <w:rPr>
                <w:highlight w:val="yellow"/>
              </w:rPr>
            </w:pPr>
          </w:p>
        </w:tc>
        <w:tc>
          <w:tcPr>
            <w:tcW w:w="1134" w:type="dxa"/>
            <w:vMerge/>
            <w:shd w:val="clear" w:color="auto" w:fill="FFFFFF" w:themeFill="background1"/>
          </w:tcPr>
          <w:p w14:paraId="63848F0F" w14:textId="77777777" w:rsidR="00B92670" w:rsidRPr="00767446" w:rsidRDefault="00B92670" w:rsidP="00B92670">
            <w:pPr>
              <w:pStyle w:val="TabelaNAPOVED"/>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E9E9E9" w:themeFill="accent3" w:themeFillTint="33"/>
          </w:tcPr>
          <w:p w14:paraId="47FBD59D" w14:textId="4D257287" w:rsidR="00B92670" w:rsidRPr="00767446" w:rsidRDefault="00B92670" w:rsidP="006C00D7">
            <w:pPr>
              <w:pStyle w:val="TabelaglavaNAPOVED"/>
              <w:cnfStyle w:val="000000000000" w:firstRow="0" w:lastRow="0" w:firstColumn="0" w:lastColumn="0" w:oddVBand="0" w:evenVBand="0" w:oddHBand="0" w:evenHBand="0" w:firstRowFirstColumn="0" w:firstRowLastColumn="0" w:lastRowFirstColumn="0" w:lastRowLastColumn="0"/>
              <w:rPr>
                <w:color w:val="9E001A" w:themeColor="accent1"/>
              </w:rPr>
            </w:pPr>
            <w:r w:rsidRPr="00885D63">
              <w:rPr>
                <w:rFonts w:cs="Arial"/>
                <w:color w:val="9E001A"/>
                <w:spacing w:val="-4"/>
                <w:szCs w:val="16"/>
                <w:lang w:val="en-US"/>
              </w:rPr>
              <w:t>2021</w:t>
            </w:r>
          </w:p>
        </w:tc>
        <w:tc>
          <w:tcPr>
            <w:tcW w:w="1275" w:type="dxa"/>
            <w:shd w:val="clear" w:color="auto" w:fill="E9E9E9" w:themeFill="accent3" w:themeFillTint="33"/>
          </w:tcPr>
          <w:p w14:paraId="33A5D588" w14:textId="239922D6" w:rsidR="00B92670" w:rsidRPr="00767446" w:rsidRDefault="00B92670" w:rsidP="006C00D7">
            <w:pPr>
              <w:pStyle w:val="TabelaglavaNAPOVED"/>
              <w:cnfStyle w:val="000000000000" w:firstRow="0" w:lastRow="0" w:firstColumn="0" w:lastColumn="0" w:oddVBand="0" w:evenVBand="0" w:oddHBand="0" w:evenHBand="0" w:firstRowFirstColumn="0" w:firstRowLastColumn="0" w:lastRowFirstColumn="0" w:lastRowLastColumn="0"/>
              <w:rPr>
                <w:color w:val="9E001A" w:themeColor="accent1"/>
              </w:rPr>
            </w:pPr>
            <w:r w:rsidRPr="00885D63">
              <w:rPr>
                <w:rFonts w:cs="Arial"/>
                <w:color w:val="9E001A"/>
                <w:spacing w:val="-4"/>
                <w:szCs w:val="16"/>
                <w:lang w:val="en-US"/>
              </w:rPr>
              <w:t>2022</w:t>
            </w:r>
          </w:p>
        </w:tc>
        <w:tc>
          <w:tcPr>
            <w:tcW w:w="1134" w:type="dxa"/>
            <w:shd w:val="clear" w:color="auto" w:fill="E9E9E9" w:themeFill="accent3" w:themeFillTint="33"/>
          </w:tcPr>
          <w:p w14:paraId="2AB85E60" w14:textId="03BDA18A" w:rsidR="00B92670" w:rsidRPr="00767446" w:rsidRDefault="00B92670" w:rsidP="006C00D7">
            <w:pPr>
              <w:pStyle w:val="TabelaglavaNAPOVED"/>
              <w:cnfStyle w:val="000000000000" w:firstRow="0" w:lastRow="0" w:firstColumn="0" w:lastColumn="0" w:oddVBand="0" w:evenVBand="0" w:oddHBand="0" w:evenHBand="0" w:firstRowFirstColumn="0" w:firstRowLastColumn="0" w:lastRowFirstColumn="0" w:lastRowLastColumn="0"/>
              <w:rPr>
                <w:color w:val="9E001A" w:themeColor="accent1"/>
              </w:rPr>
            </w:pPr>
            <w:r w:rsidRPr="00885D63">
              <w:rPr>
                <w:rFonts w:cs="Arial"/>
                <w:color w:val="9E001A"/>
                <w:spacing w:val="-4"/>
                <w:szCs w:val="16"/>
                <w:lang w:val="en-US"/>
              </w:rPr>
              <w:t>2023</w:t>
            </w:r>
          </w:p>
        </w:tc>
      </w:tr>
      <w:tr w:rsidR="00BE1844" w:rsidRPr="00767446" w14:paraId="61BD5F32" w14:textId="77777777" w:rsidTr="001115DB">
        <w:trPr>
          <w:trHeight w:val="306"/>
        </w:trPr>
        <w:tc>
          <w:tcPr>
            <w:cnfStyle w:val="001000000000" w:firstRow="0" w:lastRow="0" w:firstColumn="1" w:lastColumn="0" w:oddVBand="0" w:evenVBand="0" w:oddHBand="0" w:evenHBand="0" w:firstRowFirstColumn="0" w:firstRowLastColumn="0" w:lastRowFirstColumn="0" w:lastRowLastColumn="0"/>
            <w:tcW w:w="9072" w:type="dxa"/>
            <w:gridSpan w:val="5"/>
          </w:tcPr>
          <w:p w14:paraId="4403D2DE" w14:textId="77777777" w:rsidR="00BE1844" w:rsidRPr="00767446" w:rsidRDefault="00BE1844" w:rsidP="00C17605">
            <w:pPr>
              <w:pStyle w:val="TabelalevistolpecglavaNAPOVED"/>
            </w:pPr>
            <w:r w:rsidRPr="00767446">
              <w:t>BRUTO DOMAČI PROIZVOD</w:t>
            </w:r>
          </w:p>
        </w:tc>
      </w:tr>
      <w:tr w:rsidR="00FE5EAC" w:rsidRPr="00767446" w14:paraId="39A64FF0"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38F9E51F" w14:textId="77777777" w:rsidR="00B92670" w:rsidRPr="00767446" w:rsidRDefault="00B92670" w:rsidP="00B92670">
            <w:pPr>
              <w:pStyle w:val="TabelalevistolpecNAPOVED"/>
            </w:pPr>
            <w:r w:rsidRPr="00767446">
              <w:t>BDP, realna rast v %</w:t>
            </w:r>
          </w:p>
        </w:tc>
        <w:tc>
          <w:tcPr>
            <w:tcW w:w="1134" w:type="dxa"/>
            <w:noWrap/>
          </w:tcPr>
          <w:p w14:paraId="65D79593" w14:textId="1E8C6CF8"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-5,5</w:t>
            </w:r>
          </w:p>
        </w:tc>
        <w:tc>
          <w:tcPr>
            <w:tcW w:w="1134" w:type="dxa"/>
            <w:shd w:val="clear" w:color="auto" w:fill="E9E9E9" w:themeFill="accent3" w:themeFillTint="33"/>
          </w:tcPr>
          <w:p w14:paraId="1A9214E7" w14:textId="1FD6DE88"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4,6</w:t>
            </w:r>
          </w:p>
        </w:tc>
        <w:tc>
          <w:tcPr>
            <w:tcW w:w="1275" w:type="dxa"/>
            <w:shd w:val="clear" w:color="auto" w:fill="E9E9E9" w:themeFill="accent3" w:themeFillTint="33"/>
          </w:tcPr>
          <w:p w14:paraId="713895FE" w14:textId="24D909DA"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4,4</w:t>
            </w:r>
          </w:p>
        </w:tc>
        <w:tc>
          <w:tcPr>
            <w:tcW w:w="1134" w:type="dxa"/>
            <w:shd w:val="clear" w:color="auto" w:fill="E9E9E9" w:themeFill="accent3" w:themeFillTint="33"/>
          </w:tcPr>
          <w:p w14:paraId="631BB973" w14:textId="184C678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3,3</w:t>
            </w:r>
          </w:p>
        </w:tc>
      </w:tr>
      <w:tr w:rsidR="00FE5EAC" w:rsidRPr="00767446" w14:paraId="53F403E8"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3C5577E4" w14:textId="77777777" w:rsidR="00B92670" w:rsidRPr="00767446" w:rsidRDefault="00B92670" w:rsidP="00B92670">
            <w:pPr>
              <w:pStyle w:val="TabelalevistolpecNAPOVED"/>
            </w:pPr>
            <w:r w:rsidRPr="00767446">
              <w:t>BDP, nominalna rast v %</w:t>
            </w:r>
          </w:p>
        </w:tc>
        <w:tc>
          <w:tcPr>
            <w:tcW w:w="1134" w:type="dxa"/>
            <w:noWrap/>
          </w:tcPr>
          <w:p w14:paraId="35E5272B" w14:textId="323049ED"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-4,3</w:t>
            </w:r>
          </w:p>
        </w:tc>
        <w:tc>
          <w:tcPr>
            <w:tcW w:w="1134" w:type="dxa"/>
            <w:shd w:val="clear" w:color="auto" w:fill="E9E9E9" w:themeFill="accent3" w:themeFillTint="33"/>
          </w:tcPr>
          <w:p w14:paraId="331C5F15" w14:textId="2CF3FCEE" w:rsidR="00B92670" w:rsidRPr="006E4A43" w:rsidRDefault="008961B4"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4,7</w:t>
            </w:r>
          </w:p>
        </w:tc>
        <w:tc>
          <w:tcPr>
            <w:tcW w:w="1275" w:type="dxa"/>
            <w:shd w:val="clear" w:color="auto" w:fill="E9E9E9" w:themeFill="accent3" w:themeFillTint="33"/>
          </w:tcPr>
          <w:p w14:paraId="627886E3" w14:textId="3093947B"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6,0</w:t>
            </w:r>
          </w:p>
        </w:tc>
        <w:tc>
          <w:tcPr>
            <w:tcW w:w="1134" w:type="dxa"/>
            <w:shd w:val="clear" w:color="auto" w:fill="E9E9E9" w:themeFill="accent3" w:themeFillTint="33"/>
          </w:tcPr>
          <w:p w14:paraId="3887FCA4" w14:textId="1D516DDD"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5,2</w:t>
            </w:r>
          </w:p>
        </w:tc>
      </w:tr>
      <w:tr w:rsidR="00FE5EAC" w:rsidRPr="00767446" w14:paraId="5A44A34F"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5346BD70" w14:textId="77777777" w:rsidR="00B92670" w:rsidRPr="00767446" w:rsidRDefault="00B92670" w:rsidP="00B92670">
            <w:pPr>
              <w:pStyle w:val="TabelalevistolpecNAPOVED"/>
            </w:pPr>
            <w:r w:rsidRPr="00767446">
              <w:t>BDP, v mrd EUR, tekoče cene</w:t>
            </w:r>
          </w:p>
        </w:tc>
        <w:tc>
          <w:tcPr>
            <w:tcW w:w="1134" w:type="dxa"/>
            <w:noWrap/>
          </w:tcPr>
          <w:p w14:paraId="5BDE4994" w14:textId="4064482C"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46,3</w:t>
            </w:r>
          </w:p>
        </w:tc>
        <w:tc>
          <w:tcPr>
            <w:tcW w:w="1134" w:type="dxa"/>
            <w:shd w:val="clear" w:color="auto" w:fill="E9E9E9" w:themeFill="accent3" w:themeFillTint="33"/>
          </w:tcPr>
          <w:p w14:paraId="79B98F13" w14:textId="1D74C819"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48,</w:t>
            </w:r>
            <w:r w:rsidR="008961B4" w:rsidRPr="006E4A43">
              <w:rPr>
                <w:rFonts w:cs="Arial"/>
                <w:b/>
                <w:color w:val="9E001A"/>
                <w:spacing w:val="-4"/>
                <w:szCs w:val="16"/>
                <w:highlight w:val="yellow"/>
                <w:lang w:val="en-US"/>
              </w:rPr>
              <w:t>5</w:t>
            </w:r>
          </w:p>
        </w:tc>
        <w:tc>
          <w:tcPr>
            <w:tcW w:w="1275" w:type="dxa"/>
            <w:shd w:val="clear" w:color="auto" w:fill="E9E9E9" w:themeFill="accent3" w:themeFillTint="33"/>
          </w:tcPr>
          <w:p w14:paraId="5EB2C3B6" w14:textId="3BB82E2B"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51,</w:t>
            </w:r>
            <w:r w:rsidR="00EB19AC" w:rsidRPr="006E4A43">
              <w:rPr>
                <w:rFonts w:cs="Arial"/>
                <w:b/>
                <w:color w:val="9E001A"/>
                <w:spacing w:val="-4"/>
                <w:szCs w:val="16"/>
                <w:highlight w:val="yellow"/>
                <w:lang w:val="en-US"/>
              </w:rPr>
              <w:t>3</w:t>
            </w:r>
          </w:p>
        </w:tc>
        <w:tc>
          <w:tcPr>
            <w:tcW w:w="1134" w:type="dxa"/>
            <w:shd w:val="clear" w:color="auto" w:fill="E9E9E9" w:themeFill="accent3" w:themeFillTint="33"/>
          </w:tcPr>
          <w:p w14:paraId="41404931" w14:textId="7F252E68"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54,</w:t>
            </w:r>
            <w:r w:rsidR="00EB19AC" w:rsidRPr="006E4A43">
              <w:rPr>
                <w:rFonts w:cs="Arial"/>
                <w:b/>
                <w:color w:val="9E001A"/>
                <w:spacing w:val="-4"/>
                <w:szCs w:val="16"/>
                <w:highlight w:val="yellow"/>
                <w:lang w:val="en-US"/>
              </w:rPr>
              <w:t>0</w:t>
            </w:r>
          </w:p>
        </w:tc>
      </w:tr>
      <w:tr w:rsidR="00FE5EAC" w:rsidRPr="00767446" w14:paraId="66237EB2"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1639E49E" w14:textId="77777777" w:rsidR="00B92670" w:rsidRPr="00767446" w:rsidRDefault="00B92670" w:rsidP="00B92670">
            <w:pPr>
              <w:pStyle w:val="TabelalevistolpecNAPOVED"/>
            </w:pPr>
            <w:r w:rsidRPr="00767446">
              <w:t>Izvoz proizvodov in storitev, realna rast v %</w:t>
            </w:r>
          </w:p>
        </w:tc>
        <w:tc>
          <w:tcPr>
            <w:tcW w:w="1134" w:type="dxa"/>
            <w:noWrap/>
          </w:tcPr>
          <w:p w14:paraId="46044FD9" w14:textId="5116FFAF"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-8,7</w:t>
            </w:r>
          </w:p>
        </w:tc>
        <w:tc>
          <w:tcPr>
            <w:tcW w:w="1134" w:type="dxa"/>
            <w:shd w:val="clear" w:color="auto" w:fill="E9E9E9" w:themeFill="accent3" w:themeFillTint="33"/>
          </w:tcPr>
          <w:p w14:paraId="2E78187E" w14:textId="48841AC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8,</w:t>
            </w:r>
            <w:r w:rsidR="00EB19AC" w:rsidRPr="006E4A43">
              <w:rPr>
                <w:rFonts w:cs="Arial"/>
                <w:b/>
                <w:color w:val="9E001A"/>
                <w:spacing w:val="-4"/>
                <w:szCs w:val="16"/>
                <w:highlight w:val="yellow"/>
                <w:lang w:val="en-US"/>
              </w:rPr>
              <w:t>6</w:t>
            </w:r>
          </w:p>
        </w:tc>
        <w:tc>
          <w:tcPr>
            <w:tcW w:w="1275" w:type="dxa"/>
            <w:shd w:val="clear" w:color="auto" w:fill="E9E9E9" w:themeFill="accent3" w:themeFillTint="33"/>
          </w:tcPr>
          <w:p w14:paraId="50505963" w14:textId="73D49F7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7,3</w:t>
            </w:r>
          </w:p>
        </w:tc>
        <w:tc>
          <w:tcPr>
            <w:tcW w:w="1134" w:type="dxa"/>
            <w:shd w:val="clear" w:color="auto" w:fill="E9E9E9" w:themeFill="accent3" w:themeFillTint="33"/>
          </w:tcPr>
          <w:p w14:paraId="59387669" w14:textId="12DB87C0"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5,5</w:t>
            </w:r>
          </w:p>
        </w:tc>
      </w:tr>
      <w:tr w:rsidR="00FE5EAC" w:rsidRPr="00767446" w14:paraId="73650D14"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7AC069B9" w14:textId="77777777" w:rsidR="00B92670" w:rsidRPr="00767446" w:rsidRDefault="00B92670" w:rsidP="00B92670">
            <w:pPr>
              <w:pStyle w:val="TabelalevistolpecNAPOVED"/>
            </w:pPr>
            <w:r w:rsidRPr="00767446">
              <w:t>Uvoz proizvodov in storitev, realna rast v %</w:t>
            </w:r>
          </w:p>
        </w:tc>
        <w:tc>
          <w:tcPr>
            <w:tcW w:w="1134" w:type="dxa"/>
            <w:noWrap/>
          </w:tcPr>
          <w:p w14:paraId="42A4D019" w14:textId="3C0D4C44"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-10,2</w:t>
            </w:r>
          </w:p>
        </w:tc>
        <w:tc>
          <w:tcPr>
            <w:tcW w:w="1134" w:type="dxa"/>
            <w:shd w:val="clear" w:color="auto" w:fill="E9E9E9" w:themeFill="accent3" w:themeFillTint="33"/>
          </w:tcPr>
          <w:p w14:paraId="47D02C84" w14:textId="2D7D5F15"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8,</w:t>
            </w:r>
            <w:r w:rsidR="00EB19AC" w:rsidRPr="006E4A43">
              <w:rPr>
                <w:rFonts w:cs="Arial"/>
                <w:b/>
                <w:color w:val="9E001A"/>
                <w:spacing w:val="-4"/>
                <w:szCs w:val="16"/>
                <w:highlight w:val="yellow"/>
                <w:lang w:val="en-US"/>
              </w:rPr>
              <w:t>8</w:t>
            </w:r>
          </w:p>
        </w:tc>
        <w:tc>
          <w:tcPr>
            <w:tcW w:w="1275" w:type="dxa"/>
            <w:shd w:val="clear" w:color="auto" w:fill="E9E9E9" w:themeFill="accent3" w:themeFillTint="33"/>
          </w:tcPr>
          <w:p w14:paraId="1848B134" w14:textId="57AF221F"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8,1</w:t>
            </w:r>
          </w:p>
        </w:tc>
        <w:tc>
          <w:tcPr>
            <w:tcW w:w="1134" w:type="dxa"/>
            <w:shd w:val="clear" w:color="auto" w:fill="E9E9E9" w:themeFill="accent3" w:themeFillTint="33"/>
          </w:tcPr>
          <w:p w14:paraId="460971F1" w14:textId="0CADA2F0"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6,1</w:t>
            </w:r>
          </w:p>
        </w:tc>
      </w:tr>
      <w:tr w:rsidR="00FE5EAC" w:rsidRPr="00767446" w14:paraId="477B4680"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06B3B301" w14:textId="77777777" w:rsidR="00B92670" w:rsidRPr="00767446" w:rsidRDefault="00B92670" w:rsidP="00B92670">
            <w:pPr>
              <w:pStyle w:val="TabelalevistolpecNAPOVED"/>
            </w:pPr>
            <w:r w:rsidRPr="00767446">
              <w:rPr>
                <w:i/>
              </w:rPr>
              <w:t>Saldo menjave s tujino (prispevek k rasti v o.t.)</w:t>
            </w:r>
          </w:p>
        </w:tc>
        <w:tc>
          <w:tcPr>
            <w:tcW w:w="1134" w:type="dxa"/>
            <w:noWrap/>
          </w:tcPr>
          <w:p w14:paraId="36E6CEDB" w14:textId="3A14E760"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i/>
                <w:highlight w:val="yellow"/>
              </w:rPr>
            </w:pPr>
            <w:r w:rsidRPr="006E4A43">
              <w:rPr>
                <w:rFonts w:cs="Arial"/>
                <w:szCs w:val="16"/>
                <w:highlight w:val="yellow"/>
                <w:lang w:val="en-US"/>
              </w:rPr>
              <w:t>0,4</w:t>
            </w:r>
          </w:p>
        </w:tc>
        <w:tc>
          <w:tcPr>
            <w:tcW w:w="1134" w:type="dxa"/>
            <w:shd w:val="clear" w:color="auto" w:fill="E9E9E9" w:themeFill="accent3" w:themeFillTint="33"/>
          </w:tcPr>
          <w:p w14:paraId="4F9A88D1" w14:textId="76DF6CD3"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highlight w:val="yellow"/>
              </w:rPr>
            </w:pPr>
            <w:r w:rsidRPr="006E4A43">
              <w:rPr>
                <w:rFonts w:cs="Arial"/>
                <w:b/>
                <w:color w:val="9E001A"/>
                <w:spacing w:val="-4"/>
                <w:szCs w:val="16"/>
                <w:highlight w:val="yellow"/>
                <w:lang w:val="en-US"/>
              </w:rPr>
              <w:t>0,</w:t>
            </w:r>
            <w:r w:rsidR="00EB19AC" w:rsidRPr="006E4A43">
              <w:rPr>
                <w:rFonts w:cs="Arial"/>
                <w:b/>
                <w:color w:val="9E001A"/>
                <w:spacing w:val="-4"/>
                <w:szCs w:val="16"/>
                <w:highlight w:val="yellow"/>
                <w:lang w:val="en-US"/>
              </w:rPr>
              <w:t>7</w:t>
            </w:r>
          </w:p>
        </w:tc>
        <w:tc>
          <w:tcPr>
            <w:tcW w:w="1275" w:type="dxa"/>
            <w:shd w:val="clear" w:color="auto" w:fill="E9E9E9" w:themeFill="accent3" w:themeFillTint="33"/>
          </w:tcPr>
          <w:p w14:paraId="767F8AEC" w14:textId="052C3AFD"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color w:val="9E001A" w:themeColor="accent1"/>
                <w:highlight w:val="yellow"/>
              </w:rPr>
            </w:pPr>
            <w:r w:rsidRPr="006E4A43">
              <w:rPr>
                <w:rFonts w:cs="Arial"/>
                <w:b/>
                <w:color w:val="9E001A"/>
                <w:spacing w:val="-4"/>
                <w:szCs w:val="16"/>
                <w:highlight w:val="yellow"/>
                <w:lang w:val="en-US"/>
              </w:rPr>
              <w:t>0,1</w:t>
            </w:r>
          </w:p>
        </w:tc>
        <w:tc>
          <w:tcPr>
            <w:tcW w:w="1134" w:type="dxa"/>
            <w:shd w:val="clear" w:color="auto" w:fill="E9E9E9" w:themeFill="accent3" w:themeFillTint="33"/>
          </w:tcPr>
          <w:p w14:paraId="4EDE76AA" w14:textId="73BD0F5F"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iCs/>
                <w:color w:val="9E001A" w:themeColor="accent1"/>
                <w:highlight w:val="yellow"/>
              </w:rPr>
            </w:pPr>
            <w:r w:rsidRPr="006E4A43">
              <w:rPr>
                <w:rFonts w:cs="Arial"/>
                <w:b/>
                <w:color w:val="9E001A"/>
                <w:spacing w:val="-4"/>
                <w:szCs w:val="16"/>
                <w:highlight w:val="yellow"/>
                <w:lang w:val="en-US"/>
              </w:rPr>
              <w:t>0,</w:t>
            </w:r>
            <w:r w:rsidR="00EB19AC" w:rsidRPr="006E4A43">
              <w:rPr>
                <w:rFonts w:cs="Arial"/>
                <w:b/>
                <w:color w:val="9E001A"/>
                <w:spacing w:val="-4"/>
                <w:szCs w:val="16"/>
                <w:highlight w:val="yellow"/>
                <w:lang w:val="en-US"/>
              </w:rPr>
              <w:t>2</w:t>
            </w:r>
          </w:p>
        </w:tc>
      </w:tr>
      <w:tr w:rsidR="00FE5EAC" w:rsidRPr="00767446" w14:paraId="56EEEB80"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5F4C882C" w14:textId="77777777" w:rsidR="00B92670" w:rsidRPr="00767446" w:rsidRDefault="00B92670" w:rsidP="00B92670">
            <w:pPr>
              <w:pStyle w:val="TabelalevistolpecNAPOVED"/>
            </w:pPr>
            <w:r w:rsidRPr="00767446">
              <w:t>Zasebna potrošnja, realna rast v %</w:t>
            </w:r>
          </w:p>
        </w:tc>
        <w:tc>
          <w:tcPr>
            <w:tcW w:w="1134" w:type="dxa"/>
            <w:noWrap/>
          </w:tcPr>
          <w:p w14:paraId="1610DA80" w14:textId="4AB49C2F"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-9,7</w:t>
            </w:r>
          </w:p>
        </w:tc>
        <w:tc>
          <w:tcPr>
            <w:tcW w:w="1134" w:type="dxa"/>
            <w:shd w:val="clear" w:color="auto" w:fill="E9E9E9" w:themeFill="accent3" w:themeFillTint="33"/>
          </w:tcPr>
          <w:p w14:paraId="1F9B242A" w14:textId="4A24DCB2"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4,0</w:t>
            </w:r>
          </w:p>
        </w:tc>
        <w:tc>
          <w:tcPr>
            <w:tcW w:w="1275" w:type="dxa"/>
            <w:shd w:val="clear" w:color="auto" w:fill="E9E9E9" w:themeFill="accent3" w:themeFillTint="33"/>
          </w:tcPr>
          <w:p w14:paraId="1DC7138F" w14:textId="662A22A4"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4,7</w:t>
            </w:r>
          </w:p>
        </w:tc>
        <w:tc>
          <w:tcPr>
            <w:tcW w:w="1134" w:type="dxa"/>
            <w:shd w:val="clear" w:color="auto" w:fill="E9E9E9" w:themeFill="accent3" w:themeFillTint="33"/>
          </w:tcPr>
          <w:p w14:paraId="13419B49" w14:textId="363A7ABC"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2,9</w:t>
            </w:r>
          </w:p>
        </w:tc>
      </w:tr>
      <w:tr w:rsidR="00FE5EAC" w:rsidRPr="00767446" w14:paraId="3CED00D5"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26CD7F3E" w14:textId="77777777" w:rsidR="00B92670" w:rsidRPr="00767446" w:rsidRDefault="00B92670" w:rsidP="00B92670">
            <w:pPr>
              <w:pStyle w:val="TabelalevistolpecNAPOVED"/>
            </w:pPr>
            <w:r w:rsidRPr="00767446">
              <w:t xml:space="preserve">Državna potrošnja, realna rast v %, </w:t>
            </w:r>
          </w:p>
        </w:tc>
        <w:tc>
          <w:tcPr>
            <w:tcW w:w="1134" w:type="dxa"/>
            <w:noWrap/>
          </w:tcPr>
          <w:p w14:paraId="34973D06" w14:textId="5748F7D5"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1,8</w:t>
            </w:r>
          </w:p>
        </w:tc>
        <w:tc>
          <w:tcPr>
            <w:tcW w:w="1134" w:type="dxa"/>
            <w:shd w:val="clear" w:color="auto" w:fill="E9E9E9" w:themeFill="accent3" w:themeFillTint="33"/>
          </w:tcPr>
          <w:p w14:paraId="290CDE4E" w14:textId="50A025FA"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2,4</w:t>
            </w:r>
          </w:p>
        </w:tc>
        <w:tc>
          <w:tcPr>
            <w:tcW w:w="1275" w:type="dxa"/>
            <w:shd w:val="clear" w:color="auto" w:fill="E9E9E9" w:themeFill="accent3" w:themeFillTint="33"/>
          </w:tcPr>
          <w:p w14:paraId="6DB928FB" w14:textId="1C3255D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1,7</w:t>
            </w:r>
          </w:p>
        </w:tc>
        <w:tc>
          <w:tcPr>
            <w:tcW w:w="1134" w:type="dxa"/>
            <w:shd w:val="clear" w:color="auto" w:fill="E9E9E9" w:themeFill="accent3" w:themeFillTint="33"/>
          </w:tcPr>
          <w:p w14:paraId="2CF7E3DB" w14:textId="5E0C313F"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1,4</w:t>
            </w:r>
          </w:p>
        </w:tc>
      </w:tr>
      <w:tr w:rsidR="00FE5EAC" w:rsidRPr="00767446" w14:paraId="3E8003DF"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6B45AEAA" w14:textId="77777777" w:rsidR="00B92670" w:rsidRPr="00767446" w:rsidRDefault="00B92670" w:rsidP="00B92670">
            <w:pPr>
              <w:pStyle w:val="TabelalevistolpecNAPOVED"/>
            </w:pPr>
            <w:r w:rsidRPr="00767446">
              <w:t>Bruto investicije v osnovna sredstva, realna rast v %</w:t>
            </w:r>
          </w:p>
        </w:tc>
        <w:tc>
          <w:tcPr>
            <w:tcW w:w="1134" w:type="dxa"/>
            <w:noWrap/>
          </w:tcPr>
          <w:p w14:paraId="6B4A8DF1" w14:textId="295BBC7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-4,1</w:t>
            </w:r>
          </w:p>
        </w:tc>
        <w:tc>
          <w:tcPr>
            <w:tcW w:w="1134" w:type="dxa"/>
            <w:shd w:val="clear" w:color="auto" w:fill="E9E9E9" w:themeFill="accent3" w:themeFillTint="33"/>
          </w:tcPr>
          <w:p w14:paraId="26343CD4" w14:textId="79553AF8"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9,0</w:t>
            </w:r>
          </w:p>
        </w:tc>
        <w:tc>
          <w:tcPr>
            <w:tcW w:w="1275" w:type="dxa"/>
            <w:shd w:val="clear" w:color="auto" w:fill="E9E9E9" w:themeFill="accent3" w:themeFillTint="33"/>
          </w:tcPr>
          <w:p w14:paraId="3D0E689B" w14:textId="610866DC"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8,0</w:t>
            </w:r>
          </w:p>
        </w:tc>
        <w:tc>
          <w:tcPr>
            <w:tcW w:w="1134" w:type="dxa"/>
            <w:shd w:val="clear" w:color="auto" w:fill="E9E9E9" w:themeFill="accent3" w:themeFillTint="33"/>
          </w:tcPr>
          <w:p w14:paraId="7F2EB91A" w14:textId="4695582C"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6,5</w:t>
            </w:r>
          </w:p>
        </w:tc>
      </w:tr>
      <w:tr w:rsidR="00FE5EAC" w:rsidRPr="00767446" w14:paraId="4422FE8E"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50214B5E" w14:textId="77777777" w:rsidR="00B92670" w:rsidRPr="00767446" w:rsidRDefault="00B92670" w:rsidP="00B92670">
            <w:pPr>
              <w:pStyle w:val="TabelalevistolpecNAPOVED"/>
              <w:rPr>
                <w:i/>
              </w:rPr>
            </w:pPr>
            <w:r w:rsidRPr="00767446">
              <w:rPr>
                <w:i/>
              </w:rPr>
              <w:t xml:space="preserve">Sprememba zalog in vrednostni predmeti </w:t>
            </w:r>
            <w:r w:rsidRPr="00767446">
              <w:rPr>
                <w:i/>
              </w:rPr>
              <w:br/>
              <w:t>(prispevek k rasti v o.t.)</w:t>
            </w:r>
          </w:p>
        </w:tc>
        <w:tc>
          <w:tcPr>
            <w:tcW w:w="1134" w:type="dxa"/>
            <w:noWrap/>
          </w:tcPr>
          <w:p w14:paraId="28552852" w14:textId="2AC0A3DE"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i/>
                <w:highlight w:val="yellow"/>
              </w:rPr>
            </w:pPr>
            <w:r w:rsidRPr="006E4A43">
              <w:rPr>
                <w:rFonts w:cs="Arial"/>
                <w:szCs w:val="16"/>
                <w:highlight w:val="yellow"/>
                <w:lang w:val="en-US"/>
              </w:rPr>
              <w:t>-0,4</w:t>
            </w:r>
          </w:p>
        </w:tc>
        <w:tc>
          <w:tcPr>
            <w:tcW w:w="1134" w:type="dxa"/>
            <w:shd w:val="clear" w:color="auto" w:fill="E9E9E9" w:themeFill="accent3" w:themeFillTint="33"/>
          </w:tcPr>
          <w:p w14:paraId="65F89D17" w14:textId="01C2CB65"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highlight w:val="yellow"/>
              </w:rPr>
            </w:pPr>
            <w:r w:rsidRPr="006E4A43">
              <w:rPr>
                <w:rFonts w:cs="Arial"/>
                <w:b/>
                <w:color w:val="9E001A"/>
                <w:spacing w:val="-4"/>
                <w:szCs w:val="16"/>
                <w:highlight w:val="yellow"/>
                <w:lang w:val="en-US"/>
              </w:rPr>
              <w:t>-0,</w:t>
            </w:r>
            <w:r w:rsidR="00247E6B" w:rsidRPr="006E4A43">
              <w:rPr>
                <w:rFonts w:cs="Arial"/>
                <w:b/>
                <w:color w:val="9E001A"/>
                <w:spacing w:val="-4"/>
                <w:szCs w:val="16"/>
                <w:highlight w:val="yellow"/>
                <w:lang w:val="en-US"/>
              </w:rPr>
              <w:t>3</w:t>
            </w:r>
          </w:p>
        </w:tc>
        <w:tc>
          <w:tcPr>
            <w:tcW w:w="1275" w:type="dxa"/>
            <w:shd w:val="clear" w:color="auto" w:fill="E9E9E9" w:themeFill="accent3" w:themeFillTint="33"/>
          </w:tcPr>
          <w:p w14:paraId="0DAF6A41" w14:textId="486029B7"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color w:val="9E001A" w:themeColor="accent1"/>
                <w:highlight w:val="yellow"/>
              </w:rPr>
            </w:pPr>
            <w:r w:rsidRPr="006E4A43">
              <w:rPr>
                <w:rFonts w:cs="Arial"/>
                <w:b/>
                <w:color w:val="9E001A"/>
                <w:spacing w:val="-4"/>
                <w:szCs w:val="16"/>
                <w:highlight w:val="yellow"/>
                <w:lang w:val="en-US"/>
              </w:rPr>
              <w:t>0,0</w:t>
            </w:r>
          </w:p>
        </w:tc>
        <w:tc>
          <w:tcPr>
            <w:tcW w:w="1134" w:type="dxa"/>
            <w:shd w:val="clear" w:color="auto" w:fill="E9E9E9" w:themeFill="accent3" w:themeFillTint="33"/>
          </w:tcPr>
          <w:p w14:paraId="1BFC9669" w14:textId="5A992955" w:rsidR="00B92670" w:rsidRPr="006E4A43" w:rsidRDefault="00B92670" w:rsidP="006C00D7">
            <w:pPr>
              <w:pStyle w:val="TabelaNAPOVED"/>
              <w:cnfStyle w:val="000000000000" w:firstRow="0" w:lastRow="0" w:firstColumn="0" w:lastColumn="0" w:oddVBand="0" w:evenVBand="0" w:oddHBand="0" w:evenHBand="0" w:firstRowFirstColumn="0" w:firstRowLastColumn="0" w:lastRowFirstColumn="0" w:lastRowLastColumn="0"/>
              <w:rPr>
                <w:b/>
                <w:bCs/>
                <w:i/>
                <w:iCs/>
                <w:color w:val="9E001A" w:themeColor="accent1"/>
                <w:highlight w:val="yellow"/>
              </w:rPr>
            </w:pPr>
            <w:r w:rsidRPr="006E4A43">
              <w:rPr>
                <w:rFonts w:cs="Arial"/>
                <w:b/>
                <w:color w:val="9E001A"/>
                <w:spacing w:val="-4"/>
                <w:szCs w:val="16"/>
                <w:highlight w:val="yellow"/>
                <w:lang w:val="en-US"/>
              </w:rPr>
              <w:t>0,0</w:t>
            </w:r>
          </w:p>
        </w:tc>
      </w:tr>
      <w:tr w:rsidR="00BE1844" w:rsidRPr="00767446" w14:paraId="5D79FD01" w14:textId="77777777" w:rsidTr="001115DB">
        <w:trPr>
          <w:trHeight w:val="306"/>
        </w:trPr>
        <w:tc>
          <w:tcPr>
            <w:cnfStyle w:val="001000000000" w:firstRow="0" w:lastRow="0" w:firstColumn="1" w:lastColumn="0" w:oddVBand="0" w:evenVBand="0" w:oddHBand="0" w:evenHBand="0" w:firstRowFirstColumn="0" w:firstRowLastColumn="0" w:lastRowFirstColumn="0" w:lastRowLastColumn="0"/>
            <w:tcW w:w="9072" w:type="dxa"/>
            <w:gridSpan w:val="5"/>
          </w:tcPr>
          <w:p w14:paraId="0D8C6136" w14:textId="77777777" w:rsidR="00BE1844" w:rsidRPr="006E4A43" w:rsidRDefault="00BE1844" w:rsidP="00C17605">
            <w:pPr>
              <w:pStyle w:val="TabelalevistolpecglavaNAPOVED"/>
              <w:rPr>
                <w:highlight w:val="yellow"/>
              </w:rPr>
            </w:pPr>
            <w:r w:rsidRPr="006E4A43">
              <w:rPr>
                <w:highlight w:val="yellow"/>
              </w:rPr>
              <w:t>ZAPOSLENOST, PLAČE IN PRODUKTIVNOST</w:t>
            </w:r>
          </w:p>
        </w:tc>
      </w:tr>
      <w:tr w:rsidR="00FE5EAC" w:rsidRPr="00767446" w14:paraId="2C6246C2"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2BEBE588" w14:textId="77777777" w:rsidR="00E77CFE" w:rsidRPr="00767446" w:rsidRDefault="00E77CFE" w:rsidP="00E77CFE">
            <w:pPr>
              <w:pStyle w:val="TabelalevistolpecNAPOVED"/>
            </w:pPr>
            <w:r w:rsidRPr="00767446">
              <w:t>Zaposlenost, statistika nacionalnih računov, rast v %</w:t>
            </w:r>
          </w:p>
        </w:tc>
        <w:tc>
          <w:tcPr>
            <w:tcW w:w="1134" w:type="dxa"/>
            <w:noWrap/>
          </w:tcPr>
          <w:p w14:paraId="13D167E7" w14:textId="30B86E62"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-1,0</w:t>
            </w:r>
          </w:p>
        </w:tc>
        <w:tc>
          <w:tcPr>
            <w:tcW w:w="1134" w:type="dxa"/>
            <w:shd w:val="clear" w:color="auto" w:fill="E9E9E9" w:themeFill="accent3" w:themeFillTint="33"/>
          </w:tcPr>
          <w:p w14:paraId="638BC60F" w14:textId="01FB2E76"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0,8</w:t>
            </w:r>
          </w:p>
        </w:tc>
        <w:tc>
          <w:tcPr>
            <w:tcW w:w="1275" w:type="dxa"/>
            <w:shd w:val="clear" w:color="auto" w:fill="E9E9E9" w:themeFill="accent3" w:themeFillTint="33"/>
          </w:tcPr>
          <w:p w14:paraId="043A0FAF" w14:textId="4741AC23"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1,5</w:t>
            </w:r>
          </w:p>
        </w:tc>
        <w:tc>
          <w:tcPr>
            <w:tcW w:w="1134" w:type="dxa"/>
            <w:shd w:val="clear" w:color="auto" w:fill="E9E9E9" w:themeFill="accent3" w:themeFillTint="33"/>
          </w:tcPr>
          <w:p w14:paraId="1FCA3BBB" w14:textId="6286209E"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1,5</w:t>
            </w:r>
          </w:p>
        </w:tc>
      </w:tr>
      <w:tr w:rsidR="00FE5EAC" w:rsidRPr="00767446" w14:paraId="0DC556C0"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51414170" w14:textId="77777777" w:rsidR="00E77CFE" w:rsidRPr="00767446" w:rsidRDefault="00E77CFE" w:rsidP="00E77CFE">
            <w:pPr>
              <w:pStyle w:val="TabelalevistolpecNAPOVED"/>
            </w:pPr>
            <w:r w:rsidRPr="00767446">
              <w:t>Št. registriranih brezposelnih, povprečje leta, v tisoč</w:t>
            </w:r>
          </w:p>
        </w:tc>
        <w:tc>
          <w:tcPr>
            <w:tcW w:w="1134" w:type="dxa"/>
            <w:noWrap/>
          </w:tcPr>
          <w:p w14:paraId="4F785208" w14:textId="28D1ED1A"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85,0</w:t>
            </w:r>
          </w:p>
        </w:tc>
        <w:tc>
          <w:tcPr>
            <w:tcW w:w="1134" w:type="dxa"/>
            <w:shd w:val="clear" w:color="auto" w:fill="E9E9E9" w:themeFill="accent3" w:themeFillTint="33"/>
          </w:tcPr>
          <w:p w14:paraId="55EFEFC5" w14:textId="486FF8E6"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83,1</w:t>
            </w:r>
          </w:p>
        </w:tc>
        <w:tc>
          <w:tcPr>
            <w:tcW w:w="1275" w:type="dxa"/>
            <w:shd w:val="clear" w:color="auto" w:fill="E9E9E9" w:themeFill="accent3" w:themeFillTint="33"/>
          </w:tcPr>
          <w:p w14:paraId="70CE43DC" w14:textId="12D59F0F"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80,7</w:t>
            </w:r>
          </w:p>
        </w:tc>
        <w:tc>
          <w:tcPr>
            <w:tcW w:w="1134" w:type="dxa"/>
            <w:shd w:val="clear" w:color="auto" w:fill="E9E9E9" w:themeFill="accent3" w:themeFillTint="33"/>
          </w:tcPr>
          <w:p w14:paraId="249F4922" w14:textId="470369A7"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76,5</w:t>
            </w:r>
          </w:p>
        </w:tc>
      </w:tr>
      <w:tr w:rsidR="00FE5EAC" w:rsidRPr="00767446" w14:paraId="66E797B8"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669DBC78" w14:textId="77777777" w:rsidR="00E77CFE" w:rsidRPr="00767446" w:rsidRDefault="00E77CFE" w:rsidP="00E77CFE">
            <w:pPr>
              <w:pStyle w:val="TabelalevistolpecNAPOVED"/>
            </w:pPr>
            <w:r w:rsidRPr="00767446">
              <w:t>Stopnja registrirane brezposelnosti v %</w:t>
            </w:r>
          </w:p>
        </w:tc>
        <w:tc>
          <w:tcPr>
            <w:tcW w:w="1134" w:type="dxa"/>
            <w:noWrap/>
          </w:tcPr>
          <w:p w14:paraId="4C5434B0" w14:textId="327233A0"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8,7</w:t>
            </w:r>
          </w:p>
        </w:tc>
        <w:tc>
          <w:tcPr>
            <w:tcW w:w="1134" w:type="dxa"/>
            <w:shd w:val="clear" w:color="auto" w:fill="E9E9E9" w:themeFill="accent3" w:themeFillTint="33"/>
          </w:tcPr>
          <w:p w14:paraId="55762FC2" w14:textId="67694513"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8,5</w:t>
            </w:r>
          </w:p>
        </w:tc>
        <w:tc>
          <w:tcPr>
            <w:tcW w:w="1275" w:type="dxa"/>
            <w:shd w:val="clear" w:color="auto" w:fill="E9E9E9" w:themeFill="accent3" w:themeFillTint="33"/>
          </w:tcPr>
          <w:p w14:paraId="32130DEE" w14:textId="29319E13"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8,1</w:t>
            </w:r>
          </w:p>
        </w:tc>
        <w:tc>
          <w:tcPr>
            <w:tcW w:w="1134" w:type="dxa"/>
            <w:shd w:val="clear" w:color="auto" w:fill="E9E9E9" w:themeFill="accent3" w:themeFillTint="33"/>
          </w:tcPr>
          <w:p w14:paraId="3F4F7927" w14:textId="1FC743FE"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7,6</w:t>
            </w:r>
          </w:p>
        </w:tc>
      </w:tr>
      <w:tr w:rsidR="00FE5EAC" w:rsidRPr="00767446" w14:paraId="38431C26"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5DB463C8" w14:textId="77777777" w:rsidR="00E77CFE" w:rsidRPr="00767446" w:rsidRDefault="00E77CFE" w:rsidP="00E77CFE">
            <w:pPr>
              <w:pStyle w:val="TabelalevistolpecNAPOVED"/>
            </w:pPr>
            <w:r w:rsidRPr="00767446">
              <w:t>Stopnja brezposelnosti po anketi o delovni sili v %</w:t>
            </w:r>
          </w:p>
        </w:tc>
        <w:tc>
          <w:tcPr>
            <w:tcW w:w="1134" w:type="dxa"/>
            <w:noWrap/>
          </w:tcPr>
          <w:p w14:paraId="6C64C5BF" w14:textId="12D30549"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5,0</w:t>
            </w:r>
          </w:p>
        </w:tc>
        <w:tc>
          <w:tcPr>
            <w:tcW w:w="1134" w:type="dxa"/>
            <w:shd w:val="clear" w:color="auto" w:fill="E9E9E9" w:themeFill="accent3" w:themeFillTint="33"/>
          </w:tcPr>
          <w:p w14:paraId="71032546" w14:textId="4585C7D7"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5,0</w:t>
            </w:r>
          </w:p>
        </w:tc>
        <w:tc>
          <w:tcPr>
            <w:tcW w:w="1275" w:type="dxa"/>
            <w:shd w:val="clear" w:color="auto" w:fill="E9E9E9" w:themeFill="accent3" w:themeFillTint="33"/>
          </w:tcPr>
          <w:p w14:paraId="20B9D60F" w14:textId="7C4A15C2"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4,8</w:t>
            </w:r>
          </w:p>
        </w:tc>
        <w:tc>
          <w:tcPr>
            <w:tcW w:w="1134" w:type="dxa"/>
            <w:shd w:val="clear" w:color="auto" w:fill="E9E9E9" w:themeFill="accent3" w:themeFillTint="33"/>
          </w:tcPr>
          <w:p w14:paraId="37A7B7CE" w14:textId="29513CC6"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4,5</w:t>
            </w:r>
          </w:p>
        </w:tc>
      </w:tr>
      <w:tr w:rsidR="00FE5EAC" w:rsidRPr="00767446" w14:paraId="274A82A3" w14:textId="77777777" w:rsidTr="007B03F2">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019BAE22" w14:textId="02BC27C4" w:rsidR="00E77CFE" w:rsidRPr="00E77CFE" w:rsidRDefault="00E77CFE" w:rsidP="00E77CFE">
            <w:pPr>
              <w:pStyle w:val="TabelalevistolpecNAPOVED"/>
              <w:rPr>
                <w:vertAlign w:val="superscript"/>
              </w:rPr>
            </w:pPr>
            <w:r w:rsidRPr="00767446">
              <w:t>Bruto plače na zaposlenega, nominalna rast</w:t>
            </w:r>
            <w:r>
              <w:t>*</w:t>
            </w:r>
            <w:r w:rsidRPr="00767446">
              <w:t xml:space="preserve"> v %</w:t>
            </w:r>
          </w:p>
        </w:tc>
        <w:tc>
          <w:tcPr>
            <w:tcW w:w="1134" w:type="dxa"/>
            <w:noWrap/>
          </w:tcPr>
          <w:p w14:paraId="4C73F70A" w14:textId="72755D87"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5,8</w:t>
            </w:r>
          </w:p>
        </w:tc>
        <w:tc>
          <w:tcPr>
            <w:tcW w:w="1134" w:type="dxa"/>
            <w:shd w:val="clear" w:color="auto" w:fill="E9E9E9" w:themeFill="accent3" w:themeFillTint="33"/>
          </w:tcPr>
          <w:p w14:paraId="17D90650" w14:textId="4949F2C6"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0,4</w:t>
            </w:r>
          </w:p>
        </w:tc>
        <w:tc>
          <w:tcPr>
            <w:tcW w:w="1275" w:type="dxa"/>
            <w:shd w:val="clear" w:color="auto" w:fill="E9E9E9" w:themeFill="accent3" w:themeFillTint="33"/>
          </w:tcPr>
          <w:p w14:paraId="7BD3FB88" w14:textId="7822609C"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2,1</w:t>
            </w:r>
          </w:p>
        </w:tc>
        <w:tc>
          <w:tcPr>
            <w:tcW w:w="1134" w:type="dxa"/>
            <w:shd w:val="clear" w:color="auto" w:fill="E9E9E9" w:themeFill="accent3" w:themeFillTint="33"/>
          </w:tcPr>
          <w:p w14:paraId="69E23CFC" w14:textId="2F0D1F5F" w:rsidR="00E77CFE" w:rsidRPr="006E4A43" w:rsidRDefault="00E77CFE"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2,7</w:t>
            </w:r>
          </w:p>
        </w:tc>
      </w:tr>
      <w:tr w:rsidR="00FE5EAC" w:rsidRPr="00767446" w14:paraId="14C8E1A5" w14:textId="77777777" w:rsidTr="004356D5">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327F8D83" w14:textId="77777777" w:rsidR="004356D5" w:rsidRPr="00767446" w:rsidRDefault="004356D5" w:rsidP="004356D5">
            <w:pPr>
              <w:pStyle w:val="TabelalevistolpecNAPOVED"/>
            </w:pPr>
            <w:r w:rsidRPr="00767446">
              <w:t>Produktivnost dela (BDP na zaposlenega), realna rast v %</w:t>
            </w:r>
          </w:p>
        </w:tc>
        <w:tc>
          <w:tcPr>
            <w:tcW w:w="1134" w:type="dxa"/>
            <w:noWrap/>
          </w:tcPr>
          <w:p w14:paraId="6264A2F8" w14:textId="569CE6FC" w:rsidR="004356D5" w:rsidRPr="006E4A43" w:rsidRDefault="004356D5"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-4,6</w:t>
            </w:r>
          </w:p>
        </w:tc>
        <w:tc>
          <w:tcPr>
            <w:tcW w:w="1134" w:type="dxa"/>
            <w:shd w:val="clear" w:color="auto" w:fill="E9E9E9" w:themeFill="accent3" w:themeFillTint="33"/>
          </w:tcPr>
          <w:p w14:paraId="49CCEFC4" w14:textId="71E4F9F6" w:rsidR="004356D5" w:rsidRPr="006E4A43" w:rsidRDefault="004356D5"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3,8</w:t>
            </w:r>
          </w:p>
        </w:tc>
        <w:tc>
          <w:tcPr>
            <w:tcW w:w="1275" w:type="dxa"/>
            <w:shd w:val="clear" w:color="auto" w:fill="E9E9E9" w:themeFill="accent3" w:themeFillTint="33"/>
          </w:tcPr>
          <w:p w14:paraId="56170CB7" w14:textId="1F91207B" w:rsidR="004356D5" w:rsidRPr="006E4A43" w:rsidRDefault="004356D5"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2,8</w:t>
            </w:r>
          </w:p>
        </w:tc>
        <w:tc>
          <w:tcPr>
            <w:tcW w:w="1134" w:type="dxa"/>
            <w:shd w:val="clear" w:color="auto" w:fill="E9E9E9" w:themeFill="accent3" w:themeFillTint="33"/>
          </w:tcPr>
          <w:p w14:paraId="057FD988" w14:textId="66B7BA3F" w:rsidR="004356D5" w:rsidRPr="006E4A43" w:rsidRDefault="004356D5"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1,7</w:t>
            </w:r>
          </w:p>
        </w:tc>
      </w:tr>
      <w:tr w:rsidR="00BE1844" w:rsidRPr="00767446" w14:paraId="039C895A" w14:textId="77777777" w:rsidTr="001115DB">
        <w:trPr>
          <w:trHeight w:val="306"/>
        </w:trPr>
        <w:tc>
          <w:tcPr>
            <w:cnfStyle w:val="001000000000" w:firstRow="0" w:lastRow="0" w:firstColumn="1" w:lastColumn="0" w:oddVBand="0" w:evenVBand="0" w:oddHBand="0" w:evenHBand="0" w:firstRowFirstColumn="0" w:firstRowLastColumn="0" w:lastRowFirstColumn="0" w:lastRowLastColumn="0"/>
            <w:tcW w:w="9072" w:type="dxa"/>
            <w:gridSpan w:val="5"/>
          </w:tcPr>
          <w:p w14:paraId="798522FF" w14:textId="77777777" w:rsidR="00BE1844" w:rsidRPr="006E4A43" w:rsidRDefault="00BE1844" w:rsidP="00C17605">
            <w:pPr>
              <w:pStyle w:val="TabelalevistolpecglavaNAPOVED"/>
              <w:rPr>
                <w:highlight w:val="yellow"/>
              </w:rPr>
            </w:pPr>
            <w:r w:rsidRPr="006E4A43">
              <w:rPr>
                <w:highlight w:val="yellow"/>
              </w:rPr>
              <w:t>PLAČILNO BILANČNA STATISTIKA</w:t>
            </w:r>
          </w:p>
        </w:tc>
      </w:tr>
      <w:tr w:rsidR="004372F6" w:rsidRPr="00767446" w14:paraId="7D3BEC29" w14:textId="77777777" w:rsidTr="00D6272D">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274DE6C9" w14:textId="77777777" w:rsidR="004372F6" w:rsidRPr="00767446" w:rsidRDefault="004372F6" w:rsidP="004372F6">
            <w:pPr>
              <w:pStyle w:val="TabelalevistolpecNAPOVED"/>
            </w:pPr>
            <w:r w:rsidRPr="00767446">
              <w:t xml:space="preserve">SALDO tekočega računa plačilne bilance v mrd EUR </w:t>
            </w:r>
          </w:p>
        </w:tc>
        <w:tc>
          <w:tcPr>
            <w:tcW w:w="1134" w:type="dxa"/>
            <w:noWrap/>
          </w:tcPr>
          <w:p w14:paraId="729B837C" w14:textId="5E8939A5" w:rsidR="004372F6" w:rsidRPr="006E4A43" w:rsidRDefault="00DF5B38"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highlight w:val="yellow"/>
              </w:rPr>
              <w:t>3,4</w:t>
            </w:r>
          </w:p>
        </w:tc>
        <w:tc>
          <w:tcPr>
            <w:tcW w:w="1134" w:type="dxa"/>
            <w:shd w:val="clear" w:color="auto" w:fill="E9E9E9" w:themeFill="accent3" w:themeFillTint="33"/>
          </w:tcPr>
          <w:p w14:paraId="53101D6A" w14:textId="660805FA" w:rsidR="004372F6" w:rsidRPr="006E4A43" w:rsidRDefault="004372F6"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b/>
                <w:bCs/>
                <w:color w:val="9E001A" w:themeColor="accent1"/>
                <w:highlight w:val="yellow"/>
              </w:rPr>
              <w:t>3,</w:t>
            </w:r>
            <w:r w:rsidR="00247E6B" w:rsidRPr="006E4A43">
              <w:rPr>
                <w:b/>
                <w:bCs/>
                <w:color w:val="9E001A" w:themeColor="accent1"/>
                <w:highlight w:val="yellow"/>
              </w:rPr>
              <w:t>2</w:t>
            </w:r>
          </w:p>
        </w:tc>
        <w:tc>
          <w:tcPr>
            <w:tcW w:w="1275" w:type="dxa"/>
            <w:tcBorders>
              <w:top w:val="single" w:sz="4" w:space="0" w:color="auto"/>
              <w:left w:val="single" w:sz="4" w:space="0" w:color="auto"/>
              <w:bottom w:val="single" w:sz="4" w:space="0" w:color="auto"/>
              <w:right w:val="single" w:sz="4" w:space="0" w:color="auto"/>
            </w:tcBorders>
            <w:shd w:val="clear" w:color="auto" w:fill="E9E9E9" w:themeFill="accent3" w:themeFillTint="33"/>
          </w:tcPr>
          <w:p w14:paraId="2C453E9B" w14:textId="37A05E30" w:rsidR="004372F6" w:rsidRPr="006E4A43" w:rsidRDefault="004372F6"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3,</w:t>
            </w:r>
            <w:r w:rsidR="00247E6B" w:rsidRPr="006E4A43">
              <w:rPr>
                <w:b/>
                <w:bCs/>
                <w:color w:val="9E001A" w:themeColor="accent1"/>
                <w:highlight w:val="yellow"/>
              </w:rPr>
              <w:t>1</w:t>
            </w:r>
          </w:p>
        </w:tc>
        <w:tc>
          <w:tcPr>
            <w:tcW w:w="1134" w:type="dxa"/>
            <w:tcBorders>
              <w:top w:val="single" w:sz="4" w:space="0" w:color="auto"/>
              <w:left w:val="nil"/>
              <w:bottom w:val="single" w:sz="4" w:space="0" w:color="auto"/>
              <w:right w:val="nil"/>
            </w:tcBorders>
            <w:shd w:val="clear" w:color="auto" w:fill="E9E9E9" w:themeFill="accent3" w:themeFillTint="33"/>
          </w:tcPr>
          <w:p w14:paraId="72107A97" w14:textId="1DF851FC" w:rsidR="004372F6" w:rsidRPr="006E4A43" w:rsidRDefault="004372F6"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3,</w:t>
            </w:r>
            <w:r w:rsidR="00247E6B" w:rsidRPr="006E4A43">
              <w:rPr>
                <w:b/>
                <w:bCs/>
                <w:color w:val="9E001A" w:themeColor="accent1"/>
                <w:highlight w:val="yellow"/>
              </w:rPr>
              <w:t>1</w:t>
            </w:r>
          </w:p>
        </w:tc>
      </w:tr>
      <w:tr w:rsidR="004372F6" w:rsidRPr="00767446" w14:paraId="6222C457" w14:textId="77777777" w:rsidTr="00D6272D">
        <w:trPr>
          <w:trHeight w:val="306"/>
        </w:trPr>
        <w:tc>
          <w:tcPr>
            <w:cnfStyle w:val="001000000000" w:firstRow="0" w:lastRow="0" w:firstColumn="1" w:lastColumn="0" w:oddVBand="0" w:evenVBand="0" w:oddHBand="0" w:evenHBand="0" w:firstRowFirstColumn="0" w:firstRowLastColumn="0" w:lastRowFirstColumn="0" w:lastRowLastColumn="0"/>
            <w:tcW w:w="4395" w:type="dxa"/>
            <w:noWrap/>
            <w:hideMark/>
          </w:tcPr>
          <w:p w14:paraId="7EDFE417" w14:textId="77777777" w:rsidR="004372F6" w:rsidRPr="00767446" w:rsidRDefault="004372F6" w:rsidP="004372F6">
            <w:pPr>
              <w:pStyle w:val="TabelalevistolpecNAPOVED"/>
            </w:pPr>
            <w:r w:rsidRPr="00767446">
              <w:t xml:space="preserve">     - v primerjavi z BDP v % </w:t>
            </w:r>
          </w:p>
        </w:tc>
        <w:tc>
          <w:tcPr>
            <w:tcW w:w="1134" w:type="dxa"/>
            <w:noWrap/>
          </w:tcPr>
          <w:p w14:paraId="6E3E48A7" w14:textId="09EFF07D" w:rsidR="004372F6" w:rsidRPr="006E4A43" w:rsidRDefault="00DF5B38"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highlight w:val="yellow"/>
              </w:rPr>
              <w:t>7,3</w:t>
            </w:r>
          </w:p>
        </w:tc>
        <w:tc>
          <w:tcPr>
            <w:tcW w:w="1134" w:type="dxa"/>
            <w:shd w:val="clear" w:color="auto" w:fill="E9E9E9" w:themeFill="accent3" w:themeFillTint="33"/>
          </w:tcPr>
          <w:p w14:paraId="66762A13" w14:textId="51E7A845" w:rsidR="004372F6" w:rsidRPr="006E4A43" w:rsidRDefault="00394AE9"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b/>
                <w:bCs/>
                <w:color w:val="9E001A" w:themeColor="accent1"/>
                <w:highlight w:val="yellow"/>
              </w:rPr>
              <w:t>6</w:t>
            </w:r>
            <w:r w:rsidR="004372F6" w:rsidRPr="006E4A43">
              <w:rPr>
                <w:b/>
                <w:bCs/>
                <w:color w:val="9E001A" w:themeColor="accent1"/>
                <w:highlight w:val="yellow"/>
              </w:rPr>
              <w:t>,</w:t>
            </w:r>
            <w:r w:rsidRPr="006E4A43">
              <w:rPr>
                <w:b/>
                <w:bCs/>
                <w:color w:val="9E001A" w:themeColor="accent1"/>
                <w:highlight w:val="yellow"/>
              </w:rPr>
              <w:t>6</w:t>
            </w:r>
          </w:p>
        </w:tc>
        <w:tc>
          <w:tcPr>
            <w:tcW w:w="1275" w:type="dxa"/>
            <w:tcBorders>
              <w:top w:val="nil"/>
              <w:left w:val="single" w:sz="4" w:space="0" w:color="auto"/>
              <w:bottom w:val="single" w:sz="4" w:space="0" w:color="000000"/>
              <w:right w:val="single" w:sz="4" w:space="0" w:color="auto"/>
            </w:tcBorders>
            <w:shd w:val="clear" w:color="auto" w:fill="E9E9E9" w:themeFill="accent3" w:themeFillTint="33"/>
          </w:tcPr>
          <w:p w14:paraId="5E38FB09" w14:textId="13561A8F" w:rsidR="004372F6" w:rsidRPr="006E4A43" w:rsidRDefault="004372F6"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6,</w:t>
            </w:r>
            <w:r w:rsidR="00394AE9" w:rsidRPr="006E4A43">
              <w:rPr>
                <w:b/>
                <w:bCs/>
                <w:color w:val="9E001A" w:themeColor="accent1"/>
                <w:highlight w:val="yellow"/>
              </w:rPr>
              <w:t>1</w:t>
            </w:r>
          </w:p>
        </w:tc>
        <w:tc>
          <w:tcPr>
            <w:tcW w:w="1134" w:type="dxa"/>
            <w:tcBorders>
              <w:top w:val="single" w:sz="4" w:space="0" w:color="auto"/>
              <w:left w:val="nil"/>
              <w:bottom w:val="single" w:sz="4" w:space="0" w:color="auto"/>
              <w:right w:val="nil"/>
            </w:tcBorders>
            <w:shd w:val="clear" w:color="auto" w:fill="E9E9E9" w:themeFill="accent3" w:themeFillTint="33"/>
          </w:tcPr>
          <w:p w14:paraId="5C19BADE" w14:textId="0B7937C1" w:rsidR="004372F6" w:rsidRPr="006E4A43" w:rsidRDefault="00394AE9"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5</w:t>
            </w:r>
            <w:r w:rsidR="00DF5B38" w:rsidRPr="006E4A43">
              <w:rPr>
                <w:b/>
                <w:bCs/>
                <w:color w:val="9E001A" w:themeColor="accent1"/>
                <w:highlight w:val="yellow"/>
              </w:rPr>
              <w:t>,</w:t>
            </w:r>
            <w:r w:rsidRPr="006E4A43">
              <w:rPr>
                <w:b/>
                <w:bCs/>
                <w:color w:val="9E001A" w:themeColor="accent1"/>
                <w:highlight w:val="yellow"/>
              </w:rPr>
              <w:t>8</w:t>
            </w:r>
          </w:p>
        </w:tc>
      </w:tr>
      <w:tr w:rsidR="00D73DAE" w:rsidRPr="00767446" w14:paraId="4484050B" w14:textId="77777777" w:rsidTr="001115DB">
        <w:trPr>
          <w:trHeight w:val="306"/>
        </w:trPr>
        <w:tc>
          <w:tcPr>
            <w:cnfStyle w:val="001000000000" w:firstRow="0" w:lastRow="0" w:firstColumn="1" w:lastColumn="0" w:oddVBand="0" w:evenVBand="0" w:oddHBand="0" w:evenHBand="0" w:firstRowFirstColumn="0" w:firstRowLastColumn="0" w:lastRowFirstColumn="0" w:lastRowLastColumn="0"/>
            <w:tcW w:w="9072" w:type="dxa"/>
            <w:gridSpan w:val="5"/>
          </w:tcPr>
          <w:p w14:paraId="6AD33ACF" w14:textId="77777777" w:rsidR="00D73DAE" w:rsidRPr="006E4A43" w:rsidRDefault="00D73DAE" w:rsidP="00D73DAE">
            <w:pPr>
              <w:pStyle w:val="TabelalevistolpecglavaNAPOVED"/>
              <w:rPr>
                <w:highlight w:val="yellow"/>
              </w:rPr>
            </w:pPr>
            <w:r w:rsidRPr="006E4A43">
              <w:rPr>
                <w:highlight w:val="yellow"/>
              </w:rPr>
              <w:t>CENE IN EFEKTIVNI TEČAJ</w:t>
            </w:r>
          </w:p>
        </w:tc>
      </w:tr>
      <w:tr w:rsidR="00FE5EAC" w:rsidRPr="00767446" w14:paraId="0EA7E402"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17C25BED" w14:textId="77777777" w:rsidR="008D72FB" w:rsidRPr="00767446" w:rsidRDefault="008D72FB" w:rsidP="008D72FB">
            <w:pPr>
              <w:pStyle w:val="TabelalevistolpecNAPOVED"/>
            </w:pPr>
            <w:r w:rsidRPr="00767446">
              <w:t>Inflacija (dec./dec.), v %</w:t>
            </w:r>
          </w:p>
        </w:tc>
        <w:tc>
          <w:tcPr>
            <w:tcW w:w="1134" w:type="dxa"/>
          </w:tcPr>
          <w:p w14:paraId="164D6047" w14:textId="79CAC841"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-1,1</w:t>
            </w:r>
          </w:p>
        </w:tc>
        <w:tc>
          <w:tcPr>
            <w:tcW w:w="1134" w:type="dxa"/>
            <w:shd w:val="clear" w:color="auto" w:fill="E9E9E9" w:themeFill="accent3" w:themeFillTint="33"/>
          </w:tcPr>
          <w:p w14:paraId="31733AB7" w14:textId="61F9C20C"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1,1</w:t>
            </w:r>
          </w:p>
        </w:tc>
        <w:tc>
          <w:tcPr>
            <w:tcW w:w="1275" w:type="dxa"/>
            <w:shd w:val="clear" w:color="auto" w:fill="E9E9E9" w:themeFill="accent3" w:themeFillTint="33"/>
          </w:tcPr>
          <w:p w14:paraId="2CA05DCA" w14:textId="2F68E7A5"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1,5</w:t>
            </w:r>
          </w:p>
        </w:tc>
        <w:tc>
          <w:tcPr>
            <w:tcW w:w="1134" w:type="dxa"/>
            <w:shd w:val="clear" w:color="auto" w:fill="E9E9E9" w:themeFill="accent3" w:themeFillTint="33"/>
          </w:tcPr>
          <w:p w14:paraId="3230A147" w14:textId="0C9D7D98"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2,0</w:t>
            </w:r>
          </w:p>
        </w:tc>
      </w:tr>
      <w:tr w:rsidR="00FE5EAC" w:rsidRPr="00767446" w14:paraId="212A5C53" w14:textId="77777777" w:rsidTr="00D6272D">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59E2D194" w14:textId="77777777" w:rsidR="008D72FB" w:rsidRPr="00767446" w:rsidRDefault="008D72FB" w:rsidP="008D72FB">
            <w:pPr>
              <w:pStyle w:val="TabelalevistolpecNAPOVED"/>
            </w:pPr>
            <w:r w:rsidRPr="00767446">
              <w:t>Inflacija (povprečje leta), v %</w:t>
            </w:r>
          </w:p>
        </w:tc>
        <w:tc>
          <w:tcPr>
            <w:tcW w:w="1134" w:type="dxa"/>
          </w:tcPr>
          <w:p w14:paraId="6D8F0516" w14:textId="2E754E8A"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-0,1</w:t>
            </w:r>
          </w:p>
        </w:tc>
        <w:tc>
          <w:tcPr>
            <w:tcW w:w="1134" w:type="dxa"/>
            <w:shd w:val="clear" w:color="auto" w:fill="E9E9E9" w:themeFill="accent3" w:themeFillTint="33"/>
          </w:tcPr>
          <w:p w14:paraId="22C31388" w14:textId="35BBBAE8"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0,8</w:t>
            </w:r>
          </w:p>
        </w:tc>
        <w:tc>
          <w:tcPr>
            <w:tcW w:w="1275" w:type="dxa"/>
            <w:shd w:val="clear" w:color="auto" w:fill="E9E9E9" w:themeFill="accent3" w:themeFillTint="33"/>
          </w:tcPr>
          <w:p w14:paraId="30D109AC" w14:textId="1C12E0BA"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1,2</w:t>
            </w:r>
          </w:p>
        </w:tc>
        <w:tc>
          <w:tcPr>
            <w:tcW w:w="1134" w:type="dxa"/>
            <w:tcBorders>
              <w:bottom w:val="single" w:sz="4" w:space="0" w:color="auto"/>
            </w:tcBorders>
            <w:shd w:val="clear" w:color="auto" w:fill="E9E9E9" w:themeFill="accent3" w:themeFillTint="33"/>
          </w:tcPr>
          <w:p w14:paraId="0E1A4734" w14:textId="1D9E2DAF"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1,7</w:t>
            </w:r>
          </w:p>
        </w:tc>
      </w:tr>
      <w:tr w:rsidR="00A81D42" w:rsidRPr="00767446" w14:paraId="17CEA846" w14:textId="77777777" w:rsidTr="00D6272D">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7124AC19" w14:textId="77777777" w:rsidR="00A81D42" w:rsidRPr="00767446" w:rsidRDefault="00A81D42" w:rsidP="00A81D42">
            <w:pPr>
              <w:pStyle w:val="TabelalevistolpecNAPOVED"/>
            </w:pPr>
            <w:r w:rsidRPr="00767446">
              <w:t>Realni efektivni tečaj – deflator stroški dela na enoto proizvoda</w:t>
            </w:r>
          </w:p>
        </w:tc>
        <w:tc>
          <w:tcPr>
            <w:tcW w:w="1134" w:type="dxa"/>
          </w:tcPr>
          <w:p w14:paraId="26EB3405" w14:textId="5DA45EF9" w:rsidR="00A81D42" w:rsidRPr="006E4A43" w:rsidRDefault="00D6272D"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highlight w:val="yellow"/>
              </w:rPr>
              <w:t>2,8</w:t>
            </w:r>
          </w:p>
        </w:tc>
        <w:tc>
          <w:tcPr>
            <w:tcW w:w="1134" w:type="dxa"/>
            <w:shd w:val="clear" w:color="auto" w:fill="E9E9E9" w:themeFill="accent3" w:themeFillTint="33"/>
          </w:tcPr>
          <w:p w14:paraId="28375DE3" w14:textId="1BD5E743" w:rsidR="00A81D42" w:rsidRPr="006E4A43" w:rsidRDefault="00D6272D"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0,1</w:t>
            </w:r>
          </w:p>
        </w:tc>
        <w:tc>
          <w:tcPr>
            <w:tcW w:w="1275" w:type="dxa"/>
            <w:tcBorders>
              <w:top w:val="nil"/>
              <w:left w:val="single" w:sz="4" w:space="0" w:color="auto"/>
              <w:bottom w:val="single" w:sz="4" w:space="0" w:color="auto"/>
              <w:right w:val="single" w:sz="4" w:space="0" w:color="auto"/>
            </w:tcBorders>
            <w:shd w:val="clear" w:color="auto" w:fill="E9E9E9" w:themeFill="accent3" w:themeFillTint="33"/>
          </w:tcPr>
          <w:p w14:paraId="6F199E89" w14:textId="764A88FF" w:rsidR="00A81D42" w:rsidRPr="006E4A43" w:rsidRDefault="00D6272D"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-1,8</w:t>
            </w:r>
          </w:p>
        </w:tc>
        <w:tc>
          <w:tcPr>
            <w:tcW w:w="1134" w:type="dxa"/>
            <w:tcBorders>
              <w:top w:val="single" w:sz="4" w:space="0" w:color="auto"/>
              <w:left w:val="nil"/>
              <w:bottom w:val="single" w:sz="4" w:space="0" w:color="auto"/>
              <w:right w:val="nil"/>
            </w:tcBorders>
            <w:shd w:val="clear" w:color="auto" w:fill="E9E9E9" w:themeFill="accent3" w:themeFillTint="33"/>
          </w:tcPr>
          <w:p w14:paraId="748119FB" w14:textId="600847FC" w:rsidR="00A81D42" w:rsidRPr="006E4A43" w:rsidRDefault="00D6272D"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b/>
                <w:bCs/>
                <w:color w:val="9E001A" w:themeColor="accent1"/>
                <w:highlight w:val="yellow"/>
              </w:rPr>
              <w:t>-0,8</w:t>
            </w:r>
          </w:p>
        </w:tc>
      </w:tr>
      <w:tr w:rsidR="00A81D42" w:rsidRPr="00767446" w14:paraId="008CDC5E" w14:textId="77777777" w:rsidTr="001115DB">
        <w:trPr>
          <w:trHeight w:val="306"/>
        </w:trPr>
        <w:tc>
          <w:tcPr>
            <w:cnfStyle w:val="001000000000" w:firstRow="0" w:lastRow="0" w:firstColumn="1" w:lastColumn="0" w:oddVBand="0" w:evenVBand="0" w:oddHBand="0" w:evenHBand="0" w:firstRowFirstColumn="0" w:firstRowLastColumn="0" w:lastRowFirstColumn="0" w:lastRowLastColumn="0"/>
            <w:tcW w:w="9072" w:type="dxa"/>
            <w:gridSpan w:val="5"/>
          </w:tcPr>
          <w:p w14:paraId="6E1A4318" w14:textId="77777777" w:rsidR="00A81D42" w:rsidRPr="006E4A43" w:rsidRDefault="00A81D42" w:rsidP="00A81D42">
            <w:pPr>
              <w:pStyle w:val="TabelalevistolpecglavaNAPOVED"/>
              <w:rPr>
                <w:highlight w:val="yellow"/>
              </w:rPr>
            </w:pPr>
            <w:r w:rsidRPr="006E4A43">
              <w:rPr>
                <w:highlight w:val="yellow"/>
              </w:rPr>
              <w:t>PREDPOSTAVKE</w:t>
            </w:r>
          </w:p>
        </w:tc>
      </w:tr>
      <w:tr w:rsidR="00FE5EAC" w:rsidRPr="00767446" w14:paraId="72EDE3DF"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36EEC450" w14:textId="77777777" w:rsidR="008D72FB" w:rsidRPr="00767446" w:rsidRDefault="008D72FB" w:rsidP="008D72FB">
            <w:pPr>
              <w:pStyle w:val="TabelalevistolpecNAPOVED"/>
            </w:pPr>
            <w:r w:rsidRPr="00767446">
              <w:t xml:space="preserve">Tuje povpraševanje (uvoz trgovinskih partneric), </w:t>
            </w:r>
            <w:r w:rsidRPr="00767446">
              <w:br/>
              <w:t>realna rast v %</w:t>
            </w:r>
          </w:p>
        </w:tc>
        <w:tc>
          <w:tcPr>
            <w:tcW w:w="1134" w:type="dxa"/>
            <w:noWrap/>
          </w:tcPr>
          <w:p w14:paraId="00EDF374" w14:textId="3263C6AD"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-9,5</w:t>
            </w:r>
          </w:p>
        </w:tc>
        <w:tc>
          <w:tcPr>
            <w:tcW w:w="1134" w:type="dxa"/>
            <w:shd w:val="clear" w:color="auto" w:fill="E9E9E9" w:themeFill="accent3" w:themeFillTint="33"/>
          </w:tcPr>
          <w:p w14:paraId="43A16588" w14:textId="29E9BADB"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7,0</w:t>
            </w:r>
          </w:p>
        </w:tc>
        <w:tc>
          <w:tcPr>
            <w:tcW w:w="1275" w:type="dxa"/>
            <w:shd w:val="clear" w:color="auto" w:fill="E9E9E9" w:themeFill="accent3" w:themeFillTint="33"/>
          </w:tcPr>
          <w:p w14:paraId="21C0FBAF" w14:textId="7E7D08A3"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5,5</w:t>
            </w:r>
          </w:p>
        </w:tc>
        <w:tc>
          <w:tcPr>
            <w:tcW w:w="1134" w:type="dxa"/>
            <w:shd w:val="clear" w:color="auto" w:fill="E9E9E9" w:themeFill="accent3" w:themeFillTint="33"/>
          </w:tcPr>
          <w:p w14:paraId="011A8F08" w14:textId="1D5E36F7"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4,1</w:t>
            </w:r>
          </w:p>
        </w:tc>
      </w:tr>
      <w:tr w:rsidR="00FE5EAC" w:rsidRPr="00767446" w14:paraId="18E57B2A"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2B4BC42C" w14:textId="77777777" w:rsidR="008D72FB" w:rsidRPr="00767446" w:rsidRDefault="008D72FB" w:rsidP="008D72FB">
            <w:pPr>
              <w:pStyle w:val="TabelalevistolpecNAPOVED"/>
            </w:pPr>
            <w:r w:rsidRPr="00767446">
              <w:t>BDP v evrskem območju, realna rast v %</w:t>
            </w:r>
          </w:p>
        </w:tc>
        <w:tc>
          <w:tcPr>
            <w:tcW w:w="1134" w:type="dxa"/>
            <w:noWrap/>
          </w:tcPr>
          <w:p w14:paraId="14B1890E" w14:textId="51F2ABFA"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-6,</w:t>
            </w:r>
            <w:r w:rsidR="00932D7A" w:rsidRPr="006E4A43">
              <w:rPr>
                <w:rFonts w:cs="Arial"/>
                <w:szCs w:val="16"/>
                <w:highlight w:val="yellow"/>
                <w:lang w:val="en-US"/>
              </w:rPr>
              <w:t>6</w:t>
            </w:r>
          </w:p>
        </w:tc>
        <w:tc>
          <w:tcPr>
            <w:tcW w:w="1134" w:type="dxa"/>
            <w:shd w:val="clear" w:color="auto" w:fill="E9E9E9" w:themeFill="accent3" w:themeFillTint="33"/>
          </w:tcPr>
          <w:p w14:paraId="79E392FB" w14:textId="52CEDD10"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3,8</w:t>
            </w:r>
          </w:p>
        </w:tc>
        <w:tc>
          <w:tcPr>
            <w:tcW w:w="1275" w:type="dxa"/>
            <w:shd w:val="clear" w:color="auto" w:fill="E9E9E9" w:themeFill="accent3" w:themeFillTint="33"/>
          </w:tcPr>
          <w:p w14:paraId="2A8AB087" w14:textId="55F14591"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3,8</w:t>
            </w:r>
          </w:p>
        </w:tc>
        <w:tc>
          <w:tcPr>
            <w:tcW w:w="1134" w:type="dxa"/>
            <w:shd w:val="clear" w:color="auto" w:fill="E9E9E9" w:themeFill="accent3" w:themeFillTint="33"/>
          </w:tcPr>
          <w:p w14:paraId="79B46722" w14:textId="325B38D6"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2,1</w:t>
            </w:r>
          </w:p>
        </w:tc>
      </w:tr>
      <w:tr w:rsidR="00FE5EAC" w:rsidRPr="00767446" w14:paraId="200C9F00"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36B2BED1" w14:textId="77777777" w:rsidR="008D72FB" w:rsidRPr="00767446" w:rsidRDefault="008D72FB" w:rsidP="008D72FB">
            <w:pPr>
              <w:pStyle w:val="TabelalevistolpecNAPOVED"/>
            </w:pPr>
            <w:r w:rsidRPr="00767446">
              <w:t>Cena nafte Brent v USD / sodček</w:t>
            </w:r>
          </w:p>
        </w:tc>
        <w:tc>
          <w:tcPr>
            <w:tcW w:w="1134" w:type="dxa"/>
            <w:noWrap/>
          </w:tcPr>
          <w:p w14:paraId="024F397D" w14:textId="4D2E353E"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41,8</w:t>
            </w:r>
          </w:p>
        </w:tc>
        <w:tc>
          <w:tcPr>
            <w:tcW w:w="1134" w:type="dxa"/>
            <w:shd w:val="clear" w:color="auto" w:fill="E9E9E9" w:themeFill="accent3" w:themeFillTint="33"/>
          </w:tcPr>
          <w:p w14:paraId="345D108E" w14:textId="7E959F0E"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58,6</w:t>
            </w:r>
          </w:p>
        </w:tc>
        <w:tc>
          <w:tcPr>
            <w:tcW w:w="1275" w:type="dxa"/>
            <w:shd w:val="clear" w:color="auto" w:fill="E9E9E9" w:themeFill="accent3" w:themeFillTint="33"/>
          </w:tcPr>
          <w:p w14:paraId="7150EE81" w14:textId="276EE872"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55,3</w:t>
            </w:r>
          </w:p>
        </w:tc>
        <w:tc>
          <w:tcPr>
            <w:tcW w:w="1134" w:type="dxa"/>
            <w:shd w:val="clear" w:color="auto" w:fill="E9E9E9" w:themeFill="accent3" w:themeFillTint="33"/>
          </w:tcPr>
          <w:p w14:paraId="08AAEB2C" w14:textId="55E6691F"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53,3</w:t>
            </w:r>
          </w:p>
        </w:tc>
      </w:tr>
      <w:tr w:rsidR="00FE5EAC" w:rsidRPr="00767446" w14:paraId="2B828A0E"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1F3C7654" w14:textId="77777777" w:rsidR="008D72FB" w:rsidRPr="00767446" w:rsidRDefault="008D72FB" w:rsidP="008D72FB">
            <w:pPr>
              <w:pStyle w:val="TabelalevistolpecNAPOVED"/>
            </w:pPr>
            <w:r w:rsidRPr="00767446">
              <w:t xml:space="preserve">Cene </w:t>
            </w:r>
            <w:proofErr w:type="spellStart"/>
            <w:r w:rsidRPr="00767446">
              <w:t>neenergetskih</w:t>
            </w:r>
            <w:proofErr w:type="spellEnd"/>
            <w:r w:rsidRPr="00767446">
              <w:t xml:space="preserve"> surovin v USD, rast</w:t>
            </w:r>
          </w:p>
        </w:tc>
        <w:tc>
          <w:tcPr>
            <w:tcW w:w="1134" w:type="dxa"/>
            <w:noWrap/>
          </w:tcPr>
          <w:p w14:paraId="6D943840" w14:textId="6DD2E9B1"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3,6</w:t>
            </w:r>
          </w:p>
        </w:tc>
        <w:tc>
          <w:tcPr>
            <w:tcW w:w="1134" w:type="dxa"/>
            <w:shd w:val="clear" w:color="auto" w:fill="E9E9E9" w:themeFill="accent3" w:themeFillTint="33"/>
          </w:tcPr>
          <w:p w14:paraId="6A3ED0E1" w14:textId="1CE13257"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10,0</w:t>
            </w:r>
          </w:p>
        </w:tc>
        <w:tc>
          <w:tcPr>
            <w:tcW w:w="1275" w:type="dxa"/>
            <w:shd w:val="clear" w:color="auto" w:fill="E9E9E9" w:themeFill="accent3" w:themeFillTint="33"/>
          </w:tcPr>
          <w:p w14:paraId="06E03BA8" w14:textId="05C6D90D"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0,5</w:t>
            </w:r>
          </w:p>
        </w:tc>
        <w:tc>
          <w:tcPr>
            <w:tcW w:w="1134" w:type="dxa"/>
            <w:shd w:val="clear" w:color="auto" w:fill="E9E9E9" w:themeFill="accent3" w:themeFillTint="33"/>
          </w:tcPr>
          <w:p w14:paraId="0DBD2008" w14:textId="58C517B1"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1,5</w:t>
            </w:r>
          </w:p>
        </w:tc>
      </w:tr>
      <w:tr w:rsidR="00FE5EAC" w:rsidRPr="00767446" w14:paraId="741D8AAD" w14:textId="77777777" w:rsidTr="008D72FB">
        <w:trPr>
          <w:trHeight w:val="306"/>
        </w:trPr>
        <w:tc>
          <w:tcPr>
            <w:cnfStyle w:val="001000000000" w:firstRow="0" w:lastRow="0" w:firstColumn="1" w:lastColumn="0" w:oddVBand="0" w:evenVBand="0" w:oddHBand="0" w:evenHBand="0" w:firstRowFirstColumn="0" w:firstRowLastColumn="0" w:lastRowFirstColumn="0" w:lastRowLastColumn="0"/>
            <w:tcW w:w="4395" w:type="dxa"/>
            <w:noWrap/>
          </w:tcPr>
          <w:p w14:paraId="49F708F0" w14:textId="77777777" w:rsidR="008D72FB" w:rsidRPr="00767446" w:rsidRDefault="008D72FB" w:rsidP="008D72FB">
            <w:pPr>
              <w:pStyle w:val="TabelalevistolpecNAPOVED"/>
            </w:pPr>
            <w:r w:rsidRPr="00767446">
              <w:t>Razmerje USD za 1 EUR</w:t>
            </w:r>
          </w:p>
        </w:tc>
        <w:tc>
          <w:tcPr>
            <w:tcW w:w="1134" w:type="dxa"/>
            <w:noWrap/>
          </w:tcPr>
          <w:p w14:paraId="251EAE77" w14:textId="305CAE9A"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highlight w:val="yellow"/>
              </w:rPr>
            </w:pPr>
            <w:r w:rsidRPr="006E4A43">
              <w:rPr>
                <w:rFonts w:cs="Arial"/>
                <w:szCs w:val="16"/>
                <w:highlight w:val="yellow"/>
                <w:lang w:val="en-US"/>
              </w:rPr>
              <w:t>1,141</w:t>
            </w:r>
          </w:p>
        </w:tc>
        <w:tc>
          <w:tcPr>
            <w:tcW w:w="1134" w:type="dxa"/>
            <w:shd w:val="clear" w:color="auto" w:fill="E9E9E9" w:themeFill="accent3" w:themeFillTint="33"/>
          </w:tcPr>
          <w:p w14:paraId="2517C574" w14:textId="023F179A"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highlight w:val="yellow"/>
              </w:rPr>
            </w:pPr>
            <w:r w:rsidRPr="006E4A43">
              <w:rPr>
                <w:rFonts w:cs="Arial"/>
                <w:b/>
                <w:color w:val="9E001A"/>
                <w:spacing w:val="-4"/>
                <w:szCs w:val="16"/>
                <w:highlight w:val="yellow"/>
                <w:lang w:val="en-US"/>
              </w:rPr>
              <w:t>1,208</w:t>
            </w:r>
          </w:p>
        </w:tc>
        <w:tc>
          <w:tcPr>
            <w:tcW w:w="1275" w:type="dxa"/>
            <w:shd w:val="clear" w:color="auto" w:fill="E9E9E9" w:themeFill="accent3" w:themeFillTint="33"/>
          </w:tcPr>
          <w:p w14:paraId="1BFEABCA" w14:textId="48554D75"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1,208</w:t>
            </w:r>
          </w:p>
        </w:tc>
        <w:tc>
          <w:tcPr>
            <w:tcW w:w="1134" w:type="dxa"/>
            <w:shd w:val="clear" w:color="auto" w:fill="E9E9E9" w:themeFill="accent3" w:themeFillTint="33"/>
          </w:tcPr>
          <w:p w14:paraId="70A48F62" w14:textId="31E65518" w:rsidR="008D72FB" w:rsidRPr="006E4A43" w:rsidRDefault="008D72FB" w:rsidP="006C00D7">
            <w:pPr>
              <w:pStyle w:val="TabelaNAPOVED"/>
              <w:cnfStyle w:val="000000000000" w:firstRow="0" w:lastRow="0" w:firstColumn="0" w:lastColumn="0" w:oddVBand="0" w:evenVBand="0" w:oddHBand="0" w:evenHBand="0" w:firstRowFirstColumn="0" w:firstRowLastColumn="0" w:lastRowFirstColumn="0" w:lastRowLastColumn="0"/>
              <w:rPr>
                <w:b/>
                <w:bCs/>
                <w:color w:val="9E001A" w:themeColor="accent1"/>
                <w:highlight w:val="yellow"/>
              </w:rPr>
            </w:pPr>
            <w:r w:rsidRPr="006E4A43">
              <w:rPr>
                <w:rFonts w:cs="Arial"/>
                <w:b/>
                <w:color w:val="9E001A"/>
                <w:spacing w:val="-4"/>
                <w:szCs w:val="16"/>
                <w:highlight w:val="yellow"/>
                <w:lang w:val="en-US"/>
              </w:rPr>
              <w:t>1,208</w:t>
            </w:r>
          </w:p>
        </w:tc>
      </w:tr>
    </w:tbl>
    <w:p w14:paraId="1A543998" w14:textId="0816D66B" w:rsidR="008F1E29" w:rsidRDefault="008F1E29" w:rsidP="008F1E29">
      <w:pPr>
        <w:pStyle w:val="VirNAPOVED"/>
      </w:pPr>
      <w:r w:rsidRPr="00BB68FF">
        <w:t>Vir: Leto 2020 SURS, BS, ECB, EIA, 2021−2023 napoved UMAR. Opomba: *</w:t>
      </w:r>
      <w:r>
        <w:t xml:space="preserve">Podobno kot v Poletni, Jesenski in Zimski napovedi 2020 </w:t>
      </w:r>
      <w:r w:rsidR="006E4A43">
        <w:t xml:space="preserve">ter </w:t>
      </w:r>
      <w:r w:rsidR="006E4A43" w:rsidRPr="00BB68FF">
        <w:t xml:space="preserve">Pomladanski napovedi </w:t>
      </w:r>
      <w:r w:rsidR="006E4A43">
        <w:t>2021</w:t>
      </w:r>
      <w:r w:rsidR="006E4A43" w:rsidRPr="00BB68FF">
        <w:t xml:space="preserve"> </w:t>
      </w:r>
      <w:r>
        <w:t>smo tudi v</w:t>
      </w:r>
      <w:r w:rsidRPr="00BB68FF">
        <w:t xml:space="preserve"> </w:t>
      </w:r>
      <w:r w:rsidR="006E4A43">
        <w:t xml:space="preserve">Jesenski napovedi 2021 </w:t>
      </w:r>
      <w:r w:rsidRPr="00BB68FF">
        <w:t>upoštevali metodološko specifiko glede poročanja plač (</w:t>
      </w:r>
      <w:r w:rsidR="006E1F3A">
        <w:t>brez vključenih</w:t>
      </w:r>
      <w:r w:rsidRPr="00BB68FF">
        <w:t xml:space="preserve"> nadomestil države)</w:t>
      </w:r>
      <w:r>
        <w:t xml:space="preserve"> in</w:t>
      </w:r>
      <w:r w:rsidRPr="00BB68FF">
        <w:t xml:space="preserve"> vpliva na gibanja plač, izkazana s statističnimi podatki v </w:t>
      </w:r>
      <w:r w:rsidRPr="00A32C61">
        <w:t>obdobju 2020</w:t>
      </w:r>
      <w:r w:rsidR="00D02CA9">
        <w:t>–</w:t>
      </w:r>
      <w:r w:rsidRPr="00A32C61">
        <w:t>2022</w:t>
      </w:r>
      <w:r>
        <w:t>.</w:t>
      </w:r>
    </w:p>
    <w:p w14:paraId="6F877A6D" w14:textId="026FE619" w:rsidR="00D059BF" w:rsidRDefault="00D059BF" w:rsidP="006768AA">
      <w:pPr>
        <w:pStyle w:val="VirNAPOVED"/>
      </w:pPr>
    </w:p>
    <w:p w14:paraId="19DAF206" w14:textId="77777777" w:rsidR="008F1E29" w:rsidRPr="00767446" w:rsidRDefault="008F1E29" w:rsidP="006768AA">
      <w:pPr>
        <w:pStyle w:val="VirNAPOVED"/>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9060"/>
      </w:tblGrid>
      <w:tr w:rsidR="00BE1844" w:rsidRPr="00767446" w14:paraId="0DC35E11" w14:textId="77777777" w:rsidTr="006768AA">
        <w:tc>
          <w:tcPr>
            <w:tcW w:w="9060" w:type="dxa"/>
          </w:tcPr>
          <w:p w14:paraId="4D42910C" w14:textId="4150D22A" w:rsidR="00BE1844" w:rsidRPr="00767446" w:rsidRDefault="00BE1844" w:rsidP="00BE1844">
            <w:pPr>
              <w:pStyle w:val="VirNAPOVED"/>
              <w:spacing w:before="0"/>
            </w:pPr>
            <w:r w:rsidRPr="003F621A">
              <w:t xml:space="preserve">Pri pripravi </w:t>
            </w:r>
            <w:r w:rsidR="00F07417">
              <w:t>Jesenske</w:t>
            </w:r>
            <w:r w:rsidRPr="003F621A">
              <w:t xml:space="preserve"> napovedi so bili upoštevani statistični podatki, informacije in sprejeti ukrepi, znani </w:t>
            </w:r>
            <w:r w:rsidRPr="00932D7A">
              <w:t>do</w:t>
            </w:r>
            <w:r w:rsidR="00AF7FF2" w:rsidRPr="00932D7A">
              <w:t xml:space="preserve"> </w:t>
            </w:r>
            <w:r w:rsidR="00F07417">
              <w:t>x</w:t>
            </w:r>
            <w:r w:rsidRPr="00932D7A">
              <w:t xml:space="preserve">. </w:t>
            </w:r>
            <w:r w:rsidR="00F07417">
              <w:t>septembra</w:t>
            </w:r>
            <w:r w:rsidR="00D46423" w:rsidRPr="0057239E">
              <w:t xml:space="preserve"> </w:t>
            </w:r>
            <w:r w:rsidRPr="0057239E">
              <w:t>202</w:t>
            </w:r>
            <w:r w:rsidR="00DF4C8F" w:rsidRPr="0057239E">
              <w:t>1</w:t>
            </w:r>
            <w:r w:rsidRPr="0057239E">
              <w:t>.</w:t>
            </w:r>
          </w:p>
        </w:tc>
      </w:tr>
    </w:tbl>
    <w:p w14:paraId="376D6C2E" w14:textId="6DB4E633" w:rsidR="00457ACD" w:rsidRDefault="00457ACD" w:rsidP="001B44DC">
      <w:pPr>
        <w:pStyle w:val="Heading1"/>
      </w:pPr>
      <w:bookmarkStart w:id="13" w:name="_Toc81050593"/>
      <w:bookmarkStart w:id="14" w:name="_Hlk50645004"/>
      <w:bookmarkStart w:id="15" w:name="_Hlk50645046"/>
      <w:r w:rsidRPr="00767446">
        <w:lastRenderedPageBreak/>
        <w:t xml:space="preserve">Izhodišča </w:t>
      </w:r>
      <w:r w:rsidR="00F07417">
        <w:t>Jesenske</w:t>
      </w:r>
      <w:r w:rsidRPr="00767446">
        <w:t xml:space="preserve"> napovedi gospodarskih gibanj 202</w:t>
      </w:r>
      <w:r w:rsidR="00970CCA">
        <w:t>1</w:t>
      </w:r>
      <w:bookmarkEnd w:id="13"/>
    </w:p>
    <w:p w14:paraId="786DFE65" w14:textId="77777777" w:rsidR="00C94446" w:rsidRPr="00C94446" w:rsidRDefault="00C94446" w:rsidP="00C94446">
      <w:pPr>
        <w:pStyle w:val="BesediloNAPOVED"/>
      </w:pPr>
    </w:p>
    <w:p w14:paraId="1ED6D14A" w14:textId="77777777" w:rsidR="00CB543F" w:rsidRPr="0073004F" w:rsidRDefault="00CB543F" w:rsidP="00CB543F">
      <w:pPr>
        <w:pStyle w:val="BesediloNAPOVED"/>
      </w:pPr>
      <w:r w:rsidRPr="00E868F8">
        <w:rPr>
          <w:b/>
        </w:rPr>
        <w:t xml:space="preserve">Gospodarska aktivnost evrskega območja se je po upadu v prvem, v drugem </w:t>
      </w:r>
      <w:r>
        <w:rPr>
          <w:b/>
        </w:rPr>
        <w:t xml:space="preserve">četrtletju </w:t>
      </w:r>
      <w:r w:rsidRPr="00E868F8">
        <w:rPr>
          <w:b/>
        </w:rPr>
        <w:t xml:space="preserve">ob umirjanju epidemičnih razmer </w:t>
      </w:r>
      <w:r>
        <w:rPr>
          <w:b/>
        </w:rPr>
        <w:t xml:space="preserve">izrazito </w:t>
      </w:r>
      <w:r w:rsidRPr="00E868F8">
        <w:rPr>
          <w:b/>
        </w:rPr>
        <w:t xml:space="preserve">okrepila. </w:t>
      </w:r>
      <w:r w:rsidRPr="00E868F8">
        <w:rPr>
          <w:bCs/>
        </w:rPr>
        <w:t>Gospodars</w:t>
      </w:r>
      <w:r>
        <w:rPr>
          <w:bCs/>
        </w:rPr>
        <w:t>ka aktivnost</w:t>
      </w:r>
      <w:r w:rsidRPr="00E868F8">
        <w:rPr>
          <w:bCs/>
        </w:rPr>
        <w:t xml:space="preserve"> evrskega območja </w:t>
      </w:r>
      <w:r>
        <w:rPr>
          <w:bCs/>
        </w:rPr>
        <w:t xml:space="preserve">se </w:t>
      </w:r>
      <w:r>
        <w:t xml:space="preserve">je po zaostrovanju in podaljšanju zajezitvenih ukrepov od lanske jeseni </w:t>
      </w:r>
      <w:r w:rsidRPr="00E868F8">
        <w:rPr>
          <w:bCs/>
        </w:rPr>
        <w:t xml:space="preserve">v </w:t>
      </w:r>
      <w:r>
        <w:rPr>
          <w:bCs/>
        </w:rPr>
        <w:t>prvem letošnjem</w:t>
      </w:r>
      <w:r w:rsidRPr="00E868F8">
        <w:rPr>
          <w:bCs/>
        </w:rPr>
        <w:t xml:space="preserve"> četrtletju ponovno </w:t>
      </w:r>
      <w:r>
        <w:rPr>
          <w:bCs/>
        </w:rPr>
        <w:t xml:space="preserve">nekoliko </w:t>
      </w:r>
      <w:r w:rsidRPr="00E868F8">
        <w:rPr>
          <w:bCs/>
        </w:rPr>
        <w:t>skrčil</w:t>
      </w:r>
      <w:r>
        <w:rPr>
          <w:bCs/>
        </w:rPr>
        <w:t>a</w:t>
      </w:r>
      <w:r w:rsidRPr="00E868F8">
        <w:rPr>
          <w:bCs/>
        </w:rPr>
        <w:t xml:space="preserve"> (-0,</w:t>
      </w:r>
      <w:r>
        <w:rPr>
          <w:bCs/>
        </w:rPr>
        <w:t>3</w:t>
      </w:r>
      <w:r w:rsidRPr="00E868F8">
        <w:rPr>
          <w:bCs/>
        </w:rPr>
        <w:t xml:space="preserve"> % </w:t>
      </w:r>
      <w:proofErr w:type="spellStart"/>
      <w:r w:rsidRPr="00E868F8">
        <w:rPr>
          <w:bCs/>
        </w:rPr>
        <w:t>medčetrtletno</w:t>
      </w:r>
      <w:proofErr w:type="spellEnd"/>
      <w:r w:rsidRPr="00E868F8">
        <w:rPr>
          <w:bCs/>
        </w:rPr>
        <w:t xml:space="preserve"> </w:t>
      </w:r>
      <w:proofErr w:type="spellStart"/>
      <w:r w:rsidRPr="00E868F8">
        <w:rPr>
          <w:bCs/>
        </w:rPr>
        <w:t>desezonirano</w:t>
      </w:r>
      <w:proofErr w:type="spellEnd"/>
      <w:r w:rsidRPr="00E868F8">
        <w:rPr>
          <w:bCs/>
        </w:rPr>
        <w:t xml:space="preserve"> oz. - </w:t>
      </w:r>
      <w:r>
        <w:rPr>
          <w:bCs/>
        </w:rPr>
        <w:t>1</w:t>
      </w:r>
      <w:r w:rsidRPr="00E868F8">
        <w:rPr>
          <w:bCs/>
        </w:rPr>
        <w:t>,</w:t>
      </w:r>
      <w:r>
        <w:rPr>
          <w:bCs/>
        </w:rPr>
        <w:t>3</w:t>
      </w:r>
      <w:r w:rsidRPr="00E868F8">
        <w:rPr>
          <w:bCs/>
        </w:rPr>
        <w:t xml:space="preserve"> % medletno </w:t>
      </w:r>
      <w:proofErr w:type="spellStart"/>
      <w:r w:rsidRPr="00E868F8">
        <w:rPr>
          <w:bCs/>
        </w:rPr>
        <w:t>desezonirano</w:t>
      </w:r>
      <w:proofErr w:type="spellEnd"/>
      <w:r w:rsidRPr="00E868F8">
        <w:rPr>
          <w:bCs/>
        </w:rPr>
        <w:t xml:space="preserve">), </w:t>
      </w:r>
      <w:r>
        <w:rPr>
          <w:bCs/>
        </w:rPr>
        <w:t>nato pa v drugem ob postopnem sproščanju zajezitvenih ukrepov okrevala (2,0</w:t>
      </w:r>
      <w:r w:rsidRPr="00E868F8">
        <w:rPr>
          <w:bCs/>
        </w:rPr>
        <w:t xml:space="preserve"> % </w:t>
      </w:r>
      <w:proofErr w:type="spellStart"/>
      <w:r w:rsidRPr="00E868F8">
        <w:rPr>
          <w:bCs/>
        </w:rPr>
        <w:t>medčetrtletno</w:t>
      </w:r>
      <w:proofErr w:type="spellEnd"/>
      <w:r w:rsidRPr="00E868F8">
        <w:rPr>
          <w:bCs/>
        </w:rPr>
        <w:t xml:space="preserve"> </w:t>
      </w:r>
      <w:proofErr w:type="spellStart"/>
      <w:r w:rsidRPr="00E868F8">
        <w:rPr>
          <w:bCs/>
        </w:rPr>
        <w:t>desezonirano</w:t>
      </w:r>
      <w:proofErr w:type="spellEnd"/>
      <w:r w:rsidRPr="00E868F8">
        <w:rPr>
          <w:bCs/>
        </w:rPr>
        <w:t xml:space="preserve"> oz.  </w:t>
      </w:r>
      <w:r>
        <w:rPr>
          <w:bCs/>
        </w:rPr>
        <w:t>13,6</w:t>
      </w:r>
      <w:r w:rsidRPr="00E868F8">
        <w:rPr>
          <w:bCs/>
        </w:rPr>
        <w:t xml:space="preserve">% medletno </w:t>
      </w:r>
      <w:proofErr w:type="spellStart"/>
      <w:r w:rsidRPr="00E868F8">
        <w:rPr>
          <w:bCs/>
        </w:rPr>
        <w:t>desezonirano</w:t>
      </w:r>
      <w:proofErr w:type="spellEnd"/>
      <w:r>
        <w:rPr>
          <w:bCs/>
        </w:rPr>
        <w:t>).</w:t>
      </w:r>
      <w:r>
        <w:t xml:space="preserve"> </w:t>
      </w:r>
      <w:r w:rsidRPr="00E868F8">
        <w:rPr>
          <w:bCs/>
        </w:rPr>
        <w:t xml:space="preserve">V večini naših najpomembnejših trgovinskih partneric je bilo </w:t>
      </w:r>
      <w:r>
        <w:rPr>
          <w:bCs/>
        </w:rPr>
        <w:t>okrevanje gospodarske aktivnosti</w:t>
      </w:r>
      <w:r w:rsidRPr="00E868F8">
        <w:rPr>
          <w:bCs/>
        </w:rPr>
        <w:t xml:space="preserve"> boljše od napovedi mednarodnih institucij.</w:t>
      </w:r>
      <w:r>
        <w:rPr>
          <w:bCs/>
        </w:rPr>
        <w:t xml:space="preserve"> Podjetja in potrošniki so se omejitvam pandemičnega okolja namreč prilagodili bolje od pričakovanj, pospešena aktivnost svetovnega gospodarstva in trgovine ter učinkoviti ukrepi podpornih politik pa so prispevali dodatni zagon. </w:t>
      </w:r>
      <w:r w:rsidRPr="00E868F8">
        <w:rPr>
          <w:bCs/>
        </w:rPr>
        <w:t>Glede na razpoložljive gospodarske kazalnike aktivnosti in razpoloženja</w:t>
      </w:r>
      <w:r>
        <w:rPr>
          <w:bCs/>
        </w:rPr>
        <w:t xml:space="preserve"> se bo gospodarska rast</w:t>
      </w:r>
      <w:r w:rsidRPr="00E868F8">
        <w:rPr>
          <w:bCs/>
        </w:rPr>
        <w:t xml:space="preserve"> v evrskem območju v </w:t>
      </w:r>
      <w:r>
        <w:rPr>
          <w:bCs/>
        </w:rPr>
        <w:t>tretjem</w:t>
      </w:r>
      <w:r w:rsidRPr="00E868F8">
        <w:rPr>
          <w:bCs/>
        </w:rPr>
        <w:t xml:space="preserve"> četrtletju </w:t>
      </w:r>
      <w:r>
        <w:rPr>
          <w:bCs/>
        </w:rPr>
        <w:t xml:space="preserve">še okrepila. </w:t>
      </w:r>
    </w:p>
    <w:p w14:paraId="1CBA550E" w14:textId="77777777" w:rsidR="00291D16" w:rsidRPr="00CC3317" w:rsidRDefault="00291D16" w:rsidP="00A45F01">
      <w:pPr>
        <w:pStyle w:val="BesediloNAPOVED"/>
        <w:rPr>
          <w:b/>
          <w:highlight w:val="yellow"/>
        </w:rPr>
      </w:pPr>
    </w:p>
    <w:p w14:paraId="4F733CFD" w14:textId="3F684678" w:rsidR="00231A36" w:rsidRDefault="00483DFE" w:rsidP="00457ACD">
      <w:pPr>
        <w:pStyle w:val="BesediloNAPOVED"/>
      </w:pPr>
      <w:r w:rsidRPr="00D23C96">
        <w:rPr>
          <w:b/>
        </w:rPr>
        <w:t xml:space="preserve">Mednarodne institucije v zadnjih napovedih predpostavljajo nadaljevanje rasti gospodarske aktivnosti v naših trgovinskih partnericah v prihodnjih četrtletjih. </w:t>
      </w:r>
      <w:r w:rsidRPr="00D23C96">
        <w:rPr>
          <w:bCs/>
        </w:rPr>
        <w:t xml:space="preserve">Predpostavke za gospodarsko aktivnost evrskega območja za letos in prihodnje leto so se glede na Pomladansko napoved gospodarskih gibanj izboljšale, saj je gospodarska aktivnost v prvi polovici leta okrevala nad pričakovanji mednarodnih institucij. </w:t>
      </w:r>
      <w:r>
        <w:rPr>
          <w:bCs/>
        </w:rPr>
        <w:t>Izboljšana epidemična slika je namreč omogočila hitrejše sproščanje zajezitvenih ukrepov, iz</w:t>
      </w:r>
      <w:r w:rsidRPr="00D23C96">
        <w:rPr>
          <w:bCs/>
        </w:rPr>
        <w:t>boljš</w:t>
      </w:r>
      <w:r>
        <w:rPr>
          <w:bCs/>
        </w:rPr>
        <w:t>ala pa so se tudi</w:t>
      </w:r>
      <w:r w:rsidRPr="00D23C96">
        <w:rPr>
          <w:bCs/>
        </w:rPr>
        <w:t xml:space="preserve"> pričakovanj</w:t>
      </w:r>
      <w:r>
        <w:rPr>
          <w:bCs/>
        </w:rPr>
        <w:t>a</w:t>
      </w:r>
      <w:r w:rsidRPr="00D23C96">
        <w:rPr>
          <w:bCs/>
        </w:rPr>
        <w:t xml:space="preserve"> za pomembnejša svetovna gospodarstva, zlasti ZDA</w:t>
      </w:r>
      <w:r>
        <w:rPr>
          <w:bCs/>
        </w:rPr>
        <w:t xml:space="preserve"> in Kanado?</w:t>
      </w:r>
      <w:r w:rsidRPr="00D23C96">
        <w:rPr>
          <w:bCs/>
        </w:rPr>
        <w:t xml:space="preserve">. Okrevanje evrskega območja se bo ob predpostavki </w:t>
      </w:r>
      <w:r>
        <w:rPr>
          <w:bCs/>
        </w:rPr>
        <w:t xml:space="preserve">70-odstotne </w:t>
      </w:r>
      <w:proofErr w:type="spellStart"/>
      <w:r w:rsidRPr="00D23C96">
        <w:rPr>
          <w:bCs/>
        </w:rPr>
        <w:t>precepljenosti</w:t>
      </w:r>
      <w:proofErr w:type="spellEnd"/>
      <w:r w:rsidRPr="00D23C96">
        <w:rPr>
          <w:bCs/>
        </w:rPr>
        <w:t xml:space="preserve"> odraslega prebivalstva okrepilo zlasti v drugi polovici leta. Poleg tega napovedi predpostavljajo, da se bodo gospodarski subjekti še naprej prilagajali zajezitvenim ukrepom, kar bo postopoma zmanjševalo vpliv omejitev na gospodarsko aktivnost. BDP evrskega območja naj bi po lanskem upadu</w:t>
      </w:r>
      <w:r>
        <w:rPr>
          <w:bCs/>
        </w:rPr>
        <w:t xml:space="preserve"> letos</w:t>
      </w:r>
      <w:r w:rsidRPr="00D23C96">
        <w:rPr>
          <w:bCs/>
        </w:rPr>
        <w:t xml:space="preserve"> okreval s </w:t>
      </w:r>
      <w:r>
        <w:rPr>
          <w:bCs/>
        </w:rPr>
        <w:t>5</w:t>
      </w:r>
      <w:r w:rsidRPr="00D23C96">
        <w:rPr>
          <w:bCs/>
        </w:rPr>
        <w:t>-odstotno rastjo</w:t>
      </w:r>
      <w:r>
        <w:rPr>
          <w:bCs/>
        </w:rPr>
        <w:t xml:space="preserve">, naslednje leto pa naj bi bila rast 4,3 %. </w:t>
      </w:r>
      <w:proofErr w:type="spellStart"/>
      <w:r>
        <w:rPr>
          <w:bCs/>
        </w:rPr>
        <w:t>P</w:t>
      </w:r>
      <w:r w:rsidRPr="00D23C96">
        <w:rPr>
          <w:bCs/>
        </w:rPr>
        <w:t>redkrizno</w:t>
      </w:r>
      <w:proofErr w:type="spellEnd"/>
      <w:r w:rsidRPr="00D23C96">
        <w:rPr>
          <w:bCs/>
        </w:rPr>
        <w:t xml:space="preserve"> raven </w:t>
      </w:r>
      <w:r>
        <w:rPr>
          <w:bCs/>
        </w:rPr>
        <w:t xml:space="preserve">naj bi </w:t>
      </w:r>
      <w:r w:rsidRPr="00D23C96">
        <w:rPr>
          <w:bCs/>
        </w:rPr>
        <w:t xml:space="preserve">dosegel </w:t>
      </w:r>
      <w:r>
        <w:rPr>
          <w:bCs/>
        </w:rPr>
        <w:t>v zadnjem letošnjem četrtletju</w:t>
      </w:r>
      <w:r w:rsidRPr="00D23C96">
        <w:rPr>
          <w:bCs/>
        </w:rPr>
        <w:t xml:space="preserve">. Gospodarski učinki pandemije so sicer v državah članicah evrskega območja zelo neenakomerni in tudi hitrost okrevanja se med njimi </w:t>
      </w:r>
      <w:r>
        <w:rPr>
          <w:bCs/>
        </w:rPr>
        <w:t>precej</w:t>
      </w:r>
      <w:r w:rsidRPr="00D23C96">
        <w:rPr>
          <w:bCs/>
        </w:rPr>
        <w:t xml:space="preserve"> razlik</w:t>
      </w:r>
      <w:r>
        <w:rPr>
          <w:bCs/>
        </w:rPr>
        <w:t>uje, kar je</w:t>
      </w:r>
      <w:r w:rsidRPr="00D23C96">
        <w:rPr>
          <w:bCs/>
        </w:rPr>
        <w:t xml:space="preserve"> </w:t>
      </w:r>
      <w:r>
        <w:rPr>
          <w:bCs/>
        </w:rPr>
        <w:t xml:space="preserve">posledica </w:t>
      </w:r>
      <w:r w:rsidRPr="00D23C96">
        <w:rPr>
          <w:bCs/>
        </w:rPr>
        <w:t xml:space="preserve">poteka epidemije ter razlik v strukturi gospodarstev. </w:t>
      </w:r>
      <w:r w:rsidR="00222773" w:rsidRPr="006E4A43">
        <w:rPr>
          <w:rFonts w:cstheme="minorHAnsi"/>
          <w:szCs w:val="20"/>
          <w:highlight w:val="yellow"/>
        </w:rPr>
        <w:t>Okrevanje evrskega območja bodo še naprej podpiral</w:t>
      </w:r>
      <w:r w:rsidR="00BA3FAE">
        <w:rPr>
          <w:rFonts w:cstheme="minorHAnsi"/>
          <w:szCs w:val="20"/>
          <w:highlight w:val="yellow"/>
        </w:rPr>
        <w:t xml:space="preserve">a podporna fiskalna politika, </w:t>
      </w:r>
      <w:r w:rsidR="00222773" w:rsidRPr="006E4A43">
        <w:rPr>
          <w:rFonts w:cstheme="minorHAnsi"/>
          <w:szCs w:val="20"/>
          <w:highlight w:val="yellow"/>
        </w:rPr>
        <w:t>povečane javne naložbe ter spodbujevalne denarne politike.</w:t>
      </w:r>
      <w:r w:rsidR="00222773" w:rsidRPr="00A45F01">
        <w:rPr>
          <w:rFonts w:cstheme="minorHAnsi"/>
          <w:szCs w:val="20"/>
        </w:rPr>
        <w:t xml:space="preserve"> </w:t>
      </w:r>
      <w:r>
        <w:t>Po pričakovanjih bosta glavni gonili rasti zasebna potrošnja in naložbe, slednje bo podpiral tudi Mehanizem za okrevanje in odpornost. Močna rast v glavnih trgovinskih partnericah evrskega območja naj bi ugodno vplivala na izvoz blaga, medtem ko bo izvoz storitev verjetno še naprej okrnjen zaradi preostalih omejitev za mednarodni turizem.</w:t>
      </w:r>
    </w:p>
    <w:p w14:paraId="5A96B33F" w14:textId="77777777" w:rsidR="00483DFE" w:rsidRDefault="00483DFE" w:rsidP="00457ACD">
      <w:pPr>
        <w:pStyle w:val="BesediloNAPOVED"/>
      </w:pPr>
    </w:p>
    <w:p w14:paraId="0C393384" w14:textId="18153BCF" w:rsidR="00440D4C" w:rsidRPr="00CC3317" w:rsidRDefault="00440D4C" w:rsidP="00440D4C">
      <w:pPr>
        <w:pStyle w:val="Caption"/>
        <w:rPr>
          <w:noProof w:val="0"/>
        </w:rPr>
      </w:pPr>
      <w:r w:rsidRPr="00CC3317">
        <w:rPr>
          <w:noProof w:val="0"/>
        </w:rPr>
        <w:t xml:space="preserve">Tabela </w:t>
      </w:r>
      <w:r w:rsidRPr="00CC3317">
        <w:rPr>
          <w:noProof w:val="0"/>
        </w:rPr>
        <w:fldChar w:fldCharType="begin"/>
      </w:r>
      <w:r w:rsidRPr="00CC3317">
        <w:rPr>
          <w:noProof w:val="0"/>
        </w:rPr>
        <w:instrText xml:space="preserve"> SEQ Tabela \* ARABIC </w:instrText>
      </w:r>
      <w:r w:rsidRPr="00CC3317">
        <w:rPr>
          <w:noProof w:val="0"/>
        </w:rPr>
        <w:fldChar w:fldCharType="separate"/>
      </w:r>
      <w:r w:rsidR="00D224DD">
        <w:t>1</w:t>
      </w:r>
      <w:r w:rsidRPr="00CC3317">
        <w:rPr>
          <w:noProof w:val="0"/>
        </w:rPr>
        <w:fldChar w:fldCharType="end"/>
      </w:r>
      <w:r w:rsidRPr="00CC3317">
        <w:rPr>
          <w:noProof w:val="0"/>
        </w:rPr>
        <w:t>: Predpostavke napovedi glede gospodarske rasti v najpomembnejših trgovinskih partnericah</w:t>
      </w:r>
    </w:p>
    <w:tbl>
      <w:tblPr>
        <w:tblW w:w="5006" w:type="pct"/>
        <w:tblInd w:w="-1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2"/>
        <w:gridCol w:w="935"/>
        <w:gridCol w:w="1237"/>
        <w:gridCol w:w="1173"/>
        <w:gridCol w:w="1126"/>
        <w:gridCol w:w="1202"/>
        <w:gridCol w:w="1206"/>
      </w:tblGrid>
      <w:tr w:rsidR="00BD2CA8" w:rsidRPr="00CC3317" w14:paraId="33D8DEF1" w14:textId="5D86BADF" w:rsidTr="00204CAB">
        <w:trPr>
          <w:trHeight w:val="300"/>
        </w:trPr>
        <w:tc>
          <w:tcPr>
            <w:tcW w:w="1212" w:type="pct"/>
            <w:vMerge w:val="restart"/>
            <w:shd w:val="clear" w:color="auto" w:fill="auto"/>
            <w:vAlign w:val="center"/>
            <w:hideMark/>
          </w:tcPr>
          <w:p w14:paraId="4642CC1C" w14:textId="77777777" w:rsidR="00BD2CA8" w:rsidRPr="00CC3317" w:rsidRDefault="00BD2CA8" w:rsidP="00440D4C">
            <w:pPr>
              <w:pStyle w:val="TabelalevistolpecglavaNAPOVED"/>
              <w:rPr>
                <w:rFonts w:asciiTheme="majorHAnsi" w:hAnsiTheme="majorHAnsi" w:cstheme="majorHAnsi"/>
                <w:szCs w:val="16"/>
                <w:highlight w:val="yellow"/>
              </w:rPr>
            </w:pPr>
            <w:r w:rsidRPr="00CC3317">
              <w:rPr>
                <w:rFonts w:asciiTheme="majorHAnsi" w:hAnsiTheme="majorHAnsi" w:cstheme="majorHAnsi"/>
                <w:szCs w:val="16"/>
                <w:highlight w:val="yellow"/>
              </w:rPr>
              <w:t>Realne stopnje rasti BDP, v %</w:t>
            </w:r>
          </w:p>
        </w:tc>
        <w:tc>
          <w:tcPr>
            <w:tcW w:w="515" w:type="pct"/>
            <w:vMerge w:val="restart"/>
            <w:shd w:val="clear" w:color="auto" w:fill="auto"/>
            <w:noWrap/>
            <w:vAlign w:val="center"/>
            <w:hideMark/>
          </w:tcPr>
          <w:p w14:paraId="0B9D350D" w14:textId="7BB01BA2" w:rsidR="00BD2CA8" w:rsidRPr="00CC3317" w:rsidRDefault="00A15A0C" w:rsidP="00234CFA">
            <w:pPr>
              <w:pStyle w:val="TabelaglavaNAPOVED"/>
              <w:rPr>
                <w:rFonts w:asciiTheme="majorHAnsi" w:hAnsiTheme="majorHAnsi" w:cstheme="majorHAnsi"/>
                <w:szCs w:val="16"/>
                <w:highlight w:val="yellow"/>
              </w:rPr>
            </w:pPr>
            <w:r w:rsidRPr="00CC3317">
              <w:rPr>
                <w:rFonts w:asciiTheme="majorHAnsi" w:hAnsiTheme="majorHAnsi" w:cstheme="majorHAnsi"/>
                <w:szCs w:val="16"/>
                <w:highlight w:val="yellow"/>
              </w:rPr>
              <w:t>2020</w:t>
            </w:r>
          </w:p>
        </w:tc>
        <w:tc>
          <w:tcPr>
            <w:tcW w:w="1327" w:type="pct"/>
            <w:gridSpan w:val="2"/>
            <w:vAlign w:val="center"/>
          </w:tcPr>
          <w:p w14:paraId="43D5C742" w14:textId="45F62D3B" w:rsidR="00BD2CA8" w:rsidRPr="00CC3317" w:rsidRDefault="00BD2CA8" w:rsidP="00BD2CA8">
            <w:pPr>
              <w:pStyle w:val="TabelaglavaNAPOVED"/>
              <w:jc w:val="center"/>
              <w:rPr>
                <w:rFonts w:asciiTheme="majorHAnsi" w:hAnsiTheme="majorHAnsi" w:cstheme="majorHAnsi"/>
                <w:szCs w:val="16"/>
                <w:highlight w:val="yellow"/>
              </w:rPr>
            </w:pPr>
            <w:r w:rsidRPr="00CC3317">
              <w:rPr>
                <w:rFonts w:asciiTheme="majorHAnsi" w:hAnsiTheme="majorHAnsi" w:cstheme="majorHAnsi"/>
                <w:szCs w:val="16"/>
                <w:highlight w:val="yellow"/>
              </w:rPr>
              <w:t>202</w:t>
            </w:r>
            <w:r w:rsidR="00A15A0C" w:rsidRPr="00CC3317">
              <w:rPr>
                <w:rFonts w:asciiTheme="majorHAnsi" w:hAnsiTheme="majorHAnsi" w:cstheme="majorHAnsi"/>
                <w:szCs w:val="16"/>
                <w:highlight w:val="yellow"/>
              </w:rPr>
              <w:t>1</w:t>
            </w:r>
          </w:p>
        </w:tc>
        <w:tc>
          <w:tcPr>
            <w:tcW w:w="1282" w:type="pct"/>
            <w:gridSpan w:val="2"/>
            <w:tcBorders>
              <w:right w:val="single" w:sz="4" w:space="0" w:color="auto"/>
            </w:tcBorders>
            <w:vAlign w:val="center"/>
          </w:tcPr>
          <w:p w14:paraId="57DC2734" w14:textId="69BB5CDE" w:rsidR="00BD2CA8" w:rsidRPr="00CC3317" w:rsidRDefault="00BD2CA8" w:rsidP="00BD2CA8">
            <w:pPr>
              <w:pStyle w:val="TabelaglavaNAPOVED"/>
              <w:jc w:val="center"/>
              <w:rPr>
                <w:rFonts w:asciiTheme="majorHAnsi" w:hAnsiTheme="majorHAnsi" w:cstheme="majorHAnsi"/>
                <w:szCs w:val="16"/>
                <w:highlight w:val="yellow"/>
              </w:rPr>
            </w:pPr>
            <w:r w:rsidRPr="00CC3317">
              <w:rPr>
                <w:rFonts w:asciiTheme="majorHAnsi" w:hAnsiTheme="majorHAnsi" w:cstheme="majorHAnsi"/>
                <w:szCs w:val="16"/>
                <w:highlight w:val="yellow"/>
              </w:rPr>
              <w:t>202</w:t>
            </w:r>
            <w:r w:rsidR="00A15A0C" w:rsidRPr="00CC3317">
              <w:rPr>
                <w:rFonts w:asciiTheme="majorHAnsi" w:hAnsiTheme="majorHAnsi" w:cstheme="majorHAnsi"/>
                <w:szCs w:val="16"/>
                <w:highlight w:val="yellow"/>
              </w:rPr>
              <w:t>2</w:t>
            </w:r>
          </w:p>
        </w:tc>
        <w:tc>
          <w:tcPr>
            <w:tcW w:w="664" w:type="pct"/>
            <w:tcBorders>
              <w:left w:val="single" w:sz="4" w:space="0" w:color="auto"/>
              <w:right w:val="nil"/>
            </w:tcBorders>
            <w:vAlign w:val="center"/>
          </w:tcPr>
          <w:p w14:paraId="14BBD68E" w14:textId="52BF9C84" w:rsidR="00BD2CA8" w:rsidRPr="00CC3317" w:rsidRDefault="00BD2CA8" w:rsidP="00284871">
            <w:pPr>
              <w:pStyle w:val="TabelaglavaNAPOVED"/>
              <w:rPr>
                <w:rFonts w:asciiTheme="majorHAnsi" w:hAnsiTheme="majorHAnsi" w:cstheme="majorHAnsi"/>
                <w:szCs w:val="16"/>
                <w:highlight w:val="yellow"/>
              </w:rPr>
            </w:pPr>
            <w:r w:rsidRPr="00CC3317">
              <w:rPr>
                <w:rFonts w:asciiTheme="majorHAnsi" w:hAnsiTheme="majorHAnsi" w:cstheme="majorHAnsi"/>
                <w:szCs w:val="16"/>
                <w:highlight w:val="yellow"/>
              </w:rPr>
              <w:t>202</w:t>
            </w:r>
            <w:r w:rsidR="00A15A0C" w:rsidRPr="00CC3317">
              <w:rPr>
                <w:rFonts w:asciiTheme="majorHAnsi" w:hAnsiTheme="majorHAnsi" w:cstheme="majorHAnsi"/>
                <w:szCs w:val="16"/>
                <w:highlight w:val="yellow"/>
              </w:rPr>
              <w:t>3</w:t>
            </w:r>
          </w:p>
        </w:tc>
      </w:tr>
      <w:tr w:rsidR="004E7378" w:rsidRPr="00CC3317" w14:paraId="75C4FDAC" w14:textId="0522BB63" w:rsidTr="00204CAB">
        <w:trPr>
          <w:trHeight w:val="315"/>
        </w:trPr>
        <w:tc>
          <w:tcPr>
            <w:tcW w:w="1212" w:type="pct"/>
            <w:vMerge/>
            <w:vAlign w:val="center"/>
            <w:hideMark/>
          </w:tcPr>
          <w:p w14:paraId="21ED905B" w14:textId="77777777" w:rsidR="004E7378" w:rsidRPr="00CC3317" w:rsidRDefault="004E7378" w:rsidP="004E7378">
            <w:pPr>
              <w:pStyle w:val="TabelalevistolpecNAPOVED"/>
              <w:rPr>
                <w:rFonts w:asciiTheme="majorHAnsi" w:hAnsiTheme="majorHAnsi" w:cstheme="majorHAnsi"/>
                <w:szCs w:val="16"/>
                <w:highlight w:val="yellow"/>
              </w:rPr>
            </w:pPr>
          </w:p>
        </w:tc>
        <w:tc>
          <w:tcPr>
            <w:tcW w:w="515" w:type="pct"/>
            <w:vMerge/>
            <w:tcBorders>
              <w:bottom w:val="single" w:sz="4" w:space="0" w:color="auto"/>
            </w:tcBorders>
            <w:vAlign w:val="center"/>
            <w:hideMark/>
          </w:tcPr>
          <w:p w14:paraId="31C7AD81" w14:textId="77777777" w:rsidR="004E7378" w:rsidRPr="00CC3317" w:rsidRDefault="004E7378" w:rsidP="004E7378">
            <w:pPr>
              <w:pStyle w:val="TabelaglavaNAPOVED"/>
              <w:jc w:val="center"/>
              <w:rPr>
                <w:rFonts w:asciiTheme="majorHAnsi" w:hAnsiTheme="majorHAnsi" w:cstheme="majorHAnsi"/>
                <w:szCs w:val="16"/>
                <w:highlight w:val="yellow"/>
              </w:rPr>
            </w:pPr>
          </w:p>
        </w:tc>
        <w:tc>
          <w:tcPr>
            <w:tcW w:w="681" w:type="pct"/>
            <w:tcBorders>
              <w:bottom w:val="single" w:sz="4" w:space="0" w:color="auto"/>
            </w:tcBorders>
            <w:shd w:val="clear" w:color="auto" w:fill="auto"/>
            <w:vAlign w:val="center"/>
            <w:hideMark/>
          </w:tcPr>
          <w:p w14:paraId="4E54EB45" w14:textId="5DE74476" w:rsidR="004E7378" w:rsidRPr="00CC3317" w:rsidRDefault="00A15A0C" w:rsidP="00234CFA">
            <w:pPr>
              <w:pStyle w:val="TabelaglavaNAPOVED"/>
              <w:rPr>
                <w:rFonts w:asciiTheme="majorHAnsi" w:hAnsiTheme="majorHAnsi" w:cstheme="majorHAnsi"/>
                <w:szCs w:val="16"/>
                <w:highlight w:val="yellow"/>
              </w:rPr>
            </w:pPr>
            <w:r w:rsidRPr="00CC3317">
              <w:rPr>
                <w:rFonts w:asciiTheme="majorHAnsi" w:hAnsiTheme="majorHAnsi" w:cstheme="majorHAnsi"/>
                <w:szCs w:val="16"/>
                <w:highlight w:val="yellow"/>
              </w:rPr>
              <w:t>dec</w:t>
            </w:r>
            <w:r w:rsidR="004E7378" w:rsidRPr="00CC3317">
              <w:rPr>
                <w:rFonts w:asciiTheme="majorHAnsi" w:hAnsiTheme="majorHAnsi" w:cstheme="majorHAnsi"/>
                <w:szCs w:val="16"/>
                <w:highlight w:val="yellow"/>
              </w:rPr>
              <w:t>ember 2020</w:t>
            </w:r>
          </w:p>
        </w:tc>
        <w:tc>
          <w:tcPr>
            <w:tcW w:w="646" w:type="pct"/>
            <w:tcBorders>
              <w:bottom w:val="single" w:sz="4" w:space="0" w:color="auto"/>
            </w:tcBorders>
            <w:shd w:val="clear" w:color="auto" w:fill="E9E9E9" w:themeFill="accent3" w:themeFillTint="33"/>
            <w:vAlign w:val="center"/>
          </w:tcPr>
          <w:p w14:paraId="6338913D" w14:textId="3FD8872D" w:rsidR="003B22F9" w:rsidRPr="00CC3317" w:rsidRDefault="00A15A0C" w:rsidP="00234CFA">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2AD2A723" w14:textId="09681AEA" w:rsidR="004E7378" w:rsidRPr="00CC3317" w:rsidRDefault="004E7378" w:rsidP="00234CFA">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202</w:t>
            </w:r>
            <w:r w:rsidR="008B7D4A" w:rsidRPr="00CC3317">
              <w:rPr>
                <w:rFonts w:asciiTheme="majorHAnsi" w:hAnsiTheme="majorHAnsi" w:cstheme="majorHAnsi"/>
                <w:color w:val="9E001A" w:themeColor="accent1"/>
                <w:szCs w:val="16"/>
                <w:highlight w:val="yellow"/>
              </w:rPr>
              <w:t>1</w:t>
            </w:r>
          </w:p>
        </w:tc>
        <w:tc>
          <w:tcPr>
            <w:tcW w:w="620" w:type="pct"/>
            <w:tcBorders>
              <w:bottom w:val="single" w:sz="4" w:space="0" w:color="auto"/>
            </w:tcBorders>
            <w:shd w:val="clear" w:color="auto" w:fill="auto"/>
            <w:vAlign w:val="center"/>
            <w:hideMark/>
          </w:tcPr>
          <w:p w14:paraId="58C20C22" w14:textId="39B741C5" w:rsidR="004E7378" w:rsidRPr="00CC3317" w:rsidRDefault="00A15A0C" w:rsidP="00234CFA">
            <w:pPr>
              <w:pStyle w:val="TabelaglavaNAPOVED"/>
              <w:rPr>
                <w:rFonts w:asciiTheme="majorHAnsi" w:hAnsiTheme="majorHAnsi" w:cstheme="majorHAnsi"/>
                <w:szCs w:val="16"/>
                <w:highlight w:val="yellow"/>
              </w:rPr>
            </w:pPr>
            <w:r w:rsidRPr="00CC3317">
              <w:rPr>
                <w:rFonts w:asciiTheme="majorHAnsi" w:hAnsiTheme="majorHAnsi" w:cstheme="majorHAnsi"/>
                <w:szCs w:val="16"/>
                <w:highlight w:val="yellow"/>
              </w:rPr>
              <w:t>december 2020</w:t>
            </w:r>
          </w:p>
        </w:tc>
        <w:tc>
          <w:tcPr>
            <w:tcW w:w="662" w:type="pct"/>
            <w:tcBorders>
              <w:bottom w:val="single" w:sz="4" w:space="0" w:color="auto"/>
              <w:right w:val="single" w:sz="4" w:space="0" w:color="auto"/>
            </w:tcBorders>
            <w:shd w:val="clear" w:color="auto" w:fill="E9E9E9" w:themeFill="accent3" w:themeFillTint="33"/>
            <w:vAlign w:val="center"/>
            <w:hideMark/>
          </w:tcPr>
          <w:p w14:paraId="78DC9133" w14:textId="77777777" w:rsidR="00A15A0C" w:rsidRPr="00CC3317" w:rsidRDefault="00A15A0C" w:rsidP="00A15A0C">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05E9CF5E" w14:textId="396B6318" w:rsidR="004E7378" w:rsidRPr="00CC3317" w:rsidRDefault="00A15A0C" w:rsidP="00A15A0C">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202</w:t>
            </w:r>
            <w:r w:rsidR="008B7D4A" w:rsidRPr="00CC3317">
              <w:rPr>
                <w:rFonts w:asciiTheme="majorHAnsi" w:hAnsiTheme="majorHAnsi" w:cstheme="majorHAnsi"/>
                <w:color w:val="9E001A" w:themeColor="accent1"/>
                <w:szCs w:val="16"/>
                <w:highlight w:val="yellow"/>
              </w:rPr>
              <w:t>1</w:t>
            </w:r>
          </w:p>
        </w:tc>
        <w:tc>
          <w:tcPr>
            <w:tcW w:w="664" w:type="pct"/>
            <w:tcBorders>
              <w:left w:val="single" w:sz="4" w:space="0" w:color="auto"/>
              <w:bottom w:val="single" w:sz="4" w:space="0" w:color="auto"/>
              <w:right w:val="nil"/>
            </w:tcBorders>
            <w:shd w:val="clear" w:color="auto" w:fill="E9E9E9" w:themeFill="accent3" w:themeFillTint="33"/>
          </w:tcPr>
          <w:p w14:paraId="0080636C" w14:textId="77777777" w:rsidR="00A15A0C" w:rsidRPr="00CC3317" w:rsidRDefault="00A15A0C" w:rsidP="00A15A0C">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207B887A" w14:textId="1BCB607C" w:rsidR="004E7378" w:rsidRPr="00CC3317" w:rsidRDefault="00A15A0C" w:rsidP="00A15A0C">
            <w:pPr>
              <w:pStyle w:val="TabelaglavaNAPOVED"/>
              <w:rPr>
                <w:rFonts w:asciiTheme="majorHAnsi" w:hAnsiTheme="majorHAnsi" w:cstheme="majorHAnsi"/>
                <w:szCs w:val="16"/>
                <w:highlight w:val="yellow"/>
              </w:rPr>
            </w:pPr>
            <w:r w:rsidRPr="00CC3317">
              <w:rPr>
                <w:rFonts w:asciiTheme="majorHAnsi" w:hAnsiTheme="majorHAnsi" w:cstheme="majorHAnsi"/>
                <w:color w:val="9E001A" w:themeColor="accent1"/>
                <w:szCs w:val="16"/>
                <w:highlight w:val="yellow"/>
              </w:rPr>
              <w:t>202</w:t>
            </w:r>
            <w:r w:rsidR="008B7D4A" w:rsidRPr="00CC3317">
              <w:rPr>
                <w:rFonts w:asciiTheme="majorHAnsi" w:hAnsiTheme="majorHAnsi" w:cstheme="majorHAnsi"/>
                <w:color w:val="9E001A" w:themeColor="accent1"/>
                <w:szCs w:val="16"/>
                <w:highlight w:val="yellow"/>
              </w:rPr>
              <w:t>1</w:t>
            </w:r>
          </w:p>
        </w:tc>
      </w:tr>
      <w:tr w:rsidR="009972F5" w:rsidRPr="00CC3317" w14:paraId="46302558" w14:textId="3E2F7D0C" w:rsidTr="00204CAB">
        <w:trPr>
          <w:trHeight w:val="300"/>
        </w:trPr>
        <w:tc>
          <w:tcPr>
            <w:tcW w:w="1212" w:type="pct"/>
            <w:tcBorders>
              <w:right w:val="single" w:sz="4" w:space="0" w:color="auto"/>
            </w:tcBorders>
            <w:shd w:val="clear" w:color="auto" w:fill="auto"/>
            <w:noWrap/>
            <w:vAlign w:val="center"/>
            <w:hideMark/>
          </w:tcPr>
          <w:p w14:paraId="214495FD" w14:textId="77777777"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EU</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AD0F7" w14:textId="343AC4B7"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-6,</w:t>
            </w:r>
            <w:r w:rsidR="00166B3C" w:rsidRPr="00CC3317">
              <w:rPr>
                <w:rFonts w:cs="Arial"/>
                <w:szCs w:val="16"/>
                <w:highlight w:val="yellow"/>
              </w:rPr>
              <w:t>2</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F8D90" w14:textId="54076ADD"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3,6</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4896B47D" w14:textId="67DD68F1"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3,7</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96FDE5" w14:textId="4F54FC77"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3,3</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339715E8" w14:textId="07D4BEA6"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3,9</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3EDD0F33" w14:textId="042A6CCF"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2,4</w:t>
            </w:r>
          </w:p>
        </w:tc>
      </w:tr>
      <w:tr w:rsidR="009972F5" w:rsidRPr="00CC3317" w14:paraId="1715F84B" w14:textId="419CE933" w:rsidTr="00204CAB">
        <w:trPr>
          <w:trHeight w:val="300"/>
        </w:trPr>
        <w:tc>
          <w:tcPr>
            <w:tcW w:w="1212" w:type="pct"/>
            <w:tcBorders>
              <w:right w:val="single" w:sz="4" w:space="0" w:color="auto"/>
            </w:tcBorders>
            <w:shd w:val="clear" w:color="auto" w:fill="auto"/>
            <w:noWrap/>
            <w:vAlign w:val="center"/>
            <w:hideMark/>
          </w:tcPr>
          <w:p w14:paraId="4015866C" w14:textId="77777777"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Evrsko območje</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2B4D4" w14:textId="68E8A0EB"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-6,</w:t>
            </w:r>
            <w:r w:rsidR="002B03CC" w:rsidRPr="00CC3317">
              <w:rPr>
                <w:rFonts w:cs="Arial"/>
                <w:szCs w:val="16"/>
                <w:highlight w:val="yellow"/>
              </w:rPr>
              <w:t>6</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FE974" w14:textId="5A71BAB7"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3,7</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4A5BE912" w14:textId="5CC65EA2"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3,8</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0940F7" w14:textId="10B27F2B" w:rsidR="009972F5" w:rsidRPr="00CC3317" w:rsidRDefault="009972F5" w:rsidP="009972F5">
            <w:pPr>
              <w:pStyle w:val="TabelaNAPOVED"/>
              <w:rPr>
                <w:rFonts w:asciiTheme="majorHAnsi" w:hAnsiTheme="majorHAnsi" w:cstheme="majorHAnsi"/>
                <w:szCs w:val="16"/>
                <w:highlight w:val="yellow"/>
              </w:rPr>
            </w:pPr>
            <w:r w:rsidRPr="00CC3317">
              <w:rPr>
                <w:rFonts w:cs="Arial"/>
                <w:szCs w:val="16"/>
                <w:highlight w:val="yellow"/>
              </w:rPr>
              <w:t>3,3</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550E0D02" w14:textId="24A69876"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3,8</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3BAB22EB" w14:textId="298BDBE7"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2,1</w:t>
            </w:r>
          </w:p>
        </w:tc>
      </w:tr>
      <w:tr w:rsidR="009972F5" w:rsidRPr="00CC3317" w14:paraId="426E2BED" w14:textId="2F675F99" w:rsidTr="00204CAB">
        <w:trPr>
          <w:trHeight w:val="300"/>
        </w:trPr>
        <w:tc>
          <w:tcPr>
            <w:tcW w:w="1212" w:type="pct"/>
            <w:tcBorders>
              <w:right w:val="single" w:sz="4" w:space="0" w:color="auto"/>
            </w:tcBorders>
            <w:shd w:val="clear" w:color="auto" w:fill="auto"/>
            <w:noWrap/>
            <w:vAlign w:val="center"/>
            <w:hideMark/>
          </w:tcPr>
          <w:p w14:paraId="40E324AC" w14:textId="7933114C"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 xml:space="preserve">   Nemčija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2A2A3" w14:textId="63F38391"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-4,9</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64459" w14:textId="35E62EFE"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3,0</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2418CAD9" w14:textId="6BC29558"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3,4</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2AA95E" w14:textId="6F5D0261"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3,3</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0DB06061" w14:textId="49C706B6"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3,1</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2BCB3C56" w14:textId="4477FD05"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1,9</w:t>
            </w:r>
          </w:p>
        </w:tc>
      </w:tr>
      <w:tr w:rsidR="009972F5" w:rsidRPr="00CC3317" w14:paraId="77C320CE" w14:textId="2ED67B39" w:rsidTr="00204CAB">
        <w:trPr>
          <w:trHeight w:val="300"/>
        </w:trPr>
        <w:tc>
          <w:tcPr>
            <w:tcW w:w="1212" w:type="pct"/>
            <w:tcBorders>
              <w:right w:val="single" w:sz="4" w:space="0" w:color="auto"/>
            </w:tcBorders>
            <w:shd w:val="clear" w:color="auto" w:fill="auto"/>
            <w:noWrap/>
            <w:vAlign w:val="center"/>
            <w:hideMark/>
          </w:tcPr>
          <w:p w14:paraId="1797EFE7" w14:textId="52B16C96"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 xml:space="preserve">   Italija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B2B5D" w14:textId="17B0D735"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-8,9</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B5C57" w14:textId="1D3BDE62"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4,3</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05B22903" w14:textId="432EB15F"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3,4</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DBFC6F" w14:textId="1F885F52"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3,2</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786FE578" w14:textId="0F83306E"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3,5</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7541F439" w14:textId="22C915DC"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1,7</w:t>
            </w:r>
          </w:p>
        </w:tc>
      </w:tr>
      <w:tr w:rsidR="009972F5" w:rsidRPr="00CC3317" w14:paraId="5D7FD635" w14:textId="7E432996" w:rsidTr="00204CAB">
        <w:trPr>
          <w:trHeight w:val="300"/>
        </w:trPr>
        <w:tc>
          <w:tcPr>
            <w:tcW w:w="1212" w:type="pct"/>
            <w:tcBorders>
              <w:right w:val="single" w:sz="4" w:space="0" w:color="auto"/>
            </w:tcBorders>
            <w:shd w:val="clear" w:color="auto" w:fill="auto"/>
            <w:noWrap/>
            <w:vAlign w:val="center"/>
            <w:hideMark/>
          </w:tcPr>
          <w:p w14:paraId="13CE748D" w14:textId="23E23A63"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 xml:space="preserve">   Avstrija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A067C" w14:textId="26F58C6C"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w:t>
            </w:r>
            <w:r w:rsidR="00930998" w:rsidRPr="00CC3317">
              <w:rPr>
                <w:rFonts w:cs="Arial"/>
                <w:szCs w:val="16"/>
                <w:highlight w:val="yellow"/>
              </w:rPr>
              <w:t>6,6</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7A4E8" w14:textId="51E62489"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2,5</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5A3E1473" w14:textId="42431195"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2,0</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A35427" w14:textId="7A981ABE"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2,3</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06E01485" w14:textId="35D3048D"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5,1</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719F5B7F" w14:textId="0651F845"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1,9</w:t>
            </w:r>
          </w:p>
        </w:tc>
      </w:tr>
      <w:tr w:rsidR="009972F5" w:rsidRPr="00CC3317" w14:paraId="691B2C0D" w14:textId="098608A8" w:rsidTr="00204CAB">
        <w:trPr>
          <w:trHeight w:val="300"/>
        </w:trPr>
        <w:tc>
          <w:tcPr>
            <w:tcW w:w="1212" w:type="pct"/>
            <w:tcBorders>
              <w:right w:val="single" w:sz="4" w:space="0" w:color="auto"/>
            </w:tcBorders>
            <w:shd w:val="clear" w:color="auto" w:fill="auto"/>
            <w:noWrap/>
            <w:vAlign w:val="center"/>
            <w:hideMark/>
          </w:tcPr>
          <w:p w14:paraId="0C498952" w14:textId="504AA056"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 xml:space="preserve">   Francija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5CF00" w14:textId="1FC7EE0D"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-8,1</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32664" w14:textId="7CABB672"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5,8</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2F6499AE" w14:textId="664D4B40"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5,5</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686966" w14:textId="11B858E5"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3,3</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5DA048F1" w14:textId="6086FF22"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4,4</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7606CFB2" w14:textId="508401F0"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2,2</w:t>
            </w:r>
          </w:p>
        </w:tc>
      </w:tr>
      <w:tr w:rsidR="009972F5" w:rsidRPr="00CC3317" w14:paraId="1B32C49E" w14:textId="7E5AE87B" w:rsidTr="00204CAB">
        <w:trPr>
          <w:trHeight w:val="300"/>
        </w:trPr>
        <w:tc>
          <w:tcPr>
            <w:tcW w:w="1212" w:type="pct"/>
            <w:tcBorders>
              <w:right w:val="single" w:sz="4" w:space="0" w:color="auto"/>
            </w:tcBorders>
            <w:shd w:val="clear" w:color="auto" w:fill="auto"/>
            <w:noWrap/>
            <w:vAlign w:val="center"/>
            <w:hideMark/>
          </w:tcPr>
          <w:p w14:paraId="5275DB25" w14:textId="77777777"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Hrvaška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4EDEA" w14:textId="40413997"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-8,4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EAD2" w14:textId="5BE1E2DB"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5,0</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37C858B3" w14:textId="21CF5437"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5,3</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FF9FC6" w14:textId="21C70F71"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3,7</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38A1331D" w14:textId="259C1AF1"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4,6</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0095AA9A" w14:textId="6AE50EEF"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3,5</w:t>
            </w:r>
          </w:p>
        </w:tc>
      </w:tr>
      <w:tr w:rsidR="009972F5" w:rsidRPr="00CC3317" w14:paraId="4E1BB4E5" w14:textId="08BE896D" w:rsidTr="00204CAB">
        <w:trPr>
          <w:trHeight w:val="315"/>
        </w:trPr>
        <w:tc>
          <w:tcPr>
            <w:tcW w:w="1212" w:type="pct"/>
            <w:tcBorders>
              <w:right w:val="single" w:sz="4" w:space="0" w:color="auto"/>
            </w:tcBorders>
            <w:shd w:val="clear" w:color="auto" w:fill="auto"/>
            <w:noWrap/>
            <w:vAlign w:val="center"/>
            <w:hideMark/>
          </w:tcPr>
          <w:p w14:paraId="05AD9627" w14:textId="77777777" w:rsidR="009972F5" w:rsidRPr="00CC3317" w:rsidRDefault="009972F5" w:rsidP="009972F5">
            <w:pPr>
              <w:pStyle w:val="TabelalevistolpecNAPOVED"/>
              <w:rPr>
                <w:rFonts w:asciiTheme="majorHAnsi" w:hAnsiTheme="majorHAnsi" w:cstheme="majorHAnsi"/>
                <w:bCs/>
                <w:szCs w:val="16"/>
                <w:highlight w:val="yellow"/>
              </w:rPr>
            </w:pPr>
            <w:r w:rsidRPr="00CC3317">
              <w:rPr>
                <w:rFonts w:asciiTheme="majorHAnsi" w:hAnsiTheme="majorHAnsi" w:cstheme="majorHAnsi"/>
                <w:bCs/>
                <w:szCs w:val="16"/>
                <w:highlight w:val="yellow"/>
              </w:rPr>
              <w:t>Rusija</w:t>
            </w:r>
          </w:p>
        </w:tc>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604D9" w14:textId="5DED0043" w:rsidR="009972F5" w:rsidRPr="00CC3317" w:rsidRDefault="009972F5" w:rsidP="009972F5">
            <w:pPr>
              <w:pStyle w:val="TabelaNAPOVED"/>
              <w:rPr>
                <w:rFonts w:asciiTheme="majorHAnsi" w:hAnsiTheme="majorHAnsi" w:cstheme="majorHAnsi"/>
                <w:bCs/>
                <w:szCs w:val="16"/>
                <w:highlight w:val="yellow"/>
              </w:rPr>
            </w:pPr>
            <w:r w:rsidRPr="00CC3317">
              <w:rPr>
                <w:rFonts w:cs="Arial"/>
                <w:szCs w:val="16"/>
                <w:highlight w:val="yellow"/>
              </w:rPr>
              <w:t>-3,1</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4D8E4" w14:textId="48638A90" w:rsidR="009972F5" w:rsidRPr="00CC3317" w:rsidRDefault="009972F5" w:rsidP="009972F5">
            <w:pPr>
              <w:pStyle w:val="TabelalevistolpecNAPOVED"/>
              <w:jc w:val="right"/>
              <w:rPr>
                <w:rFonts w:asciiTheme="majorHAnsi" w:hAnsiTheme="majorHAnsi" w:cstheme="majorHAnsi"/>
                <w:szCs w:val="16"/>
                <w:highlight w:val="yellow"/>
              </w:rPr>
            </w:pPr>
            <w:r w:rsidRPr="00CC3317">
              <w:rPr>
                <w:rFonts w:cs="Arial"/>
                <w:color w:val="000000"/>
                <w:szCs w:val="16"/>
                <w:highlight w:val="yellow"/>
              </w:rPr>
              <w:t>2,8</w:t>
            </w:r>
          </w:p>
        </w:tc>
        <w:tc>
          <w:tcPr>
            <w:tcW w:w="646" w:type="pct"/>
            <w:tcBorders>
              <w:top w:val="single" w:sz="4" w:space="0" w:color="auto"/>
              <w:left w:val="single" w:sz="4" w:space="0" w:color="auto"/>
              <w:bottom w:val="single" w:sz="4" w:space="0" w:color="auto"/>
              <w:right w:val="single" w:sz="4" w:space="0" w:color="auto"/>
            </w:tcBorders>
            <w:shd w:val="clear" w:color="auto" w:fill="E9E9E9" w:themeFill="accent3" w:themeFillTint="33"/>
            <w:vAlign w:val="center"/>
          </w:tcPr>
          <w:p w14:paraId="7B917792" w14:textId="5988B5EE"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2,9</w:t>
            </w:r>
          </w:p>
        </w:tc>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A50697" w14:textId="07AD8973" w:rsidR="009972F5" w:rsidRPr="00CC3317" w:rsidRDefault="009972F5" w:rsidP="009972F5">
            <w:pPr>
              <w:pStyle w:val="TabelaNAPOVED"/>
              <w:rPr>
                <w:rFonts w:asciiTheme="majorHAnsi" w:hAnsiTheme="majorHAnsi" w:cstheme="majorHAnsi"/>
                <w:szCs w:val="16"/>
                <w:highlight w:val="yellow"/>
              </w:rPr>
            </w:pPr>
            <w:r w:rsidRPr="00CC3317">
              <w:rPr>
                <w:rFonts w:cs="Arial"/>
                <w:color w:val="000000"/>
                <w:szCs w:val="16"/>
                <w:highlight w:val="yellow"/>
              </w:rPr>
              <w:t>2,2</w:t>
            </w:r>
          </w:p>
        </w:tc>
        <w:tc>
          <w:tcPr>
            <w:tcW w:w="662" w:type="pct"/>
            <w:tcBorders>
              <w:top w:val="single" w:sz="4" w:space="0" w:color="auto"/>
              <w:left w:val="single" w:sz="4" w:space="0" w:color="auto"/>
              <w:bottom w:val="single" w:sz="4" w:space="0" w:color="auto"/>
              <w:right w:val="single" w:sz="4" w:space="0" w:color="auto"/>
            </w:tcBorders>
            <w:shd w:val="clear" w:color="auto" w:fill="E9E9E9" w:themeFill="accent3" w:themeFillTint="33"/>
            <w:noWrap/>
            <w:vAlign w:val="center"/>
            <w:hideMark/>
          </w:tcPr>
          <w:p w14:paraId="53FA8DB8" w14:textId="315D7E93"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3,9</w:t>
            </w:r>
          </w:p>
        </w:tc>
        <w:tc>
          <w:tcPr>
            <w:tcW w:w="664"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10AAC5E9" w14:textId="6B4E6CF5" w:rsidR="009972F5" w:rsidRPr="00CC3317" w:rsidRDefault="009972F5" w:rsidP="009972F5">
            <w:pPr>
              <w:pStyle w:val="TabelaNAPOVED"/>
              <w:rPr>
                <w:rFonts w:asciiTheme="majorHAnsi" w:hAnsiTheme="majorHAnsi" w:cstheme="majorHAnsi"/>
                <w:b/>
                <w:bCs/>
                <w:color w:val="9E001A" w:themeColor="accent1"/>
                <w:szCs w:val="16"/>
                <w:highlight w:val="yellow"/>
              </w:rPr>
            </w:pPr>
            <w:r w:rsidRPr="00CC3317">
              <w:rPr>
                <w:rFonts w:cs="Arial"/>
                <w:b/>
                <w:bCs/>
                <w:color w:val="9E001A" w:themeColor="accent1"/>
                <w:szCs w:val="16"/>
                <w:highlight w:val="yellow"/>
              </w:rPr>
              <w:t>2,1</w:t>
            </w:r>
          </w:p>
        </w:tc>
      </w:tr>
    </w:tbl>
    <w:p w14:paraId="5F5DCA34" w14:textId="6B53A151" w:rsidR="00A56FA4" w:rsidRDefault="00C4489F" w:rsidP="000B36F7">
      <w:pPr>
        <w:pStyle w:val="VirNAPOVED"/>
      </w:pPr>
      <w:r w:rsidRPr="00CC3317">
        <w:rPr>
          <w:highlight w:val="yellow"/>
        </w:rPr>
        <w:t xml:space="preserve">Vir: za leto 2020 Eurostat; za ostala leta </w:t>
      </w:r>
      <w:proofErr w:type="spellStart"/>
      <w:r w:rsidRPr="00CC3317">
        <w:rPr>
          <w:highlight w:val="yellow"/>
        </w:rPr>
        <w:t>Consensus</w:t>
      </w:r>
      <w:proofErr w:type="spellEnd"/>
      <w:r w:rsidRPr="00CC3317">
        <w:rPr>
          <w:highlight w:val="yellow"/>
        </w:rPr>
        <w:t xml:space="preserve"> </w:t>
      </w:r>
      <w:proofErr w:type="spellStart"/>
      <w:r w:rsidRPr="00CC3317">
        <w:rPr>
          <w:highlight w:val="yellow"/>
        </w:rPr>
        <w:t>Forecasts</w:t>
      </w:r>
      <w:proofErr w:type="spellEnd"/>
      <w:r w:rsidRPr="00CC3317">
        <w:rPr>
          <w:highlight w:val="yellow"/>
        </w:rPr>
        <w:t xml:space="preserve">, februar 2021; </w:t>
      </w:r>
      <w:proofErr w:type="spellStart"/>
      <w:r w:rsidRPr="00CC3317">
        <w:rPr>
          <w:highlight w:val="yellow"/>
        </w:rPr>
        <w:t>Eastern</w:t>
      </w:r>
      <w:proofErr w:type="spellEnd"/>
      <w:r w:rsidRPr="00CC3317">
        <w:rPr>
          <w:highlight w:val="yellow"/>
        </w:rPr>
        <w:t xml:space="preserve"> </w:t>
      </w:r>
      <w:proofErr w:type="spellStart"/>
      <w:r w:rsidRPr="00CC3317">
        <w:rPr>
          <w:highlight w:val="yellow"/>
        </w:rPr>
        <w:t>Consensus</w:t>
      </w:r>
      <w:proofErr w:type="spellEnd"/>
      <w:r w:rsidRPr="00CC3317">
        <w:rPr>
          <w:highlight w:val="yellow"/>
        </w:rPr>
        <w:t xml:space="preserve"> </w:t>
      </w:r>
      <w:proofErr w:type="spellStart"/>
      <w:r w:rsidRPr="00CC3317">
        <w:rPr>
          <w:highlight w:val="yellow"/>
        </w:rPr>
        <w:t>Forecasts</w:t>
      </w:r>
      <w:proofErr w:type="spellEnd"/>
      <w:r w:rsidRPr="00CC3317">
        <w:rPr>
          <w:highlight w:val="yellow"/>
        </w:rPr>
        <w:t xml:space="preserve">, februar 2021; EC </w:t>
      </w:r>
      <w:proofErr w:type="spellStart"/>
      <w:r w:rsidRPr="00CC3317">
        <w:rPr>
          <w:highlight w:val="yellow"/>
        </w:rPr>
        <w:t>Winter</w:t>
      </w:r>
      <w:proofErr w:type="spellEnd"/>
      <w:r w:rsidRPr="00CC3317">
        <w:rPr>
          <w:highlight w:val="yellow"/>
        </w:rPr>
        <w:t xml:space="preserve"> </w:t>
      </w:r>
      <w:proofErr w:type="spellStart"/>
      <w:r w:rsidRPr="00CC3317">
        <w:rPr>
          <w:highlight w:val="yellow"/>
        </w:rPr>
        <w:t>Forecast</w:t>
      </w:r>
      <w:proofErr w:type="spellEnd"/>
      <w:r w:rsidRPr="00CC3317">
        <w:rPr>
          <w:highlight w:val="yellow"/>
        </w:rPr>
        <w:t xml:space="preserve">, februar 2021; </w:t>
      </w:r>
      <w:proofErr w:type="spellStart"/>
      <w:r w:rsidRPr="00CC3317">
        <w:rPr>
          <w:highlight w:val="yellow"/>
        </w:rPr>
        <w:t>Focus</w:t>
      </w:r>
      <w:proofErr w:type="spellEnd"/>
      <w:r w:rsidRPr="00CC3317">
        <w:rPr>
          <w:highlight w:val="yellow"/>
        </w:rPr>
        <w:t xml:space="preserve"> </w:t>
      </w:r>
      <w:proofErr w:type="spellStart"/>
      <w:r w:rsidRPr="00CC3317">
        <w:rPr>
          <w:highlight w:val="yellow"/>
        </w:rPr>
        <w:t>Economics</w:t>
      </w:r>
      <w:proofErr w:type="spellEnd"/>
      <w:r w:rsidRPr="00CC3317">
        <w:rPr>
          <w:highlight w:val="yellow"/>
        </w:rPr>
        <w:t xml:space="preserve"> </w:t>
      </w:r>
      <w:proofErr w:type="spellStart"/>
      <w:r w:rsidRPr="00CC3317">
        <w:rPr>
          <w:highlight w:val="yellow"/>
        </w:rPr>
        <w:t>Consensus</w:t>
      </w:r>
      <w:proofErr w:type="spellEnd"/>
      <w:r w:rsidRPr="00CC3317">
        <w:rPr>
          <w:highlight w:val="yellow"/>
        </w:rPr>
        <w:t xml:space="preserve"> </w:t>
      </w:r>
      <w:proofErr w:type="spellStart"/>
      <w:r w:rsidRPr="00CC3317">
        <w:rPr>
          <w:highlight w:val="yellow"/>
        </w:rPr>
        <w:t>Forecast</w:t>
      </w:r>
      <w:proofErr w:type="spellEnd"/>
      <w:r w:rsidRPr="00CC3317">
        <w:rPr>
          <w:highlight w:val="yellow"/>
        </w:rPr>
        <w:t xml:space="preserve">, </w:t>
      </w:r>
      <w:proofErr w:type="spellStart"/>
      <w:r w:rsidRPr="00CC3317">
        <w:rPr>
          <w:highlight w:val="yellow"/>
        </w:rPr>
        <w:t>Central&amp;Eastern</w:t>
      </w:r>
      <w:proofErr w:type="spellEnd"/>
      <w:r w:rsidRPr="00CC3317">
        <w:rPr>
          <w:highlight w:val="yellow"/>
        </w:rPr>
        <w:t xml:space="preserve"> </w:t>
      </w:r>
      <w:proofErr w:type="spellStart"/>
      <w:r w:rsidRPr="00CC3317">
        <w:rPr>
          <w:highlight w:val="yellow"/>
        </w:rPr>
        <w:t>Europe</w:t>
      </w:r>
      <w:proofErr w:type="spellEnd"/>
      <w:r w:rsidRPr="00CC3317">
        <w:rPr>
          <w:highlight w:val="yellow"/>
        </w:rPr>
        <w:t xml:space="preserve">, marec 2021; </w:t>
      </w:r>
      <w:proofErr w:type="spellStart"/>
      <w:r w:rsidRPr="00CC3317">
        <w:rPr>
          <w:highlight w:val="yellow"/>
        </w:rPr>
        <w:t>Focus</w:t>
      </w:r>
      <w:proofErr w:type="spellEnd"/>
      <w:r w:rsidRPr="00CC3317">
        <w:rPr>
          <w:highlight w:val="yellow"/>
        </w:rPr>
        <w:t xml:space="preserve"> </w:t>
      </w:r>
      <w:proofErr w:type="spellStart"/>
      <w:r w:rsidRPr="00CC3317">
        <w:rPr>
          <w:highlight w:val="yellow"/>
        </w:rPr>
        <w:t>Economics</w:t>
      </w:r>
      <w:proofErr w:type="spellEnd"/>
      <w:r w:rsidRPr="00CC3317">
        <w:rPr>
          <w:highlight w:val="yellow"/>
        </w:rPr>
        <w:t xml:space="preserve"> </w:t>
      </w:r>
      <w:proofErr w:type="spellStart"/>
      <w:r w:rsidRPr="00CC3317">
        <w:rPr>
          <w:highlight w:val="yellow"/>
        </w:rPr>
        <w:t>Consensus</w:t>
      </w:r>
      <w:proofErr w:type="spellEnd"/>
      <w:r w:rsidRPr="00CC3317">
        <w:rPr>
          <w:highlight w:val="yellow"/>
        </w:rPr>
        <w:t xml:space="preserve"> </w:t>
      </w:r>
      <w:proofErr w:type="spellStart"/>
      <w:r w:rsidRPr="00CC3317">
        <w:rPr>
          <w:highlight w:val="yellow"/>
        </w:rPr>
        <w:t>Forecast</w:t>
      </w:r>
      <w:proofErr w:type="spellEnd"/>
      <w:r w:rsidRPr="00CC3317">
        <w:rPr>
          <w:highlight w:val="yellow"/>
        </w:rPr>
        <w:t xml:space="preserve">, Euro Area, marec 2021; IMF </w:t>
      </w:r>
      <w:proofErr w:type="spellStart"/>
      <w:r w:rsidRPr="00CC3317">
        <w:rPr>
          <w:highlight w:val="yellow"/>
        </w:rPr>
        <w:t>World</w:t>
      </w:r>
      <w:proofErr w:type="spellEnd"/>
      <w:r w:rsidRPr="00CC3317">
        <w:rPr>
          <w:highlight w:val="yellow"/>
        </w:rPr>
        <w:t xml:space="preserve"> </w:t>
      </w:r>
      <w:proofErr w:type="spellStart"/>
      <w:r w:rsidRPr="00CC3317">
        <w:rPr>
          <w:highlight w:val="yellow"/>
        </w:rPr>
        <w:t>Economic</w:t>
      </w:r>
      <w:proofErr w:type="spellEnd"/>
      <w:r w:rsidRPr="00CC3317">
        <w:rPr>
          <w:highlight w:val="yellow"/>
        </w:rPr>
        <w:t xml:space="preserve"> Outlook, januar 2021; ocena UMAR.</w:t>
      </w:r>
    </w:p>
    <w:tbl>
      <w:tblPr>
        <w:tblStyle w:val="TableGrid"/>
        <w:tblW w:w="13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0" w:type="dxa"/>
          <w:right w:w="70" w:type="dxa"/>
        </w:tblCellMar>
        <w:tblLook w:val="04A0" w:firstRow="1" w:lastRow="0" w:firstColumn="1" w:lastColumn="0" w:noHBand="0" w:noVBand="1"/>
      </w:tblPr>
      <w:tblGrid>
        <w:gridCol w:w="4530"/>
        <w:gridCol w:w="4530"/>
        <w:gridCol w:w="4530"/>
      </w:tblGrid>
      <w:tr w:rsidR="007A2F86" w:rsidRPr="00767446" w14:paraId="4F81FDE7" w14:textId="77777777" w:rsidTr="00B54914">
        <w:tc>
          <w:tcPr>
            <w:tcW w:w="4530" w:type="dxa"/>
          </w:tcPr>
          <w:p w14:paraId="1E94B97D" w14:textId="11B4A6F5" w:rsidR="008A4A9A" w:rsidRPr="00CC3317" w:rsidRDefault="007A2F86" w:rsidP="00716592">
            <w:pPr>
              <w:pStyle w:val="Caption"/>
              <w:rPr>
                <w:highlight w:val="yellow"/>
              </w:rPr>
            </w:pPr>
            <w:r w:rsidRPr="00CC3317">
              <w:rPr>
                <w:highlight w:val="yellow"/>
                <w:lang w:eastAsia="sl-SI"/>
              </w:rPr>
              <w:lastRenderedPageBreak/>
              <w:t xml:space="preserve">Slika </w:t>
            </w:r>
            <w:r w:rsidRPr="00CC3317">
              <w:rPr>
                <w:highlight w:val="yellow"/>
                <w:lang w:eastAsia="sl-SI"/>
              </w:rPr>
              <w:fldChar w:fldCharType="begin"/>
            </w:r>
            <w:r w:rsidRPr="00CC3317">
              <w:rPr>
                <w:highlight w:val="yellow"/>
                <w:lang w:eastAsia="sl-SI"/>
              </w:rPr>
              <w:instrText xml:space="preserve"> SEQ Slika \* ARABIC </w:instrText>
            </w:r>
            <w:r w:rsidRPr="00CC3317">
              <w:rPr>
                <w:highlight w:val="yellow"/>
                <w:lang w:eastAsia="sl-SI"/>
              </w:rPr>
              <w:fldChar w:fldCharType="separate"/>
            </w:r>
            <w:r w:rsidR="00D224DD">
              <w:rPr>
                <w:highlight w:val="yellow"/>
                <w:lang w:eastAsia="sl-SI"/>
              </w:rPr>
              <w:t>1</w:t>
            </w:r>
            <w:r w:rsidRPr="00CC3317">
              <w:rPr>
                <w:highlight w:val="yellow"/>
                <w:lang w:eastAsia="sl-SI"/>
              </w:rPr>
              <w:fldChar w:fldCharType="end"/>
            </w:r>
            <w:r w:rsidRPr="00CC3317">
              <w:rPr>
                <w:highlight w:val="yellow"/>
                <w:lang w:eastAsia="sl-SI"/>
              </w:rPr>
              <w:t xml:space="preserve">: </w:t>
            </w:r>
            <w:r w:rsidR="00AC5B49" w:rsidRPr="00CC3317">
              <w:rPr>
                <w:highlight w:val="yellow"/>
              </w:rPr>
              <w:t xml:space="preserve">Kazalniki razpoloženja v evrskem območju v zadnjih mesecih nakazujejo predvsem na </w:t>
            </w:r>
            <w:r w:rsidR="00847F9D" w:rsidRPr="00CC3317">
              <w:rPr>
                <w:highlight w:val="yellow"/>
              </w:rPr>
              <w:t xml:space="preserve">ohranjanje </w:t>
            </w:r>
            <w:r w:rsidR="00E60F39" w:rsidRPr="00CC3317">
              <w:rPr>
                <w:highlight w:val="yellow"/>
              </w:rPr>
              <w:t>slabše</w:t>
            </w:r>
            <w:r w:rsidR="00847F9D" w:rsidRPr="00CC3317">
              <w:rPr>
                <w:highlight w:val="yellow"/>
              </w:rPr>
              <w:t>ga</w:t>
            </w:r>
            <w:r w:rsidR="00E60F39" w:rsidRPr="00CC3317">
              <w:rPr>
                <w:highlight w:val="yellow"/>
              </w:rPr>
              <w:t xml:space="preserve"> stanj</w:t>
            </w:r>
            <w:r w:rsidR="00847F9D" w:rsidRPr="00CC3317">
              <w:rPr>
                <w:highlight w:val="yellow"/>
              </w:rPr>
              <w:t>a</w:t>
            </w:r>
            <w:r w:rsidR="00AC5B49" w:rsidRPr="00CC3317">
              <w:rPr>
                <w:highlight w:val="yellow"/>
              </w:rPr>
              <w:t xml:space="preserve"> v storitvah</w:t>
            </w:r>
          </w:p>
          <w:p w14:paraId="2255509C" w14:textId="77777777" w:rsidR="00AC5B49" w:rsidRPr="00CC3317" w:rsidRDefault="00AC5B49" w:rsidP="00805A12">
            <w:pPr>
              <w:pStyle w:val="Caption"/>
              <w:rPr>
                <w:highlight w:val="yellow"/>
              </w:rPr>
            </w:pPr>
          </w:p>
          <w:p w14:paraId="5A56D892" w14:textId="7ECAEF80" w:rsidR="007A2F86" w:rsidRPr="00CC3317" w:rsidRDefault="00AC5B49">
            <w:pPr>
              <w:pStyle w:val="Caption"/>
              <w:rPr>
                <w:rFonts w:ascii="Myriad Pro" w:hAnsi="Myriad Pro"/>
                <w:highlight w:val="yellow"/>
                <w:lang w:eastAsia="en-GB"/>
              </w:rPr>
            </w:pPr>
            <w:r w:rsidRPr="00CC3317">
              <w:rPr>
                <w:rFonts w:ascii="Myriad Pro" w:hAnsi="Myriad Pro"/>
                <w:highlight w:val="yellow"/>
                <w:lang w:eastAsia="sl-SI"/>
              </w:rPr>
              <w:drawing>
                <wp:inline distT="0" distB="0" distL="0" distR="0" wp14:anchorId="451A6CCD" wp14:editId="723BE4F1">
                  <wp:extent cx="2783205" cy="2345690"/>
                  <wp:effectExtent l="0" t="0" r="0" b="0"/>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205" cy="2345690"/>
                          </a:xfrm>
                          <a:prstGeom prst="rect">
                            <a:avLst/>
                          </a:prstGeom>
                          <a:noFill/>
                          <a:ln>
                            <a:noFill/>
                          </a:ln>
                        </pic:spPr>
                      </pic:pic>
                    </a:graphicData>
                  </a:graphic>
                </wp:inline>
              </w:drawing>
            </w:r>
          </w:p>
          <w:p w14:paraId="6FE398D7" w14:textId="77777777" w:rsidR="007A2F86" w:rsidRPr="00CC3317" w:rsidRDefault="007A2F86">
            <w:pPr>
              <w:pStyle w:val="Caption"/>
              <w:rPr>
                <w:highlight w:val="yellow"/>
                <w:lang w:eastAsia="sl-SI"/>
              </w:rPr>
            </w:pPr>
          </w:p>
        </w:tc>
        <w:tc>
          <w:tcPr>
            <w:tcW w:w="4530" w:type="dxa"/>
          </w:tcPr>
          <w:p w14:paraId="70D2B859" w14:textId="72E19DDF" w:rsidR="007A2F86" w:rsidRPr="00CC3317" w:rsidRDefault="007A2F86">
            <w:pPr>
              <w:pStyle w:val="Caption"/>
              <w:rPr>
                <w:highlight w:val="yellow"/>
              </w:rPr>
            </w:pPr>
            <w:r w:rsidRPr="00CC3317">
              <w:rPr>
                <w:highlight w:val="yellow"/>
              </w:rPr>
              <w:t xml:space="preserve">Slika </w:t>
            </w:r>
            <w:r w:rsidRPr="00CC3317">
              <w:rPr>
                <w:highlight w:val="yellow"/>
              </w:rPr>
              <w:fldChar w:fldCharType="begin"/>
            </w:r>
            <w:r w:rsidRPr="00CC3317">
              <w:rPr>
                <w:highlight w:val="yellow"/>
              </w:rPr>
              <w:instrText xml:space="preserve"> SEQ Slika \* ARABIC </w:instrText>
            </w:r>
            <w:r w:rsidRPr="00CC3317">
              <w:rPr>
                <w:highlight w:val="yellow"/>
              </w:rPr>
              <w:fldChar w:fldCharType="separate"/>
            </w:r>
            <w:r w:rsidR="00D224DD">
              <w:rPr>
                <w:highlight w:val="yellow"/>
              </w:rPr>
              <w:t>2</w:t>
            </w:r>
            <w:r w:rsidRPr="00CC3317">
              <w:rPr>
                <w:highlight w:val="yellow"/>
              </w:rPr>
              <w:fldChar w:fldCharType="end"/>
            </w:r>
            <w:r w:rsidRPr="00CC3317">
              <w:rPr>
                <w:highlight w:val="yellow"/>
              </w:rPr>
              <w:t>: Cene nafte in neenergetskih surovin</w:t>
            </w:r>
          </w:p>
          <w:p w14:paraId="287622A1" w14:textId="5FC56A98" w:rsidR="008A4A9A" w:rsidRPr="00CC3317" w:rsidRDefault="008A4A9A" w:rsidP="00805A12">
            <w:pPr>
              <w:pStyle w:val="Caption"/>
              <w:rPr>
                <w:highlight w:val="yellow"/>
              </w:rPr>
            </w:pPr>
          </w:p>
          <w:p w14:paraId="33973D9F" w14:textId="5E48B2D4" w:rsidR="001010A9" w:rsidRPr="00CC3317" w:rsidRDefault="001010A9" w:rsidP="00805A12">
            <w:pPr>
              <w:pStyle w:val="Caption"/>
              <w:rPr>
                <w:highlight w:val="yellow"/>
              </w:rPr>
            </w:pPr>
          </w:p>
          <w:p w14:paraId="26014CFA" w14:textId="77777777" w:rsidR="00726C43" w:rsidRPr="00CC3317" w:rsidRDefault="00726C43" w:rsidP="00805A12">
            <w:pPr>
              <w:pStyle w:val="Caption"/>
              <w:rPr>
                <w:highlight w:val="yellow"/>
              </w:rPr>
            </w:pPr>
          </w:p>
          <w:p w14:paraId="0AAD1891" w14:textId="0FA4E0F7" w:rsidR="007A2F86" w:rsidRPr="00CC3317" w:rsidRDefault="00D93A0D">
            <w:pPr>
              <w:pStyle w:val="Caption"/>
              <w:rPr>
                <w:highlight w:val="yellow"/>
                <w:lang w:eastAsia="sl-SI"/>
              </w:rPr>
            </w:pPr>
            <w:r w:rsidRPr="00CC3317">
              <w:rPr>
                <w:highlight w:val="yellow"/>
                <w:lang w:eastAsia="sl-SI"/>
              </w:rPr>
              <w:drawing>
                <wp:inline distT="0" distB="0" distL="0" distR="0" wp14:anchorId="239C206C" wp14:editId="1D1A2908">
                  <wp:extent cx="2787650" cy="2279650"/>
                  <wp:effectExtent l="0" t="0" r="0" b="635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7650" cy="2279650"/>
                          </a:xfrm>
                          <a:prstGeom prst="rect">
                            <a:avLst/>
                          </a:prstGeom>
                          <a:noFill/>
                          <a:ln>
                            <a:noFill/>
                          </a:ln>
                        </pic:spPr>
                      </pic:pic>
                    </a:graphicData>
                  </a:graphic>
                </wp:inline>
              </w:drawing>
            </w:r>
          </w:p>
        </w:tc>
        <w:tc>
          <w:tcPr>
            <w:tcW w:w="4530" w:type="dxa"/>
          </w:tcPr>
          <w:p w14:paraId="2368090C" w14:textId="4A9CB3FF" w:rsidR="007A2F86" w:rsidRDefault="007A2F86" w:rsidP="007A2F86">
            <w:pPr>
              <w:pStyle w:val="Caption"/>
              <w:rPr>
                <w:noProof w:val="0"/>
                <w:lang w:eastAsia="sl-SI"/>
              </w:rPr>
            </w:pPr>
          </w:p>
          <w:p w14:paraId="78B21154" w14:textId="77777777" w:rsidR="008A4A9A" w:rsidRPr="008A4A9A" w:rsidRDefault="008A4A9A" w:rsidP="008A4A9A">
            <w:pPr>
              <w:pStyle w:val="BesediloNAPOVED"/>
              <w:rPr>
                <w:lang w:eastAsia="sl-SI"/>
              </w:rPr>
            </w:pPr>
          </w:p>
          <w:p w14:paraId="005746BB" w14:textId="77777777" w:rsidR="007A2F86" w:rsidRPr="00767446" w:rsidRDefault="007A2F86" w:rsidP="007A2F86">
            <w:pPr>
              <w:pStyle w:val="Caption"/>
              <w:rPr>
                <w:rFonts w:ascii="Myriad Pro" w:hAnsi="Myriad Pro"/>
                <w:noProof w:val="0"/>
                <w:lang w:eastAsia="sl-SI"/>
              </w:rPr>
            </w:pPr>
          </w:p>
          <w:p w14:paraId="2D889484" w14:textId="77777777" w:rsidR="007A2F86" w:rsidRDefault="007A2F86" w:rsidP="007A2F86">
            <w:pPr>
              <w:pStyle w:val="Caption"/>
              <w:rPr>
                <w:rFonts w:ascii="Myriad Pro" w:hAnsi="Myriad Pro"/>
                <w:noProof w:val="0"/>
                <w:lang w:eastAsia="en-GB"/>
              </w:rPr>
            </w:pPr>
          </w:p>
          <w:p w14:paraId="500CE72D" w14:textId="77777777" w:rsidR="00AC5B49" w:rsidRDefault="00AC5B49" w:rsidP="00AC5B49">
            <w:pPr>
              <w:pStyle w:val="BesediloNAPOVED"/>
              <w:rPr>
                <w:lang w:eastAsia="en-GB"/>
              </w:rPr>
            </w:pPr>
          </w:p>
          <w:p w14:paraId="134C1BAA" w14:textId="77777777" w:rsidR="00AC5B49" w:rsidRDefault="00AC5B49" w:rsidP="00AC5B49">
            <w:pPr>
              <w:pStyle w:val="BesediloNAPOVED"/>
              <w:rPr>
                <w:lang w:eastAsia="en-GB"/>
              </w:rPr>
            </w:pPr>
          </w:p>
          <w:p w14:paraId="2F412769" w14:textId="1A0D824A" w:rsidR="00AC5B49" w:rsidRPr="00AC5B49" w:rsidRDefault="00AC5B49" w:rsidP="00AC5B49">
            <w:pPr>
              <w:pStyle w:val="BesediloNAPOVED"/>
              <w:rPr>
                <w:lang w:eastAsia="en-GB"/>
              </w:rPr>
            </w:pPr>
          </w:p>
        </w:tc>
      </w:tr>
      <w:tr w:rsidR="00564764" w:rsidRPr="005C103D" w14:paraId="34A53625" w14:textId="77777777" w:rsidTr="00B54914">
        <w:tblPrEx>
          <w:tblCellMar>
            <w:left w:w="108" w:type="dxa"/>
            <w:right w:w="108" w:type="dxa"/>
          </w:tblCellMar>
        </w:tblPrEx>
        <w:trPr>
          <w:gridAfter w:val="1"/>
          <w:wAfter w:w="4530" w:type="dxa"/>
        </w:trPr>
        <w:tc>
          <w:tcPr>
            <w:tcW w:w="4530" w:type="dxa"/>
          </w:tcPr>
          <w:p w14:paraId="33E23B3C" w14:textId="3CABBE70" w:rsidR="00564764" w:rsidRPr="00CC3317" w:rsidRDefault="00564764" w:rsidP="00716592">
            <w:pPr>
              <w:pStyle w:val="Caption"/>
              <w:rPr>
                <w:highlight w:val="yellow"/>
                <w:lang w:eastAsia="sl-SI"/>
              </w:rPr>
            </w:pPr>
            <w:r w:rsidRPr="00CC3317">
              <w:rPr>
                <w:highlight w:val="yellow"/>
                <w:lang w:eastAsia="sl-SI"/>
              </w:rPr>
              <w:t xml:space="preserve">Slika </w:t>
            </w:r>
            <w:r w:rsidRPr="00CC3317">
              <w:rPr>
                <w:highlight w:val="yellow"/>
                <w:lang w:eastAsia="sl-SI"/>
              </w:rPr>
              <w:fldChar w:fldCharType="begin"/>
            </w:r>
            <w:r w:rsidRPr="00CC3317">
              <w:rPr>
                <w:highlight w:val="yellow"/>
                <w:lang w:eastAsia="sl-SI"/>
              </w:rPr>
              <w:instrText xml:space="preserve"> SEQ Slika \* ARABIC </w:instrText>
            </w:r>
            <w:r w:rsidRPr="00CC3317">
              <w:rPr>
                <w:highlight w:val="yellow"/>
                <w:lang w:eastAsia="sl-SI"/>
              </w:rPr>
              <w:fldChar w:fldCharType="separate"/>
            </w:r>
            <w:r w:rsidR="00D224DD">
              <w:rPr>
                <w:highlight w:val="yellow"/>
                <w:lang w:eastAsia="sl-SI"/>
              </w:rPr>
              <w:t>3</w:t>
            </w:r>
            <w:r w:rsidRPr="00CC3317">
              <w:rPr>
                <w:highlight w:val="yellow"/>
                <w:lang w:eastAsia="sl-SI"/>
              </w:rPr>
              <w:fldChar w:fldCharType="end"/>
            </w:r>
            <w:r w:rsidRPr="00CC3317">
              <w:rPr>
                <w:highlight w:val="yellow"/>
                <w:lang w:eastAsia="sl-SI"/>
              </w:rPr>
              <w:t>: Po lanskem globokem padcu predpostavljamo okrevanje v evrskem območju</w:t>
            </w:r>
          </w:p>
          <w:p w14:paraId="5F671CBD" w14:textId="77777777" w:rsidR="00564764" w:rsidRPr="00CC3317" w:rsidRDefault="00564764" w:rsidP="00716592">
            <w:pPr>
              <w:pStyle w:val="Caption"/>
              <w:rPr>
                <w:highlight w:val="yellow"/>
              </w:rPr>
            </w:pPr>
          </w:p>
          <w:p w14:paraId="11C658BA" w14:textId="5E3EE188" w:rsidR="00564764" w:rsidRPr="00CC3317" w:rsidRDefault="005041E7" w:rsidP="00716592">
            <w:pPr>
              <w:pStyle w:val="Caption"/>
              <w:rPr>
                <w:highlight w:val="yellow"/>
              </w:rPr>
            </w:pPr>
            <w:r w:rsidRPr="00CC3317">
              <w:rPr>
                <w:highlight w:val="yellow"/>
              </w:rPr>
              <w:drawing>
                <wp:inline distT="0" distB="0" distL="0" distR="0" wp14:anchorId="5D22D675" wp14:editId="031881F9">
                  <wp:extent cx="2738755" cy="2240915"/>
                  <wp:effectExtent l="0" t="0" r="4445" b="698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p w14:paraId="014697CA" w14:textId="77777777" w:rsidR="00564764" w:rsidRPr="00CC3317" w:rsidRDefault="00564764" w:rsidP="00716592">
            <w:pPr>
              <w:pStyle w:val="Caption"/>
              <w:rPr>
                <w:highlight w:val="yellow"/>
              </w:rPr>
            </w:pPr>
          </w:p>
        </w:tc>
        <w:tc>
          <w:tcPr>
            <w:tcW w:w="4530" w:type="dxa"/>
          </w:tcPr>
          <w:p w14:paraId="44330F6A" w14:textId="0D97A50F" w:rsidR="00564764" w:rsidRPr="00CC3317" w:rsidRDefault="00564764" w:rsidP="00716592">
            <w:pPr>
              <w:pStyle w:val="Caption"/>
              <w:rPr>
                <w:highlight w:val="yellow"/>
              </w:rPr>
            </w:pPr>
            <w:r w:rsidRPr="00CC3317">
              <w:rPr>
                <w:highlight w:val="yellow"/>
              </w:rPr>
              <w:t xml:space="preserve">Slika </w:t>
            </w:r>
            <w:r w:rsidRPr="00CC3317">
              <w:rPr>
                <w:highlight w:val="yellow"/>
              </w:rPr>
              <w:fldChar w:fldCharType="begin"/>
            </w:r>
            <w:r w:rsidRPr="00CC3317">
              <w:rPr>
                <w:highlight w:val="yellow"/>
              </w:rPr>
              <w:instrText xml:space="preserve"> SEQ Slika \* ARABIC </w:instrText>
            </w:r>
            <w:r w:rsidRPr="00CC3317">
              <w:rPr>
                <w:highlight w:val="yellow"/>
              </w:rPr>
              <w:fldChar w:fldCharType="separate"/>
            </w:r>
            <w:r w:rsidR="00D224DD">
              <w:rPr>
                <w:highlight w:val="yellow"/>
              </w:rPr>
              <w:t>4</w:t>
            </w:r>
            <w:r w:rsidRPr="00CC3317">
              <w:rPr>
                <w:highlight w:val="yellow"/>
              </w:rPr>
              <w:fldChar w:fldCharType="end"/>
            </w:r>
            <w:r w:rsidRPr="00CC3317">
              <w:rPr>
                <w:highlight w:val="yellow"/>
              </w:rPr>
              <w:t xml:space="preserve">: Rast povpraševanja po </w:t>
            </w:r>
          </w:p>
          <w:p w14:paraId="75E31BB6" w14:textId="77777777" w:rsidR="00564764" w:rsidRPr="00CC3317" w:rsidRDefault="00564764" w:rsidP="00716592">
            <w:pPr>
              <w:pStyle w:val="Caption"/>
              <w:rPr>
                <w:highlight w:val="yellow"/>
              </w:rPr>
            </w:pPr>
            <w:r w:rsidRPr="00CC3317">
              <w:rPr>
                <w:highlight w:val="yellow"/>
              </w:rPr>
              <w:t>slovenskem izvozu</w:t>
            </w:r>
          </w:p>
          <w:p w14:paraId="54C0A0CE" w14:textId="77777777" w:rsidR="00564764" w:rsidRPr="00CC3317" w:rsidRDefault="00564764" w:rsidP="00716592">
            <w:pPr>
              <w:pStyle w:val="Caption"/>
              <w:rPr>
                <w:highlight w:val="yellow"/>
              </w:rPr>
            </w:pPr>
          </w:p>
          <w:p w14:paraId="7CE5E85E" w14:textId="77777777" w:rsidR="00564764" w:rsidRPr="00CC3317" w:rsidRDefault="00564764" w:rsidP="00716592">
            <w:pPr>
              <w:pStyle w:val="Caption"/>
              <w:rPr>
                <w:highlight w:val="yellow"/>
              </w:rPr>
            </w:pPr>
          </w:p>
          <w:p w14:paraId="1B106B77" w14:textId="6FFA7AFA" w:rsidR="00564764" w:rsidRPr="00CC3317" w:rsidRDefault="005041E7" w:rsidP="00716592">
            <w:pPr>
              <w:pStyle w:val="Caption"/>
              <w:rPr>
                <w:highlight w:val="yellow"/>
              </w:rPr>
            </w:pPr>
            <w:r w:rsidRPr="00CC3317">
              <w:rPr>
                <w:highlight w:val="yellow"/>
              </w:rPr>
              <w:drawing>
                <wp:inline distT="0" distB="0" distL="0" distR="0" wp14:anchorId="42A3A1E5" wp14:editId="51A98906">
                  <wp:extent cx="2734945" cy="2298065"/>
                  <wp:effectExtent l="0" t="0" r="8255"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4945" cy="2298065"/>
                          </a:xfrm>
                          <a:prstGeom prst="rect">
                            <a:avLst/>
                          </a:prstGeom>
                          <a:noFill/>
                          <a:ln>
                            <a:noFill/>
                          </a:ln>
                        </pic:spPr>
                      </pic:pic>
                    </a:graphicData>
                  </a:graphic>
                </wp:inline>
              </w:drawing>
            </w:r>
          </w:p>
          <w:p w14:paraId="5FF77DE2" w14:textId="77777777" w:rsidR="00564764" w:rsidRPr="00CC3317" w:rsidRDefault="00564764" w:rsidP="00716592">
            <w:pPr>
              <w:pStyle w:val="Caption"/>
              <w:rPr>
                <w:highlight w:val="yellow"/>
              </w:rPr>
            </w:pPr>
          </w:p>
        </w:tc>
      </w:tr>
    </w:tbl>
    <w:p w14:paraId="1FCCFA9C" w14:textId="28934486" w:rsidR="00B54914" w:rsidRDefault="00A8177E" w:rsidP="00B54914">
      <w:pPr>
        <w:pStyle w:val="BesediloNAPOVED"/>
      </w:pPr>
      <w:r w:rsidRPr="00CC3317">
        <w:rPr>
          <w:b/>
          <w:highlight w:val="yellow"/>
        </w:rPr>
        <w:t xml:space="preserve">V letu 2021 predpostavljamo visoko rast cen nafte in v manjši meri tudi </w:t>
      </w:r>
      <w:proofErr w:type="spellStart"/>
      <w:r w:rsidRPr="00CC3317">
        <w:rPr>
          <w:b/>
          <w:highlight w:val="yellow"/>
        </w:rPr>
        <w:t>neenergetskega</w:t>
      </w:r>
      <w:proofErr w:type="spellEnd"/>
      <w:r w:rsidRPr="00CC3317">
        <w:rPr>
          <w:b/>
          <w:highlight w:val="yellow"/>
        </w:rPr>
        <w:t xml:space="preserve"> blaga, v prihodnjih letih pa bolj umirjena gibanja</w:t>
      </w:r>
      <w:r w:rsidR="00B54914" w:rsidRPr="00CC3317">
        <w:rPr>
          <w:b/>
          <w:highlight w:val="yellow"/>
        </w:rPr>
        <w:t>.</w:t>
      </w:r>
      <w:r w:rsidR="00B54914" w:rsidRPr="00CC3317">
        <w:rPr>
          <w:b/>
          <w:highlight w:val="yellow"/>
          <w:vertAlign w:val="superscript"/>
        </w:rPr>
        <w:footnoteReference w:id="2"/>
      </w:r>
      <w:r w:rsidR="00B54914" w:rsidRPr="00CC3317">
        <w:rPr>
          <w:b/>
          <w:highlight w:val="yellow"/>
        </w:rPr>
        <w:t xml:space="preserve"> </w:t>
      </w:r>
      <w:r w:rsidR="00B54914" w:rsidRPr="00CC3317">
        <w:rPr>
          <w:highlight w:val="yellow"/>
        </w:rPr>
        <w:t>Na podlagi realizacije na začetku leta in cen na terminskih trgih smo za leto 2021 upoštevali tehnično predpostavko za povprečno ceno soda nafte brent v višini 58,6 USD/sod, kar glede na predhodno leto pomeni izrazito povečanje (za 40,2 %). To je v večji meri posledica povečanja svetovnega povpraševanja po nafti zaradi okrevanja svetovnega gospodarstva ter začasnega zmanjšanja proizvodnje nafte, za katero so se dogovorile države članice OPEC+. Evrske cene nafte se bodo, upoštevajoč tehnično predpostavko tečaja evra do dolarja</w:t>
      </w:r>
      <w:r w:rsidR="00E53252" w:rsidRPr="00CC3317">
        <w:rPr>
          <w:highlight w:val="yellow"/>
        </w:rPr>
        <w:t>,</w:t>
      </w:r>
      <w:r w:rsidR="00B54914" w:rsidRPr="00CC3317">
        <w:rPr>
          <w:highlight w:val="yellow"/>
          <w:vertAlign w:val="superscript"/>
        </w:rPr>
        <w:footnoteReference w:id="3"/>
      </w:r>
      <w:r w:rsidR="00B54914" w:rsidRPr="00CC3317">
        <w:rPr>
          <w:highlight w:val="yellow"/>
        </w:rPr>
        <w:t xml:space="preserve"> povečale </w:t>
      </w:r>
      <w:r w:rsidR="001A0AB9" w:rsidRPr="00CC3317">
        <w:rPr>
          <w:highlight w:val="yellow"/>
        </w:rPr>
        <w:t xml:space="preserve">za </w:t>
      </w:r>
      <w:r w:rsidR="00B54914" w:rsidRPr="00CC3317">
        <w:rPr>
          <w:highlight w:val="yellow"/>
        </w:rPr>
        <w:t xml:space="preserve">32,5 %. V letošnjem letu smo predpostavili 10-odstotno zvišanje dolarskih cen </w:t>
      </w:r>
      <w:proofErr w:type="spellStart"/>
      <w:r w:rsidR="00B54914" w:rsidRPr="00CC3317">
        <w:rPr>
          <w:highlight w:val="yellow"/>
        </w:rPr>
        <w:t>neenergetskih</w:t>
      </w:r>
      <w:proofErr w:type="spellEnd"/>
      <w:r w:rsidR="00B54914" w:rsidRPr="00CC3317">
        <w:rPr>
          <w:highlight w:val="yellow"/>
        </w:rPr>
        <w:t xml:space="preserve"> surovin, v naslednjih dveh letih pa naj bi se nadalje nekoliko zvišale.</w:t>
      </w:r>
    </w:p>
    <w:p w14:paraId="1E33F6FB" w14:textId="77777777" w:rsidR="00620CC4" w:rsidRDefault="00620CC4" w:rsidP="00B54914">
      <w:pPr>
        <w:pStyle w:val="BesediloNAPOVED"/>
      </w:pPr>
    </w:p>
    <w:p w14:paraId="63D20F08" w14:textId="0A142D2B" w:rsidR="008B00C5" w:rsidRPr="00767446" w:rsidRDefault="008B00C5" w:rsidP="008B00C5">
      <w:pPr>
        <w:pStyle w:val="Caption"/>
        <w:rPr>
          <w:noProof w:val="0"/>
        </w:rPr>
      </w:pPr>
      <w:r w:rsidRPr="00041FA0">
        <w:rPr>
          <w:noProof w:val="0"/>
        </w:rPr>
        <w:lastRenderedPageBreak/>
        <w:t xml:space="preserve">Tabela </w:t>
      </w:r>
      <w:r w:rsidRPr="00041FA0">
        <w:rPr>
          <w:noProof w:val="0"/>
        </w:rPr>
        <w:fldChar w:fldCharType="begin"/>
      </w:r>
      <w:r w:rsidRPr="00041FA0">
        <w:rPr>
          <w:noProof w:val="0"/>
        </w:rPr>
        <w:instrText xml:space="preserve"> SEQ Tabela \* ARABIC </w:instrText>
      </w:r>
      <w:r w:rsidRPr="00041FA0">
        <w:rPr>
          <w:noProof w:val="0"/>
        </w:rPr>
        <w:fldChar w:fldCharType="separate"/>
      </w:r>
      <w:r w:rsidR="00D224DD">
        <w:t>2</w:t>
      </w:r>
      <w:r w:rsidRPr="00041FA0">
        <w:rPr>
          <w:noProof w:val="0"/>
        </w:rPr>
        <w:fldChar w:fldCharType="end"/>
      </w:r>
      <w:r w:rsidRPr="00041FA0">
        <w:rPr>
          <w:noProof w:val="0"/>
        </w:rPr>
        <w:t xml:space="preserve">: Predpostavke cene nafte, </w:t>
      </w:r>
      <w:proofErr w:type="spellStart"/>
      <w:r w:rsidRPr="00041FA0">
        <w:rPr>
          <w:noProof w:val="0"/>
        </w:rPr>
        <w:t>neenergetskih</w:t>
      </w:r>
      <w:proofErr w:type="spellEnd"/>
      <w:r w:rsidRPr="00041FA0">
        <w:rPr>
          <w:noProof w:val="0"/>
        </w:rPr>
        <w:t xml:space="preserve"> surovin in tečaja USD/EUR</w:t>
      </w:r>
      <w:r w:rsidRPr="00767446">
        <w:rPr>
          <w:noProof w:val="0"/>
        </w:rPr>
        <w:t xml:space="preserve">  </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2"/>
        <w:gridCol w:w="597"/>
        <w:gridCol w:w="1230"/>
        <w:gridCol w:w="1065"/>
        <w:gridCol w:w="896"/>
        <w:gridCol w:w="1000"/>
        <w:gridCol w:w="1000"/>
      </w:tblGrid>
      <w:tr w:rsidR="008B7D4A" w:rsidRPr="00CC3317" w14:paraId="7ADA18F5" w14:textId="77777777" w:rsidTr="001D33BC">
        <w:trPr>
          <w:trHeight w:val="285"/>
        </w:trPr>
        <w:tc>
          <w:tcPr>
            <w:tcW w:w="1809" w:type="pct"/>
            <w:vMerge w:val="restart"/>
            <w:tcBorders>
              <w:top w:val="single" w:sz="4" w:space="0" w:color="auto"/>
              <w:left w:val="nil"/>
              <w:bottom w:val="single" w:sz="4" w:space="0" w:color="auto"/>
              <w:right w:val="single" w:sz="4" w:space="0" w:color="auto"/>
            </w:tcBorders>
            <w:vAlign w:val="center"/>
            <w:hideMark/>
          </w:tcPr>
          <w:p w14:paraId="0C979ADF" w14:textId="77777777" w:rsidR="008B7D4A" w:rsidRPr="00767446" w:rsidRDefault="008B7D4A" w:rsidP="008B7D4A">
            <w:pPr>
              <w:pStyle w:val="TabelalevistolpecglavaNAPOVED"/>
              <w:rPr>
                <w:szCs w:val="16"/>
              </w:rPr>
            </w:pPr>
            <w:r w:rsidRPr="00767446">
              <w:rPr>
                <w:szCs w:val="16"/>
              </w:rPr>
              <w:t> </w:t>
            </w:r>
          </w:p>
        </w:tc>
        <w:tc>
          <w:tcPr>
            <w:tcW w:w="329" w:type="pct"/>
            <w:vMerge w:val="restart"/>
            <w:shd w:val="clear" w:color="auto" w:fill="auto"/>
            <w:vAlign w:val="center"/>
            <w:hideMark/>
          </w:tcPr>
          <w:p w14:paraId="2F1D253E" w14:textId="31E4C7F7" w:rsidR="008B7D4A" w:rsidRPr="00CC3317" w:rsidRDefault="008B7D4A" w:rsidP="008B7D4A">
            <w:pPr>
              <w:pStyle w:val="TabelaglavaNAPOVED"/>
              <w:rPr>
                <w:szCs w:val="16"/>
                <w:highlight w:val="yellow"/>
              </w:rPr>
            </w:pPr>
            <w:r w:rsidRPr="00CC3317">
              <w:rPr>
                <w:rFonts w:asciiTheme="majorHAnsi" w:hAnsiTheme="majorHAnsi" w:cstheme="majorHAnsi"/>
                <w:szCs w:val="16"/>
                <w:highlight w:val="yellow"/>
              </w:rPr>
              <w:t>2020</w:t>
            </w:r>
          </w:p>
        </w:tc>
        <w:tc>
          <w:tcPr>
            <w:tcW w:w="1265" w:type="pct"/>
            <w:gridSpan w:val="2"/>
            <w:vAlign w:val="center"/>
            <w:hideMark/>
          </w:tcPr>
          <w:p w14:paraId="0C2A9943" w14:textId="6C1E22CD" w:rsidR="008B7D4A" w:rsidRPr="00CC3317" w:rsidRDefault="008B7D4A" w:rsidP="008B7D4A">
            <w:pPr>
              <w:pStyle w:val="TabelaglavaNAPOVED"/>
              <w:jc w:val="center"/>
              <w:rPr>
                <w:szCs w:val="16"/>
                <w:highlight w:val="yellow"/>
              </w:rPr>
            </w:pPr>
            <w:r w:rsidRPr="00CC3317">
              <w:rPr>
                <w:rFonts w:asciiTheme="majorHAnsi" w:hAnsiTheme="majorHAnsi" w:cstheme="majorHAnsi"/>
                <w:szCs w:val="16"/>
                <w:highlight w:val="yellow"/>
              </w:rPr>
              <w:t>2021</w:t>
            </w:r>
          </w:p>
        </w:tc>
        <w:tc>
          <w:tcPr>
            <w:tcW w:w="1045" w:type="pct"/>
            <w:gridSpan w:val="2"/>
            <w:vAlign w:val="center"/>
          </w:tcPr>
          <w:p w14:paraId="59465BBB" w14:textId="7404F7AB" w:rsidR="008B7D4A" w:rsidRPr="00CC3317" w:rsidRDefault="008B7D4A" w:rsidP="008B7D4A">
            <w:pPr>
              <w:pStyle w:val="TabelaglavaNAPOVED"/>
              <w:jc w:val="center"/>
              <w:rPr>
                <w:szCs w:val="16"/>
                <w:highlight w:val="yellow"/>
              </w:rPr>
            </w:pPr>
            <w:r w:rsidRPr="00CC3317">
              <w:rPr>
                <w:rFonts w:asciiTheme="majorHAnsi" w:hAnsiTheme="majorHAnsi" w:cstheme="majorHAnsi"/>
                <w:szCs w:val="16"/>
                <w:highlight w:val="yellow"/>
              </w:rPr>
              <w:t>2022</w:t>
            </w:r>
          </w:p>
        </w:tc>
        <w:tc>
          <w:tcPr>
            <w:tcW w:w="551" w:type="pct"/>
            <w:vAlign w:val="center"/>
          </w:tcPr>
          <w:p w14:paraId="7B39FE34" w14:textId="3AF22137" w:rsidR="008B7D4A" w:rsidRPr="00CC3317" w:rsidRDefault="008B7D4A" w:rsidP="008B7D4A">
            <w:pPr>
              <w:pStyle w:val="TabelaglavaNAPOVED"/>
              <w:rPr>
                <w:szCs w:val="16"/>
                <w:highlight w:val="yellow"/>
              </w:rPr>
            </w:pPr>
            <w:r w:rsidRPr="00CC3317">
              <w:rPr>
                <w:rFonts w:asciiTheme="majorHAnsi" w:hAnsiTheme="majorHAnsi" w:cstheme="majorHAnsi"/>
                <w:szCs w:val="16"/>
                <w:highlight w:val="yellow"/>
              </w:rPr>
              <w:t>2023</w:t>
            </w:r>
          </w:p>
        </w:tc>
      </w:tr>
      <w:tr w:rsidR="008B7D4A" w:rsidRPr="00CC3317" w14:paraId="0222C573" w14:textId="77777777" w:rsidTr="00E50951">
        <w:trPr>
          <w:trHeight w:val="315"/>
        </w:trPr>
        <w:tc>
          <w:tcPr>
            <w:tcW w:w="1809" w:type="pct"/>
            <w:vMerge/>
            <w:tcBorders>
              <w:top w:val="single" w:sz="4" w:space="0" w:color="auto"/>
              <w:left w:val="nil"/>
              <w:bottom w:val="single" w:sz="4" w:space="0" w:color="auto"/>
              <w:right w:val="single" w:sz="4" w:space="0" w:color="auto"/>
            </w:tcBorders>
            <w:vAlign w:val="center"/>
            <w:hideMark/>
          </w:tcPr>
          <w:p w14:paraId="1BFC69D0" w14:textId="77777777" w:rsidR="008B7D4A" w:rsidRPr="00CC3317" w:rsidRDefault="008B7D4A" w:rsidP="008B7D4A">
            <w:pPr>
              <w:pStyle w:val="TabelalevistolpecNAPOVED"/>
              <w:rPr>
                <w:szCs w:val="16"/>
                <w:highlight w:val="yellow"/>
              </w:rPr>
            </w:pPr>
          </w:p>
        </w:tc>
        <w:tc>
          <w:tcPr>
            <w:tcW w:w="329" w:type="pct"/>
            <w:vMerge/>
            <w:vAlign w:val="center"/>
            <w:hideMark/>
          </w:tcPr>
          <w:p w14:paraId="3D741F50" w14:textId="77777777" w:rsidR="008B7D4A" w:rsidRPr="00CC3317" w:rsidRDefault="008B7D4A" w:rsidP="008B7D4A">
            <w:pPr>
              <w:pStyle w:val="TabelaglavaNAPOVED"/>
              <w:jc w:val="center"/>
              <w:rPr>
                <w:szCs w:val="16"/>
                <w:highlight w:val="yellow"/>
              </w:rPr>
            </w:pPr>
          </w:p>
        </w:tc>
        <w:tc>
          <w:tcPr>
            <w:tcW w:w="678" w:type="pct"/>
            <w:shd w:val="clear" w:color="auto" w:fill="auto"/>
            <w:vAlign w:val="center"/>
            <w:hideMark/>
          </w:tcPr>
          <w:p w14:paraId="2AE2163B" w14:textId="3965B43E" w:rsidR="008B7D4A" w:rsidRPr="00CC3317" w:rsidRDefault="008B7D4A" w:rsidP="008B7D4A">
            <w:pPr>
              <w:pStyle w:val="TabelaglavaNAPOVED"/>
              <w:rPr>
                <w:szCs w:val="16"/>
                <w:highlight w:val="yellow"/>
              </w:rPr>
            </w:pPr>
            <w:r w:rsidRPr="00CC3317">
              <w:rPr>
                <w:rFonts w:asciiTheme="majorHAnsi" w:hAnsiTheme="majorHAnsi" w:cstheme="majorHAnsi"/>
                <w:szCs w:val="16"/>
                <w:highlight w:val="yellow"/>
              </w:rPr>
              <w:t>december 2020</w:t>
            </w:r>
          </w:p>
        </w:tc>
        <w:tc>
          <w:tcPr>
            <w:tcW w:w="587" w:type="pct"/>
            <w:shd w:val="clear" w:color="auto" w:fill="E9E9E9" w:themeFill="accent3" w:themeFillTint="33"/>
            <w:vAlign w:val="center"/>
            <w:hideMark/>
          </w:tcPr>
          <w:p w14:paraId="2D05B76D" w14:textId="77777777" w:rsidR="008B7D4A" w:rsidRPr="00CC3317" w:rsidRDefault="008B7D4A" w:rsidP="008B7D4A">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3E7BAAED" w14:textId="465540A4" w:rsidR="008B7D4A" w:rsidRPr="00CC3317" w:rsidRDefault="008B7D4A" w:rsidP="008B7D4A">
            <w:pPr>
              <w:pStyle w:val="TabelaglavaNAPOVED"/>
              <w:rPr>
                <w:color w:val="9E001A" w:themeColor="accent1"/>
                <w:szCs w:val="16"/>
                <w:highlight w:val="yellow"/>
              </w:rPr>
            </w:pPr>
            <w:r w:rsidRPr="00CC3317">
              <w:rPr>
                <w:rFonts w:asciiTheme="majorHAnsi" w:hAnsiTheme="majorHAnsi" w:cstheme="majorHAnsi"/>
                <w:color w:val="9E001A" w:themeColor="accent1"/>
                <w:szCs w:val="16"/>
                <w:highlight w:val="yellow"/>
              </w:rPr>
              <w:t>202</w:t>
            </w:r>
            <w:r w:rsidR="001D33BC" w:rsidRPr="00CC3317">
              <w:rPr>
                <w:rFonts w:asciiTheme="majorHAnsi" w:hAnsiTheme="majorHAnsi" w:cstheme="majorHAnsi"/>
                <w:color w:val="9E001A" w:themeColor="accent1"/>
                <w:szCs w:val="16"/>
                <w:highlight w:val="yellow"/>
              </w:rPr>
              <w:t>1</w:t>
            </w:r>
          </w:p>
        </w:tc>
        <w:tc>
          <w:tcPr>
            <w:tcW w:w="494" w:type="pct"/>
            <w:shd w:val="clear" w:color="auto" w:fill="auto"/>
            <w:vAlign w:val="center"/>
            <w:hideMark/>
          </w:tcPr>
          <w:p w14:paraId="2959299B" w14:textId="77A631C5" w:rsidR="008B7D4A" w:rsidRPr="00CC3317" w:rsidRDefault="008B7D4A" w:rsidP="008B7D4A">
            <w:pPr>
              <w:pStyle w:val="TabelaglavaNAPOVED"/>
              <w:rPr>
                <w:szCs w:val="16"/>
                <w:highlight w:val="yellow"/>
              </w:rPr>
            </w:pPr>
            <w:r w:rsidRPr="00CC3317">
              <w:rPr>
                <w:rFonts w:asciiTheme="majorHAnsi" w:hAnsiTheme="majorHAnsi" w:cstheme="majorHAnsi"/>
                <w:szCs w:val="16"/>
                <w:highlight w:val="yellow"/>
              </w:rPr>
              <w:t>december 2020</w:t>
            </w:r>
          </w:p>
        </w:tc>
        <w:tc>
          <w:tcPr>
            <w:tcW w:w="551" w:type="pct"/>
            <w:shd w:val="clear" w:color="auto" w:fill="E9E9E9" w:themeFill="accent3" w:themeFillTint="33"/>
            <w:vAlign w:val="center"/>
            <w:hideMark/>
          </w:tcPr>
          <w:p w14:paraId="146875D7" w14:textId="77777777" w:rsidR="008B7D4A" w:rsidRPr="00CC3317" w:rsidRDefault="008B7D4A" w:rsidP="008B7D4A">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5C9DDB2D" w14:textId="6DA883D6" w:rsidR="008B7D4A" w:rsidRPr="00CC3317" w:rsidRDefault="008B7D4A" w:rsidP="008B7D4A">
            <w:pPr>
              <w:pStyle w:val="TabelaglavaNAPOVED"/>
              <w:rPr>
                <w:color w:val="9E001A" w:themeColor="accent1"/>
                <w:szCs w:val="16"/>
                <w:highlight w:val="yellow"/>
              </w:rPr>
            </w:pPr>
            <w:r w:rsidRPr="00CC3317">
              <w:rPr>
                <w:rFonts w:asciiTheme="majorHAnsi" w:hAnsiTheme="majorHAnsi" w:cstheme="majorHAnsi"/>
                <w:color w:val="9E001A" w:themeColor="accent1"/>
                <w:szCs w:val="16"/>
                <w:highlight w:val="yellow"/>
              </w:rPr>
              <w:t>202</w:t>
            </w:r>
            <w:r w:rsidR="001D33BC" w:rsidRPr="00CC3317">
              <w:rPr>
                <w:rFonts w:asciiTheme="majorHAnsi" w:hAnsiTheme="majorHAnsi" w:cstheme="majorHAnsi"/>
                <w:color w:val="9E001A" w:themeColor="accent1"/>
                <w:szCs w:val="16"/>
                <w:highlight w:val="yellow"/>
              </w:rPr>
              <w:t>1</w:t>
            </w:r>
          </w:p>
        </w:tc>
        <w:tc>
          <w:tcPr>
            <w:tcW w:w="551" w:type="pct"/>
            <w:tcBorders>
              <w:bottom w:val="single" w:sz="4" w:space="0" w:color="auto"/>
            </w:tcBorders>
            <w:shd w:val="clear" w:color="auto" w:fill="E9E9E9" w:themeFill="accent3" w:themeFillTint="33"/>
            <w:vAlign w:val="center"/>
          </w:tcPr>
          <w:p w14:paraId="10E5DA77" w14:textId="77777777" w:rsidR="008B7D4A" w:rsidRPr="00CC3317" w:rsidRDefault="008B7D4A" w:rsidP="008B7D4A">
            <w:pPr>
              <w:pStyle w:val="TabelaglavaNAPOVED"/>
              <w:rPr>
                <w:rFonts w:asciiTheme="majorHAnsi" w:hAnsiTheme="majorHAnsi" w:cstheme="majorHAnsi"/>
                <w:color w:val="9E001A" w:themeColor="accent1"/>
                <w:szCs w:val="16"/>
                <w:highlight w:val="yellow"/>
              </w:rPr>
            </w:pPr>
            <w:r w:rsidRPr="00CC3317">
              <w:rPr>
                <w:rFonts w:asciiTheme="majorHAnsi" w:hAnsiTheme="majorHAnsi" w:cstheme="majorHAnsi"/>
                <w:color w:val="9E001A" w:themeColor="accent1"/>
                <w:szCs w:val="16"/>
                <w:highlight w:val="yellow"/>
              </w:rPr>
              <w:t>marec</w:t>
            </w:r>
          </w:p>
          <w:p w14:paraId="2EEE2C35" w14:textId="675EBD37" w:rsidR="008B7D4A" w:rsidRPr="00CC3317" w:rsidRDefault="008B7D4A" w:rsidP="008B7D4A">
            <w:pPr>
              <w:pStyle w:val="TabelaglavaNAPOVED"/>
              <w:rPr>
                <w:szCs w:val="16"/>
                <w:highlight w:val="yellow"/>
              </w:rPr>
            </w:pPr>
            <w:r w:rsidRPr="00CC3317">
              <w:rPr>
                <w:rFonts w:asciiTheme="majorHAnsi" w:hAnsiTheme="majorHAnsi" w:cstheme="majorHAnsi"/>
                <w:color w:val="9E001A" w:themeColor="accent1"/>
                <w:szCs w:val="16"/>
                <w:highlight w:val="yellow"/>
              </w:rPr>
              <w:t>202</w:t>
            </w:r>
            <w:r w:rsidR="001D33BC" w:rsidRPr="00CC3317">
              <w:rPr>
                <w:rFonts w:asciiTheme="majorHAnsi" w:hAnsiTheme="majorHAnsi" w:cstheme="majorHAnsi"/>
                <w:color w:val="9E001A" w:themeColor="accent1"/>
                <w:szCs w:val="16"/>
                <w:highlight w:val="yellow"/>
              </w:rPr>
              <w:t>1</w:t>
            </w:r>
          </w:p>
        </w:tc>
      </w:tr>
      <w:tr w:rsidR="007F3F33" w:rsidRPr="00CC3317" w14:paraId="1AA20802" w14:textId="77777777" w:rsidTr="00E50951">
        <w:trPr>
          <w:trHeight w:val="285"/>
        </w:trPr>
        <w:tc>
          <w:tcPr>
            <w:tcW w:w="1809" w:type="pct"/>
            <w:tcBorders>
              <w:top w:val="single" w:sz="4" w:space="0" w:color="auto"/>
              <w:left w:val="nil"/>
              <w:bottom w:val="single" w:sz="4" w:space="0" w:color="auto"/>
              <w:right w:val="single" w:sz="4" w:space="0" w:color="auto"/>
            </w:tcBorders>
            <w:noWrap/>
            <w:vAlign w:val="center"/>
            <w:hideMark/>
          </w:tcPr>
          <w:p w14:paraId="0AFD783D" w14:textId="77777777" w:rsidR="007F3F33" w:rsidRPr="00CC3317" w:rsidRDefault="007F3F33" w:rsidP="007F3F33">
            <w:pPr>
              <w:pStyle w:val="TabelalevistolpecNAPOVED"/>
              <w:rPr>
                <w:szCs w:val="16"/>
                <w:highlight w:val="yellow"/>
              </w:rPr>
            </w:pPr>
            <w:r w:rsidRPr="00CC3317">
              <w:rPr>
                <w:szCs w:val="16"/>
                <w:highlight w:val="yellow"/>
              </w:rPr>
              <w:t>Cene nafte brent, v USD</w:t>
            </w:r>
          </w:p>
        </w:tc>
        <w:tc>
          <w:tcPr>
            <w:tcW w:w="329" w:type="pct"/>
            <w:tcBorders>
              <w:top w:val="nil"/>
              <w:left w:val="single" w:sz="8" w:space="0" w:color="auto"/>
              <w:bottom w:val="single" w:sz="4" w:space="0" w:color="auto"/>
              <w:right w:val="single" w:sz="8" w:space="0" w:color="auto"/>
            </w:tcBorders>
            <w:shd w:val="clear" w:color="auto" w:fill="auto"/>
            <w:noWrap/>
            <w:vAlign w:val="center"/>
            <w:hideMark/>
          </w:tcPr>
          <w:p w14:paraId="38FA7D20" w14:textId="07FF2B95" w:rsidR="007F3F33" w:rsidRPr="00CC3317" w:rsidRDefault="007F3F33" w:rsidP="007F3F33">
            <w:pPr>
              <w:pStyle w:val="TabelaNAPOVED"/>
              <w:rPr>
                <w:szCs w:val="16"/>
                <w:highlight w:val="yellow"/>
              </w:rPr>
            </w:pPr>
            <w:r w:rsidRPr="00CC3317">
              <w:rPr>
                <w:rFonts w:cs="Arial"/>
                <w:color w:val="000000"/>
                <w:szCs w:val="16"/>
                <w:highlight w:val="yellow"/>
              </w:rPr>
              <w:t>41,8</w:t>
            </w:r>
          </w:p>
        </w:tc>
        <w:tc>
          <w:tcPr>
            <w:tcW w:w="678" w:type="pct"/>
            <w:tcBorders>
              <w:top w:val="nil"/>
              <w:left w:val="nil"/>
              <w:bottom w:val="single" w:sz="4" w:space="0" w:color="auto"/>
              <w:right w:val="single" w:sz="4" w:space="0" w:color="auto"/>
            </w:tcBorders>
            <w:shd w:val="clear" w:color="auto" w:fill="auto"/>
            <w:noWrap/>
            <w:vAlign w:val="center"/>
            <w:hideMark/>
          </w:tcPr>
          <w:p w14:paraId="7C9F1199" w14:textId="692D57E9" w:rsidR="007F3F33" w:rsidRPr="00CC3317" w:rsidRDefault="007F3F33" w:rsidP="007F3F33">
            <w:pPr>
              <w:pStyle w:val="TabelaNAPOVED"/>
              <w:rPr>
                <w:szCs w:val="16"/>
                <w:highlight w:val="yellow"/>
              </w:rPr>
            </w:pPr>
            <w:r w:rsidRPr="00CC3317">
              <w:rPr>
                <w:rFonts w:cs="Arial"/>
                <w:szCs w:val="16"/>
                <w:highlight w:val="yellow"/>
              </w:rPr>
              <w:t>43,4</w:t>
            </w:r>
          </w:p>
        </w:tc>
        <w:tc>
          <w:tcPr>
            <w:tcW w:w="587" w:type="pct"/>
            <w:tcBorders>
              <w:top w:val="nil"/>
              <w:left w:val="single" w:sz="4" w:space="0" w:color="auto"/>
              <w:bottom w:val="single" w:sz="4" w:space="0" w:color="auto"/>
              <w:right w:val="single" w:sz="8" w:space="0" w:color="auto"/>
            </w:tcBorders>
            <w:shd w:val="clear" w:color="auto" w:fill="E9E9E9" w:themeFill="accent3" w:themeFillTint="33"/>
            <w:vAlign w:val="center"/>
            <w:hideMark/>
          </w:tcPr>
          <w:p w14:paraId="7D731B75" w14:textId="3116156E"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58,6</w:t>
            </w:r>
          </w:p>
        </w:tc>
        <w:tc>
          <w:tcPr>
            <w:tcW w:w="494" w:type="pct"/>
            <w:tcBorders>
              <w:top w:val="nil"/>
              <w:left w:val="single" w:sz="8" w:space="0" w:color="auto"/>
              <w:bottom w:val="single" w:sz="4" w:space="0" w:color="auto"/>
              <w:right w:val="single" w:sz="4" w:space="0" w:color="auto"/>
            </w:tcBorders>
            <w:shd w:val="clear" w:color="auto" w:fill="auto"/>
            <w:noWrap/>
            <w:vAlign w:val="center"/>
            <w:hideMark/>
          </w:tcPr>
          <w:p w14:paraId="43F14187" w14:textId="1EC28C9C" w:rsidR="007F3F33" w:rsidRPr="00CC3317" w:rsidRDefault="007F3F33" w:rsidP="007F3F33">
            <w:pPr>
              <w:pStyle w:val="TabelaNAPOVED"/>
              <w:rPr>
                <w:szCs w:val="16"/>
                <w:highlight w:val="yellow"/>
              </w:rPr>
            </w:pPr>
            <w:r w:rsidRPr="00CC3317">
              <w:rPr>
                <w:rFonts w:cs="Arial"/>
                <w:color w:val="000000"/>
                <w:szCs w:val="16"/>
                <w:highlight w:val="yellow"/>
              </w:rPr>
              <w:t>45,3</w:t>
            </w:r>
          </w:p>
        </w:tc>
        <w:tc>
          <w:tcPr>
            <w:tcW w:w="551" w:type="pct"/>
            <w:tcBorders>
              <w:top w:val="nil"/>
              <w:left w:val="single" w:sz="4" w:space="0" w:color="auto"/>
              <w:bottom w:val="single" w:sz="4" w:space="0" w:color="auto"/>
              <w:right w:val="single" w:sz="4" w:space="0" w:color="auto"/>
            </w:tcBorders>
            <w:shd w:val="clear" w:color="auto" w:fill="E9E9E9" w:themeFill="accent3" w:themeFillTint="33"/>
            <w:noWrap/>
            <w:vAlign w:val="center"/>
            <w:hideMark/>
          </w:tcPr>
          <w:p w14:paraId="196BB2C9" w14:textId="142AFF21"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55,3</w:t>
            </w:r>
          </w:p>
        </w:tc>
        <w:tc>
          <w:tcPr>
            <w:tcW w:w="551"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53B67B38" w14:textId="67242B35"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53,3</w:t>
            </w:r>
          </w:p>
        </w:tc>
      </w:tr>
      <w:tr w:rsidR="007F3F33" w:rsidRPr="00CC3317" w14:paraId="0640F29C" w14:textId="77777777" w:rsidTr="00E50951">
        <w:trPr>
          <w:trHeight w:val="285"/>
        </w:trPr>
        <w:tc>
          <w:tcPr>
            <w:tcW w:w="1809" w:type="pct"/>
            <w:tcBorders>
              <w:top w:val="single" w:sz="4" w:space="0" w:color="auto"/>
              <w:left w:val="nil"/>
              <w:bottom w:val="single" w:sz="4" w:space="0" w:color="auto"/>
              <w:right w:val="single" w:sz="4" w:space="0" w:color="auto"/>
            </w:tcBorders>
            <w:noWrap/>
            <w:vAlign w:val="center"/>
            <w:hideMark/>
          </w:tcPr>
          <w:p w14:paraId="551A0772" w14:textId="77777777" w:rsidR="007F3F33" w:rsidRPr="00CC3317" w:rsidRDefault="007F3F33" w:rsidP="007F3F33">
            <w:pPr>
              <w:pStyle w:val="TabelalevistolpecNAPOVED"/>
              <w:rPr>
                <w:szCs w:val="16"/>
                <w:highlight w:val="yellow"/>
              </w:rPr>
            </w:pPr>
            <w:r w:rsidRPr="00CC3317">
              <w:rPr>
                <w:szCs w:val="16"/>
                <w:highlight w:val="yellow"/>
              </w:rPr>
              <w:t>Cene nafte brent, v EUR</w:t>
            </w:r>
          </w:p>
        </w:tc>
        <w:tc>
          <w:tcPr>
            <w:tcW w:w="329" w:type="pct"/>
            <w:tcBorders>
              <w:top w:val="nil"/>
              <w:left w:val="single" w:sz="8" w:space="0" w:color="auto"/>
              <w:bottom w:val="single" w:sz="4" w:space="0" w:color="auto"/>
              <w:right w:val="single" w:sz="8" w:space="0" w:color="auto"/>
            </w:tcBorders>
            <w:shd w:val="clear" w:color="auto" w:fill="auto"/>
            <w:noWrap/>
            <w:vAlign w:val="center"/>
            <w:hideMark/>
          </w:tcPr>
          <w:p w14:paraId="629C8EA2" w14:textId="0AF297E0" w:rsidR="007F3F33" w:rsidRPr="00CC3317" w:rsidRDefault="007F3F33" w:rsidP="007F3F33">
            <w:pPr>
              <w:pStyle w:val="TabelaNAPOVED"/>
              <w:rPr>
                <w:szCs w:val="16"/>
                <w:highlight w:val="yellow"/>
              </w:rPr>
            </w:pPr>
            <w:r w:rsidRPr="00CC3317">
              <w:rPr>
                <w:rFonts w:cs="Arial"/>
                <w:color w:val="000000"/>
                <w:szCs w:val="16"/>
                <w:highlight w:val="yellow"/>
              </w:rPr>
              <w:t>36,6</w:t>
            </w:r>
          </w:p>
        </w:tc>
        <w:tc>
          <w:tcPr>
            <w:tcW w:w="678" w:type="pct"/>
            <w:tcBorders>
              <w:top w:val="nil"/>
              <w:left w:val="nil"/>
              <w:bottom w:val="single" w:sz="4" w:space="0" w:color="auto"/>
              <w:right w:val="single" w:sz="4" w:space="0" w:color="auto"/>
            </w:tcBorders>
            <w:shd w:val="clear" w:color="auto" w:fill="auto"/>
            <w:noWrap/>
            <w:vAlign w:val="center"/>
            <w:hideMark/>
          </w:tcPr>
          <w:p w14:paraId="2B18BE1C" w14:textId="34F93501" w:rsidR="007F3F33" w:rsidRPr="00CC3317" w:rsidRDefault="007F3F33" w:rsidP="007F3F33">
            <w:pPr>
              <w:pStyle w:val="TabelaNAPOVED"/>
              <w:rPr>
                <w:szCs w:val="16"/>
                <w:highlight w:val="yellow"/>
              </w:rPr>
            </w:pPr>
            <w:r w:rsidRPr="00CC3317">
              <w:rPr>
                <w:rFonts w:cs="Arial"/>
                <w:szCs w:val="16"/>
                <w:highlight w:val="yellow"/>
              </w:rPr>
              <w:t>36,8</w:t>
            </w:r>
          </w:p>
        </w:tc>
        <w:tc>
          <w:tcPr>
            <w:tcW w:w="587" w:type="pct"/>
            <w:tcBorders>
              <w:top w:val="nil"/>
              <w:left w:val="single" w:sz="4" w:space="0" w:color="auto"/>
              <w:bottom w:val="single" w:sz="4" w:space="0" w:color="auto"/>
              <w:right w:val="single" w:sz="8" w:space="0" w:color="auto"/>
            </w:tcBorders>
            <w:shd w:val="clear" w:color="auto" w:fill="E9E9E9" w:themeFill="accent3" w:themeFillTint="33"/>
            <w:vAlign w:val="center"/>
            <w:hideMark/>
          </w:tcPr>
          <w:p w14:paraId="6F42092B" w14:textId="51E16CCD"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48,5</w:t>
            </w:r>
          </w:p>
        </w:tc>
        <w:tc>
          <w:tcPr>
            <w:tcW w:w="494" w:type="pct"/>
            <w:tcBorders>
              <w:top w:val="nil"/>
              <w:left w:val="single" w:sz="8" w:space="0" w:color="auto"/>
              <w:bottom w:val="single" w:sz="4" w:space="0" w:color="auto"/>
              <w:right w:val="single" w:sz="4" w:space="0" w:color="auto"/>
            </w:tcBorders>
            <w:shd w:val="clear" w:color="auto" w:fill="auto"/>
            <w:noWrap/>
            <w:vAlign w:val="center"/>
            <w:hideMark/>
          </w:tcPr>
          <w:p w14:paraId="53669E05" w14:textId="12FBDD09" w:rsidR="007F3F33" w:rsidRPr="00CC3317" w:rsidRDefault="007F3F33" w:rsidP="007F3F33">
            <w:pPr>
              <w:pStyle w:val="TabelaNAPOVED"/>
              <w:rPr>
                <w:szCs w:val="16"/>
                <w:highlight w:val="yellow"/>
              </w:rPr>
            </w:pPr>
            <w:r w:rsidRPr="00CC3317">
              <w:rPr>
                <w:rFonts w:cs="Arial"/>
                <w:color w:val="000000"/>
                <w:szCs w:val="16"/>
                <w:highlight w:val="yellow"/>
              </w:rPr>
              <w:t>38,4</w:t>
            </w:r>
          </w:p>
        </w:tc>
        <w:tc>
          <w:tcPr>
            <w:tcW w:w="551" w:type="pct"/>
            <w:tcBorders>
              <w:top w:val="nil"/>
              <w:left w:val="single" w:sz="4" w:space="0" w:color="auto"/>
              <w:bottom w:val="single" w:sz="4" w:space="0" w:color="auto"/>
              <w:right w:val="single" w:sz="4" w:space="0" w:color="auto"/>
            </w:tcBorders>
            <w:shd w:val="clear" w:color="auto" w:fill="E9E9E9" w:themeFill="accent3" w:themeFillTint="33"/>
            <w:noWrap/>
            <w:vAlign w:val="center"/>
            <w:hideMark/>
          </w:tcPr>
          <w:p w14:paraId="22C91922" w14:textId="4DD915E3"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45,8</w:t>
            </w:r>
          </w:p>
        </w:tc>
        <w:tc>
          <w:tcPr>
            <w:tcW w:w="551"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17D5F5BC" w14:textId="00BA915B"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44,2</w:t>
            </w:r>
          </w:p>
        </w:tc>
      </w:tr>
      <w:tr w:rsidR="007F3F33" w:rsidRPr="00CC3317" w14:paraId="5FB2D4FB" w14:textId="77777777" w:rsidTr="00E50951">
        <w:trPr>
          <w:trHeight w:val="285"/>
        </w:trPr>
        <w:tc>
          <w:tcPr>
            <w:tcW w:w="1809" w:type="pct"/>
            <w:tcBorders>
              <w:top w:val="single" w:sz="4" w:space="0" w:color="auto"/>
              <w:left w:val="nil"/>
              <w:bottom w:val="single" w:sz="4" w:space="0" w:color="auto"/>
              <w:right w:val="single" w:sz="4" w:space="0" w:color="auto"/>
            </w:tcBorders>
            <w:noWrap/>
            <w:vAlign w:val="center"/>
            <w:hideMark/>
          </w:tcPr>
          <w:p w14:paraId="04A7FED3" w14:textId="77777777" w:rsidR="007F3F33" w:rsidRPr="00CC3317" w:rsidRDefault="007F3F33" w:rsidP="007F3F33">
            <w:pPr>
              <w:pStyle w:val="TabelalevistolpecNAPOVED"/>
              <w:rPr>
                <w:szCs w:val="16"/>
                <w:highlight w:val="yellow"/>
              </w:rPr>
            </w:pPr>
            <w:r w:rsidRPr="00CC3317">
              <w:rPr>
                <w:szCs w:val="16"/>
                <w:highlight w:val="yellow"/>
              </w:rPr>
              <w:t xml:space="preserve">Cene </w:t>
            </w:r>
            <w:proofErr w:type="spellStart"/>
            <w:r w:rsidRPr="00CC3317">
              <w:rPr>
                <w:szCs w:val="16"/>
                <w:highlight w:val="yellow"/>
              </w:rPr>
              <w:t>neenergetskih</w:t>
            </w:r>
            <w:proofErr w:type="spellEnd"/>
            <w:r w:rsidRPr="00CC3317">
              <w:rPr>
                <w:szCs w:val="16"/>
                <w:highlight w:val="yellow"/>
              </w:rPr>
              <w:t xml:space="preserve"> surovin, v USD, rast*</w:t>
            </w:r>
          </w:p>
        </w:tc>
        <w:tc>
          <w:tcPr>
            <w:tcW w:w="329" w:type="pct"/>
            <w:tcBorders>
              <w:top w:val="nil"/>
              <w:left w:val="single" w:sz="8" w:space="0" w:color="auto"/>
              <w:bottom w:val="single" w:sz="4" w:space="0" w:color="auto"/>
              <w:right w:val="single" w:sz="8" w:space="0" w:color="auto"/>
            </w:tcBorders>
            <w:shd w:val="clear" w:color="auto" w:fill="auto"/>
            <w:noWrap/>
            <w:vAlign w:val="center"/>
            <w:hideMark/>
          </w:tcPr>
          <w:p w14:paraId="3BE7A850" w14:textId="7B657BE3" w:rsidR="007F3F33" w:rsidRPr="00CC3317" w:rsidRDefault="007F3F33" w:rsidP="007F3F33">
            <w:pPr>
              <w:pStyle w:val="TabelaNAPOVED"/>
              <w:rPr>
                <w:szCs w:val="16"/>
                <w:highlight w:val="yellow"/>
              </w:rPr>
            </w:pPr>
            <w:r w:rsidRPr="00CC3317">
              <w:rPr>
                <w:rFonts w:cs="Arial"/>
                <w:color w:val="000000"/>
                <w:szCs w:val="16"/>
                <w:highlight w:val="yellow"/>
              </w:rPr>
              <w:t>3,6</w:t>
            </w:r>
          </w:p>
        </w:tc>
        <w:tc>
          <w:tcPr>
            <w:tcW w:w="678" w:type="pct"/>
            <w:tcBorders>
              <w:top w:val="nil"/>
              <w:left w:val="nil"/>
              <w:bottom w:val="single" w:sz="4" w:space="0" w:color="auto"/>
              <w:right w:val="single" w:sz="4" w:space="0" w:color="auto"/>
            </w:tcBorders>
            <w:shd w:val="clear" w:color="auto" w:fill="auto"/>
            <w:noWrap/>
            <w:vAlign w:val="center"/>
            <w:hideMark/>
          </w:tcPr>
          <w:p w14:paraId="4130DFBA" w14:textId="08DC7E0B" w:rsidR="007F3F33" w:rsidRPr="00CC3317" w:rsidRDefault="007F3F33" w:rsidP="007F3F33">
            <w:pPr>
              <w:pStyle w:val="TabelaNAPOVED"/>
              <w:rPr>
                <w:szCs w:val="16"/>
                <w:highlight w:val="yellow"/>
              </w:rPr>
            </w:pPr>
            <w:r w:rsidRPr="00CC3317">
              <w:rPr>
                <w:rFonts w:cs="Arial"/>
                <w:szCs w:val="16"/>
                <w:highlight w:val="yellow"/>
              </w:rPr>
              <w:t>5,0</w:t>
            </w:r>
          </w:p>
        </w:tc>
        <w:tc>
          <w:tcPr>
            <w:tcW w:w="587" w:type="pct"/>
            <w:tcBorders>
              <w:top w:val="nil"/>
              <w:left w:val="single" w:sz="4" w:space="0" w:color="auto"/>
              <w:bottom w:val="single" w:sz="4" w:space="0" w:color="auto"/>
              <w:right w:val="single" w:sz="8" w:space="0" w:color="auto"/>
            </w:tcBorders>
            <w:shd w:val="clear" w:color="auto" w:fill="E9E9E9" w:themeFill="accent3" w:themeFillTint="33"/>
            <w:vAlign w:val="center"/>
            <w:hideMark/>
          </w:tcPr>
          <w:p w14:paraId="0B03B42C" w14:textId="3B7DEE4E"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10,0</w:t>
            </w:r>
          </w:p>
        </w:tc>
        <w:tc>
          <w:tcPr>
            <w:tcW w:w="494" w:type="pct"/>
            <w:tcBorders>
              <w:top w:val="nil"/>
              <w:left w:val="single" w:sz="8" w:space="0" w:color="auto"/>
              <w:bottom w:val="single" w:sz="4" w:space="0" w:color="auto"/>
              <w:right w:val="single" w:sz="4" w:space="0" w:color="auto"/>
            </w:tcBorders>
            <w:shd w:val="clear" w:color="auto" w:fill="auto"/>
            <w:noWrap/>
            <w:vAlign w:val="center"/>
            <w:hideMark/>
          </w:tcPr>
          <w:p w14:paraId="2823A80B" w14:textId="409981B5" w:rsidR="007F3F33" w:rsidRPr="00CC3317" w:rsidRDefault="007F3F33" w:rsidP="007F3F33">
            <w:pPr>
              <w:pStyle w:val="TabelaNAPOVED"/>
              <w:rPr>
                <w:szCs w:val="16"/>
                <w:highlight w:val="yellow"/>
              </w:rPr>
            </w:pPr>
            <w:r w:rsidRPr="00CC3317">
              <w:rPr>
                <w:rFonts w:cs="Arial"/>
                <w:color w:val="000000"/>
                <w:szCs w:val="16"/>
                <w:highlight w:val="yellow"/>
              </w:rPr>
              <w:t>2,5</w:t>
            </w:r>
          </w:p>
        </w:tc>
        <w:tc>
          <w:tcPr>
            <w:tcW w:w="551" w:type="pct"/>
            <w:tcBorders>
              <w:top w:val="nil"/>
              <w:left w:val="single" w:sz="4" w:space="0" w:color="auto"/>
              <w:bottom w:val="single" w:sz="4" w:space="0" w:color="auto"/>
              <w:right w:val="single" w:sz="4" w:space="0" w:color="auto"/>
            </w:tcBorders>
            <w:shd w:val="clear" w:color="auto" w:fill="E9E9E9" w:themeFill="accent3" w:themeFillTint="33"/>
            <w:noWrap/>
            <w:vAlign w:val="center"/>
            <w:hideMark/>
          </w:tcPr>
          <w:p w14:paraId="7AF28057" w14:textId="590B46F2"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0,5</w:t>
            </w:r>
          </w:p>
        </w:tc>
        <w:tc>
          <w:tcPr>
            <w:tcW w:w="551"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44327B59" w14:textId="3CB90E2E"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1,5</w:t>
            </w:r>
          </w:p>
        </w:tc>
      </w:tr>
      <w:tr w:rsidR="007F3F33" w:rsidRPr="00CC3317" w14:paraId="02C82A98" w14:textId="77777777" w:rsidTr="00E50951">
        <w:trPr>
          <w:trHeight w:val="300"/>
        </w:trPr>
        <w:tc>
          <w:tcPr>
            <w:tcW w:w="1809" w:type="pct"/>
            <w:tcBorders>
              <w:top w:val="single" w:sz="4" w:space="0" w:color="auto"/>
              <w:left w:val="nil"/>
              <w:bottom w:val="single" w:sz="4" w:space="0" w:color="auto"/>
              <w:right w:val="single" w:sz="4" w:space="0" w:color="auto"/>
            </w:tcBorders>
            <w:noWrap/>
            <w:vAlign w:val="center"/>
            <w:hideMark/>
          </w:tcPr>
          <w:p w14:paraId="6AA17E3E" w14:textId="77777777" w:rsidR="007F3F33" w:rsidRPr="00CC3317" w:rsidRDefault="007F3F33" w:rsidP="007F3F33">
            <w:pPr>
              <w:pStyle w:val="TabelalevistolpecNAPOVED"/>
              <w:rPr>
                <w:szCs w:val="16"/>
                <w:highlight w:val="yellow"/>
              </w:rPr>
            </w:pPr>
            <w:r w:rsidRPr="00CC3317">
              <w:rPr>
                <w:szCs w:val="16"/>
                <w:highlight w:val="yellow"/>
              </w:rPr>
              <w:t>Tečaj USD/EUR</w:t>
            </w:r>
          </w:p>
        </w:tc>
        <w:tc>
          <w:tcPr>
            <w:tcW w:w="329" w:type="pct"/>
            <w:tcBorders>
              <w:top w:val="nil"/>
              <w:left w:val="single" w:sz="8" w:space="0" w:color="auto"/>
              <w:bottom w:val="single" w:sz="8" w:space="0" w:color="auto"/>
              <w:right w:val="single" w:sz="8" w:space="0" w:color="auto"/>
            </w:tcBorders>
            <w:shd w:val="clear" w:color="auto" w:fill="auto"/>
            <w:noWrap/>
            <w:vAlign w:val="center"/>
            <w:hideMark/>
          </w:tcPr>
          <w:p w14:paraId="5075014A" w14:textId="53621797" w:rsidR="007F3F33" w:rsidRPr="00CC3317" w:rsidRDefault="007F3F33" w:rsidP="007F3F33">
            <w:pPr>
              <w:pStyle w:val="TabelaNAPOVED"/>
              <w:rPr>
                <w:szCs w:val="16"/>
                <w:highlight w:val="yellow"/>
              </w:rPr>
            </w:pPr>
            <w:r w:rsidRPr="00CC3317">
              <w:rPr>
                <w:rFonts w:cs="Arial"/>
                <w:color w:val="000000"/>
                <w:szCs w:val="16"/>
                <w:highlight w:val="yellow"/>
              </w:rPr>
              <w:t>1,141</w:t>
            </w:r>
          </w:p>
        </w:tc>
        <w:tc>
          <w:tcPr>
            <w:tcW w:w="678" w:type="pct"/>
            <w:tcBorders>
              <w:top w:val="nil"/>
              <w:left w:val="nil"/>
              <w:bottom w:val="single" w:sz="8" w:space="0" w:color="auto"/>
              <w:right w:val="single" w:sz="4" w:space="0" w:color="auto"/>
            </w:tcBorders>
            <w:shd w:val="clear" w:color="auto" w:fill="auto"/>
            <w:noWrap/>
            <w:vAlign w:val="center"/>
            <w:hideMark/>
          </w:tcPr>
          <w:p w14:paraId="33BF5BE2" w14:textId="485691A1" w:rsidR="007F3F33" w:rsidRPr="00CC3317" w:rsidRDefault="007F3F33" w:rsidP="007F3F33">
            <w:pPr>
              <w:pStyle w:val="TabelaNAPOVED"/>
              <w:rPr>
                <w:szCs w:val="16"/>
                <w:highlight w:val="yellow"/>
              </w:rPr>
            </w:pPr>
            <w:r w:rsidRPr="00CC3317">
              <w:rPr>
                <w:rFonts w:cs="Arial"/>
                <w:szCs w:val="16"/>
                <w:highlight w:val="yellow"/>
              </w:rPr>
              <w:t>1,180</w:t>
            </w:r>
          </w:p>
        </w:tc>
        <w:tc>
          <w:tcPr>
            <w:tcW w:w="587" w:type="pct"/>
            <w:tcBorders>
              <w:top w:val="nil"/>
              <w:left w:val="single" w:sz="4" w:space="0" w:color="auto"/>
              <w:bottom w:val="single" w:sz="8" w:space="0" w:color="auto"/>
              <w:right w:val="single" w:sz="8" w:space="0" w:color="auto"/>
            </w:tcBorders>
            <w:shd w:val="clear" w:color="auto" w:fill="E9E9E9" w:themeFill="accent3" w:themeFillTint="33"/>
            <w:vAlign w:val="center"/>
            <w:hideMark/>
          </w:tcPr>
          <w:p w14:paraId="4F34CB70" w14:textId="57B39428"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1,208</w:t>
            </w:r>
          </w:p>
        </w:tc>
        <w:tc>
          <w:tcPr>
            <w:tcW w:w="494" w:type="pct"/>
            <w:tcBorders>
              <w:top w:val="nil"/>
              <w:left w:val="single" w:sz="8" w:space="0" w:color="auto"/>
              <w:bottom w:val="single" w:sz="8" w:space="0" w:color="auto"/>
              <w:right w:val="single" w:sz="4" w:space="0" w:color="auto"/>
            </w:tcBorders>
            <w:shd w:val="clear" w:color="auto" w:fill="auto"/>
            <w:noWrap/>
            <w:vAlign w:val="center"/>
            <w:hideMark/>
          </w:tcPr>
          <w:p w14:paraId="376D5577" w14:textId="334E37CC" w:rsidR="007F3F33" w:rsidRPr="00CC3317" w:rsidRDefault="007F3F33" w:rsidP="007F3F33">
            <w:pPr>
              <w:pStyle w:val="TabelaNAPOVED"/>
              <w:rPr>
                <w:szCs w:val="16"/>
                <w:highlight w:val="yellow"/>
              </w:rPr>
            </w:pPr>
            <w:r w:rsidRPr="00CC3317">
              <w:rPr>
                <w:rFonts w:cs="Arial"/>
                <w:color w:val="000000"/>
                <w:szCs w:val="16"/>
                <w:highlight w:val="yellow"/>
              </w:rPr>
              <w:t>1,180</w:t>
            </w:r>
          </w:p>
        </w:tc>
        <w:tc>
          <w:tcPr>
            <w:tcW w:w="551" w:type="pct"/>
            <w:tcBorders>
              <w:top w:val="nil"/>
              <w:left w:val="single" w:sz="4" w:space="0" w:color="auto"/>
              <w:bottom w:val="single" w:sz="8" w:space="0" w:color="auto"/>
              <w:right w:val="single" w:sz="4" w:space="0" w:color="auto"/>
            </w:tcBorders>
            <w:shd w:val="clear" w:color="auto" w:fill="E9E9E9" w:themeFill="accent3" w:themeFillTint="33"/>
            <w:noWrap/>
            <w:vAlign w:val="center"/>
            <w:hideMark/>
          </w:tcPr>
          <w:p w14:paraId="78747E88" w14:textId="1F54A930"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1,208</w:t>
            </w:r>
          </w:p>
        </w:tc>
        <w:tc>
          <w:tcPr>
            <w:tcW w:w="551" w:type="pct"/>
            <w:tcBorders>
              <w:top w:val="single" w:sz="4" w:space="0" w:color="auto"/>
              <w:left w:val="single" w:sz="4" w:space="0" w:color="auto"/>
              <w:bottom w:val="single" w:sz="4" w:space="0" w:color="auto"/>
              <w:right w:val="nil"/>
            </w:tcBorders>
            <w:shd w:val="clear" w:color="auto" w:fill="E9E9E9" w:themeFill="accent3" w:themeFillTint="33"/>
            <w:vAlign w:val="center"/>
          </w:tcPr>
          <w:p w14:paraId="2827327A" w14:textId="19F4BFDA" w:rsidR="007F3F33" w:rsidRPr="00CC3317" w:rsidRDefault="007F3F33" w:rsidP="007F3F33">
            <w:pPr>
              <w:pStyle w:val="TabelaNAPOVED"/>
              <w:rPr>
                <w:b/>
                <w:bCs/>
                <w:color w:val="9E001A" w:themeColor="accent1"/>
                <w:szCs w:val="16"/>
                <w:highlight w:val="yellow"/>
              </w:rPr>
            </w:pPr>
            <w:r w:rsidRPr="00CC3317">
              <w:rPr>
                <w:rFonts w:cs="Arial"/>
                <w:b/>
                <w:bCs/>
                <w:color w:val="9E001A" w:themeColor="accent1"/>
                <w:szCs w:val="16"/>
                <w:highlight w:val="yellow"/>
              </w:rPr>
              <w:t>1,208</w:t>
            </w:r>
          </w:p>
        </w:tc>
      </w:tr>
    </w:tbl>
    <w:p w14:paraId="5416CC81" w14:textId="62C11DF7" w:rsidR="008B00C5" w:rsidRPr="00767446" w:rsidRDefault="008B00C5" w:rsidP="008B00C5">
      <w:pPr>
        <w:pStyle w:val="VirNAPOVED"/>
      </w:pPr>
      <w:r w:rsidRPr="00CC3317">
        <w:rPr>
          <w:highlight w:val="yellow"/>
        </w:rPr>
        <w:t xml:space="preserve">Vir: EIA, ECB, CME, ocena UMAR. Opomba: predpostavke so narejene na podlagi povprečnih vrednosti in terminskih cen med </w:t>
      </w:r>
      <w:r w:rsidR="00CF5689" w:rsidRPr="00CC3317">
        <w:rPr>
          <w:highlight w:val="yellow"/>
        </w:rPr>
        <w:t>1</w:t>
      </w:r>
      <w:r w:rsidRPr="00CC3317">
        <w:rPr>
          <w:highlight w:val="yellow"/>
        </w:rPr>
        <w:t xml:space="preserve">. in 18. </w:t>
      </w:r>
      <w:r w:rsidR="00CF5689" w:rsidRPr="00CC3317">
        <w:rPr>
          <w:highlight w:val="yellow"/>
        </w:rPr>
        <w:t xml:space="preserve">februarjem </w:t>
      </w:r>
      <w:r w:rsidRPr="00CC3317">
        <w:rPr>
          <w:highlight w:val="yellow"/>
        </w:rPr>
        <w:t>202</w:t>
      </w:r>
      <w:r w:rsidR="00CF5689" w:rsidRPr="00CC3317">
        <w:rPr>
          <w:highlight w:val="yellow"/>
        </w:rPr>
        <w:t>1</w:t>
      </w:r>
      <w:r w:rsidRPr="00CC3317">
        <w:rPr>
          <w:highlight w:val="yellow"/>
        </w:rPr>
        <w:t>. *Struktura EMU glede na uporabo surovin.</w:t>
      </w:r>
    </w:p>
    <w:p w14:paraId="38E27C94" w14:textId="77777777" w:rsidR="008B00C5" w:rsidRPr="00C368CC" w:rsidRDefault="008B00C5" w:rsidP="00C368CC">
      <w:pPr>
        <w:pStyle w:val="BesediloNAPOVED"/>
        <w:rPr>
          <w:b/>
        </w:rPr>
      </w:pPr>
    </w:p>
    <w:p w14:paraId="33F3CC8C" w14:textId="2AFAF319" w:rsidR="00C45387" w:rsidRPr="00767446" w:rsidRDefault="00C45387" w:rsidP="00A052B5">
      <w:pPr>
        <w:pStyle w:val="BesediloNAPOVED"/>
        <w:rPr>
          <w:rStyle w:val="VodilnistavekBoldpoudarekNAPOVED"/>
        </w:rPr>
      </w:pPr>
    </w:p>
    <w:bookmarkEnd w:id="14"/>
    <w:bookmarkEnd w:id="15"/>
    <w:p w14:paraId="1D695A3F" w14:textId="6DB7E2CC" w:rsidR="00C17605" w:rsidRPr="00767446" w:rsidRDefault="00C17605">
      <w:pPr>
        <w:spacing w:after="0" w:line="240" w:lineRule="auto"/>
        <w:rPr>
          <w:rFonts w:ascii="Arial" w:hAnsi="Arial"/>
          <w:sz w:val="20"/>
        </w:rPr>
      </w:pPr>
      <w:r w:rsidRPr="00767446">
        <w:br w:type="page"/>
      </w:r>
    </w:p>
    <w:p w14:paraId="4C31DDAD" w14:textId="66881B6B" w:rsidR="00C17605" w:rsidRDefault="00C17605" w:rsidP="001B44DC">
      <w:pPr>
        <w:pStyle w:val="Heading1"/>
      </w:pPr>
      <w:bookmarkStart w:id="16" w:name="_Toc81050594"/>
      <w:r w:rsidRPr="00767446">
        <w:lastRenderedPageBreak/>
        <w:t>Obsežni ukrepi za omilitev posledic pandemije in za pomoč pri okrevanju gospodarstva</w:t>
      </w:r>
      <w:bookmarkEnd w:id="16"/>
    </w:p>
    <w:p w14:paraId="0E90B4B6" w14:textId="77777777" w:rsidR="00C94446" w:rsidRPr="00C94446" w:rsidRDefault="00C94446" w:rsidP="00C94446">
      <w:pPr>
        <w:pStyle w:val="BesediloNAPOVED"/>
      </w:pPr>
    </w:p>
    <w:p w14:paraId="17E3BC44" w14:textId="3F0C73C9" w:rsidR="00532210" w:rsidRPr="004D5B74" w:rsidRDefault="00CA33C2" w:rsidP="00532210">
      <w:pPr>
        <w:pStyle w:val="BesediloNAPOVED"/>
        <w:rPr>
          <w:bCs/>
          <w:highlight w:val="yellow"/>
        </w:rPr>
      </w:pPr>
      <w:r w:rsidRPr="004F7A5E">
        <w:rPr>
          <w:b/>
        </w:rPr>
        <w:t>Od</w:t>
      </w:r>
      <w:r w:rsidR="00224A94" w:rsidRPr="004F7A5E">
        <w:rPr>
          <w:b/>
        </w:rPr>
        <w:t xml:space="preserve"> sredine marca 2020, je Slovenija imela že tri vale okužb s </w:t>
      </w:r>
      <w:proofErr w:type="spellStart"/>
      <w:r w:rsidR="00224A94" w:rsidRPr="004F7A5E">
        <w:rPr>
          <w:b/>
        </w:rPr>
        <w:t>koronavirusom</w:t>
      </w:r>
      <w:proofErr w:type="spellEnd"/>
      <w:r w:rsidR="00224A94" w:rsidRPr="004F7A5E">
        <w:rPr>
          <w:b/>
        </w:rPr>
        <w:t xml:space="preserve">, ki so jih zaznamovali </w:t>
      </w:r>
      <w:r w:rsidR="00532210" w:rsidRPr="004F7A5E">
        <w:rPr>
          <w:b/>
        </w:rPr>
        <w:t>strog</w:t>
      </w:r>
      <w:r w:rsidR="00224A94" w:rsidRPr="004F7A5E">
        <w:rPr>
          <w:b/>
        </w:rPr>
        <w:t>i</w:t>
      </w:r>
      <w:r w:rsidR="00532210" w:rsidRPr="004F7A5E">
        <w:rPr>
          <w:b/>
        </w:rPr>
        <w:t xml:space="preserve"> ukrepe za omejitev širjenja okužb</w:t>
      </w:r>
      <w:r w:rsidR="00224A94" w:rsidRPr="004F7A5E">
        <w:rPr>
          <w:b/>
        </w:rPr>
        <w:t xml:space="preserve">. Kljub vmesnemu izboljšanju epidemiološke slike nekatere omejitve zaradi prisotnosti virusa ostajajo v veljavi. </w:t>
      </w:r>
      <w:r w:rsidR="00532210" w:rsidRPr="004F7A5E">
        <w:rPr>
          <w:bCs/>
        </w:rPr>
        <w:t xml:space="preserve">Prvič je bila epidemija razglašena od sredine marca do konca maja 2020, ko je Vlada s ciljem zajezitve širjenja virusa začasno zaprla večino vzgojno-izobraževalnih ustanov in ustavila izvajanje večine </w:t>
      </w:r>
      <w:proofErr w:type="spellStart"/>
      <w:r w:rsidR="00532210" w:rsidRPr="004F7A5E">
        <w:rPr>
          <w:bCs/>
        </w:rPr>
        <w:t>nenujnih</w:t>
      </w:r>
      <w:proofErr w:type="spellEnd"/>
      <w:r w:rsidR="00532210" w:rsidRPr="004F7A5E">
        <w:rPr>
          <w:bCs/>
        </w:rPr>
        <w:t xml:space="preserve"> storitev. Zaradi izboljšanja epidemiološke slike so se nekateri strogi omejitveni ukrepi ob upoštevanju varovalnih ukrepov začeli postopno sproščati že aprila. Število okuženih se je začelo ponovno povečevati</w:t>
      </w:r>
      <w:r w:rsidR="00224A94" w:rsidRPr="004F7A5E">
        <w:rPr>
          <w:bCs/>
        </w:rPr>
        <w:t xml:space="preserve"> </w:t>
      </w:r>
      <w:r w:rsidR="00C41408">
        <w:rPr>
          <w:bCs/>
        </w:rPr>
        <w:t xml:space="preserve">lani </w:t>
      </w:r>
      <w:r w:rsidR="00224A94" w:rsidRPr="004F7A5E">
        <w:rPr>
          <w:bCs/>
        </w:rPr>
        <w:t xml:space="preserve">jeseni in oktobra </w:t>
      </w:r>
      <w:r w:rsidR="00151462" w:rsidRPr="004F7A5E">
        <w:rPr>
          <w:bCs/>
        </w:rPr>
        <w:t>so ob</w:t>
      </w:r>
      <w:r w:rsidR="00224A94" w:rsidRPr="004F7A5E">
        <w:rPr>
          <w:bCs/>
        </w:rPr>
        <w:t xml:space="preserve"> ponovn</w:t>
      </w:r>
      <w:r w:rsidR="00151462" w:rsidRPr="004F7A5E">
        <w:rPr>
          <w:bCs/>
        </w:rPr>
        <w:t>i</w:t>
      </w:r>
      <w:r w:rsidR="00224A94" w:rsidRPr="004F7A5E">
        <w:rPr>
          <w:bCs/>
        </w:rPr>
        <w:t xml:space="preserve"> </w:t>
      </w:r>
      <w:r w:rsidR="00151462" w:rsidRPr="004F7A5E">
        <w:rPr>
          <w:bCs/>
        </w:rPr>
        <w:t xml:space="preserve">razglasitvi </w:t>
      </w:r>
      <w:r w:rsidR="00224A94" w:rsidRPr="004F7A5E">
        <w:rPr>
          <w:bCs/>
        </w:rPr>
        <w:t>epidemij</w:t>
      </w:r>
      <w:r w:rsidR="00151462" w:rsidRPr="004F7A5E">
        <w:rPr>
          <w:bCs/>
        </w:rPr>
        <w:t>e</w:t>
      </w:r>
      <w:r w:rsidR="00224A94" w:rsidRPr="004F7A5E">
        <w:rPr>
          <w:bCs/>
        </w:rPr>
        <w:t xml:space="preserve"> </w:t>
      </w:r>
      <w:r w:rsidR="00151462" w:rsidRPr="004F7A5E">
        <w:rPr>
          <w:bCs/>
        </w:rPr>
        <w:t xml:space="preserve">sledili strožji omejitveni ukrepi, ki so bili podobni kot v prvem valu. </w:t>
      </w:r>
      <w:r w:rsidR="00151462" w:rsidRPr="00B23656">
        <w:rPr>
          <w:bCs/>
        </w:rPr>
        <w:t>Januarja so se začeli sproščati nekateri ukrepi v regijah z boljšo epidemiološko sliko. Začetek aprila je sledila ponovna zaostritev ob t.</w:t>
      </w:r>
      <w:r w:rsidR="004F7A5E" w:rsidRPr="00B23656">
        <w:rPr>
          <w:bCs/>
        </w:rPr>
        <w:t xml:space="preserve"> </w:t>
      </w:r>
      <w:r w:rsidR="00151462" w:rsidRPr="00B23656">
        <w:rPr>
          <w:bCs/>
        </w:rPr>
        <w:t xml:space="preserve">i. tretjem valu okužb, od takrat dalje so se ukrepi </w:t>
      </w:r>
      <w:r w:rsidR="00B03E61" w:rsidRPr="00B23656">
        <w:rPr>
          <w:bCs/>
        </w:rPr>
        <w:t>večinoma sprostili</w:t>
      </w:r>
      <w:r w:rsidR="00C41408" w:rsidRPr="00B23656">
        <w:rPr>
          <w:bCs/>
        </w:rPr>
        <w:t xml:space="preserve"> in s 15.6. je bil</w:t>
      </w:r>
      <w:r w:rsidR="00EB467C" w:rsidRPr="00B23656">
        <w:rPr>
          <w:bCs/>
        </w:rPr>
        <w:t>a</w:t>
      </w:r>
      <w:r w:rsidR="00C41408" w:rsidRPr="00B23656">
        <w:rPr>
          <w:bCs/>
        </w:rPr>
        <w:t xml:space="preserve"> </w:t>
      </w:r>
      <w:r w:rsidR="00EB467C" w:rsidRPr="00B23656">
        <w:rPr>
          <w:bCs/>
        </w:rPr>
        <w:t>epidemija preklicana</w:t>
      </w:r>
      <w:r w:rsidR="00C41408" w:rsidRPr="00B23656">
        <w:rPr>
          <w:bCs/>
        </w:rPr>
        <w:t xml:space="preserve">. V veljavi pa ostaja </w:t>
      </w:r>
      <w:r w:rsidR="00B03E61" w:rsidRPr="00B23656">
        <w:rPr>
          <w:bCs/>
        </w:rPr>
        <w:t>t.</w:t>
      </w:r>
      <w:r w:rsidR="004F7A5E" w:rsidRPr="00B23656">
        <w:rPr>
          <w:bCs/>
        </w:rPr>
        <w:t xml:space="preserve"> </w:t>
      </w:r>
      <w:r w:rsidR="00B03E61" w:rsidRPr="00B23656">
        <w:rPr>
          <w:bCs/>
        </w:rPr>
        <w:t>i. omejitev PCT (preboleli, cepljeni ali testiran</w:t>
      </w:r>
      <w:r w:rsidR="004F7A5E" w:rsidRPr="00B23656">
        <w:rPr>
          <w:bCs/>
        </w:rPr>
        <w:t>i</w:t>
      </w:r>
      <w:r w:rsidR="00B03E61" w:rsidRPr="00B23656">
        <w:rPr>
          <w:bCs/>
        </w:rPr>
        <w:t xml:space="preserve">), </w:t>
      </w:r>
      <w:r w:rsidR="004F7A5E" w:rsidRPr="00B23656">
        <w:rPr>
          <w:bCs/>
        </w:rPr>
        <w:t xml:space="preserve">ki jo </w:t>
      </w:r>
      <w:r w:rsidR="00B23656" w:rsidRPr="00B23656">
        <w:rPr>
          <w:bCs/>
        </w:rPr>
        <w:t>je potrebn</w:t>
      </w:r>
      <w:r w:rsidR="002B591E">
        <w:rPr>
          <w:bCs/>
        </w:rPr>
        <w:t>o</w:t>
      </w:r>
      <w:r w:rsidR="00B23656" w:rsidRPr="00B23656">
        <w:rPr>
          <w:bCs/>
        </w:rPr>
        <w:t xml:space="preserve"> </w:t>
      </w:r>
      <w:r w:rsidR="004F7A5E" w:rsidRPr="00B23656">
        <w:rPr>
          <w:bCs/>
        </w:rPr>
        <w:t xml:space="preserve">izpolnjevati pri uporabi večine </w:t>
      </w:r>
      <w:proofErr w:type="spellStart"/>
      <w:r w:rsidR="004F7A5E" w:rsidRPr="00B23656">
        <w:rPr>
          <w:bCs/>
        </w:rPr>
        <w:t>nenujnih</w:t>
      </w:r>
      <w:proofErr w:type="spellEnd"/>
      <w:r w:rsidR="004F7A5E" w:rsidRPr="00B23656">
        <w:rPr>
          <w:bCs/>
        </w:rPr>
        <w:t xml:space="preserve"> storitev</w:t>
      </w:r>
      <w:r w:rsidR="00A01997" w:rsidRPr="00B23656">
        <w:rPr>
          <w:bCs/>
        </w:rPr>
        <w:t xml:space="preserve">, pri obisku javnih prireditev </w:t>
      </w:r>
      <w:r w:rsidR="004F7A5E" w:rsidRPr="00B23656">
        <w:rPr>
          <w:bCs/>
        </w:rPr>
        <w:t>in pri prehajanju državnih meja. V avgustu in začetku septembra se število okuženih ponovno povečuje, u</w:t>
      </w:r>
      <w:r w:rsidR="00532210" w:rsidRPr="00B23656">
        <w:rPr>
          <w:bCs/>
        </w:rPr>
        <w:t xml:space="preserve">krepi </w:t>
      </w:r>
      <w:r w:rsidR="004F7A5E" w:rsidRPr="00B23656">
        <w:rPr>
          <w:bCs/>
        </w:rPr>
        <w:t xml:space="preserve">pa </w:t>
      </w:r>
      <w:r w:rsidR="00532210" w:rsidRPr="00B23656">
        <w:rPr>
          <w:bCs/>
        </w:rPr>
        <w:t>se nadalje prilagajajo glede na epidemiološko situacijo.</w:t>
      </w:r>
      <w:r w:rsidR="00532210" w:rsidRPr="00B23656">
        <w:rPr>
          <w:bCs/>
          <w:vertAlign w:val="superscript"/>
        </w:rPr>
        <w:footnoteReference w:id="4"/>
      </w:r>
      <w:r w:rsidR="00532210" w:rsidRPr="00B23656">
        <w:rPr>
          <w:bCs/>
        </w:rPr>
        <w:t xml:space="preserve"> </w:t>
      </w:r>
    </w:p>
    <w:p w14:paraId="16BA3A5F" w14:textId="77777777" w:rsidR="00532210" w:rsidRPr="004D5B74" w:rsidRDefault="00532210" w:rsidP="00532210">
      <w:pPr>
        <w:pStyle w:val="BesediloNAPOVED"/>
        <w:rPr>
          <w:b/>
          <w:highlight w:val="yellow"/>
        </w:rPr>
      </w:pPr>
    </w:p>
    <w:p w14:paraId="6EA405E5" w14:textId="0C10A0F9" w:rsidR="001574F4" w:rsidRDefault="00532210" w:rsidP="001574F4">
      <w:pPr>
        <w:pStyle w:val="BesediloNAPOVED"/>
      </w:pPr>
      <w:r w:rsidRPr="004222FA">
        <w:rPr>
          <w:b/>
        </w:rPr>
        <w:t xml:space="preserve">Vlada je </w:t>
      </w:r>
      <w:r w:rsidR="00F90698" w:rsidRPr="004222FA">
        <w:rPr>
          <w:b/>
        </w:rPr>
        <w:t xml:space="preserve">od prve razglasitve epidemije </w:t>
      </w:r>
      <w:r w:rsidRPr="004222FA">
        <w:rPr>
          <w:b/>
        </w:rPr>
        <w:t xml:space="preserve">sprejela vrsto ukrepov za </w:t>
      </w:r>
      <w:r w:rsidRPr="00710A6B">
        <w:rPr>
          <w:b/>
        </w:rPr>
        <w:t>omejitev negativnih posledic epidemije za prebivalstvo in gospodarstvo ter za njegovo hitrejše okrevanje</w:t>
      </w:r>
      <w:r w:rsidR="00DC27B7" w:rsidRPr="00710A6B">
        <w:rPr>
          <w:b/>
        </w:rPr>
        <w:t>.</w:t>
      </w:r>
      <w:r w:rsidR="004721FF" w:rsidRPr="00710A6B">
        <w:rPr>
          <w:vertAlign w:val="superscript"/>
        </w:rPr>
        <w:footnoteReference w:id="5"/>
      </w:r>
      <w:r w:rsidR="00F90698" w:rsidRPr="00710A6B">
        <w:rPr>
          <w:b/>
        </w:rPr>
        <w:t xml:space="preserve"> </w:t>
      </w:r>
      <w:r w:rsidR="00736FEA" w:rsidRPr="00736FEA">
        <w:t xml:space="preserve">Veliko </w:t>
      </w:r>
      <w:r w:rsidR="00736FEA">
        <w:t xml:space="preserve">ukrepom </w:t>
      </w:r>
      <w:r w:rsidR="00C34D29">
        <w:t>se</w:t>
      </w:r>
      <w:r w:rsidR="00736FEA">
        <w:t xml:space="preserve"> izteka veljavnost do konca letošnjega junija, najpomembnejše javnofinančne učinke </w:t>
      </w:r>
      <w:r w:rsidR="00D25ACA">
        <w:t xml:space="preserve">od teh </w:t>
      </w:r>
      <w:r w:rsidR="00736FEA">
        <w:t xml:space="preserve">pa so </w:t>
      </w:r>
      <w:r w:rsidR="0062431E">
        <w:t xml:space="preserve">v prvi polovici leta </w:t>
      </w:r>
      <w:r w:rsidR="00736FEA">
        <w:t xml:space="preserve">imeli predvsem </w:t>
      </w:r>
      <w:r w:rsidR="00742FBD">
        <w:t xml:space="preserve">čakanje na delo, </w:t>
      </w:r>
      <w:r w:rsidR="00742FBD" w:rsidRPr="00532210">
        <w:t>ki je bil nazadnje 5.</w:t>
      </w:r>
      <w:r w:rsidR="00742FBD">
        <w:t> </w:t>
      </w:r>
      <w:r w:rsidR="00742FBD" w:rsidRPr="00532210">
        <w:t>2.</w:t>
      </w:r>
      <w:r w:rsidR="00742FBD">
        <w:t> </w:t>
      </w:r>
      <w:r w:rsidR="00742FBD" w:rsidRPr="00532210">
        <w:t>2021 s PKP8</w:t>
      </w:r>
      <w:r w:rsidR="00742FBD" w:rsidRPr="00532210">
        <w:rPr>
          <w:vertAlign w:val="superscript"/>
        </w:rPr>
        <w:footnoteReference w:id="6"/>
      </w:r>
      <w:r w:rsidR="00742FBD" w:rsidRPr="00532210">
        <w:t xml:space="preserve"> podaljšan do konca aprila</w:t>
      </w:r>
      <w:r w:rsidR="00742FBD">
        <w:t xml:space="preserve"> in ga je nato Vlada še dvakrat podaljšala. </w:t>
      </w:r>
      <w:r w:rsidR="00650E5E">
        <w:t>En izmed pomembnejših ukrepov je bil tudi mese</w:t>
      </w:r>
      <w:r w:rsidR="00650E5E" w:rsidRPr="00532210">
        <w:t>čni temeljni dohodek za samozaposlene, kmete in verske uslužbence</w:t>
      </w:r>
      <w:r w:rsidR="00650E5E">
        <w:t xml:space="preserve">, </w:t>
      </w:r>
      <w:r w:rsidR="00C34D29">
        <w:t>ki ga je oktobra lani ponovno uvedel PKP5</w:t>
      </w:r>
      <w:r w:rsidR="00C34D29" w:rsidRPr="00710A6B">
        <w:rPr>
          <w:vertAlign w:val="superscript"/>
        </w:rPr>
        <w:footnoteReference w:id="7"/>
      </w:r>
      <w:r w:rsidR="00642483">
        <w:t>,</w:t>
      </w:r>
      <w:r w:rsidR="00C34D29">
        <w:t xml:space="preserve"> konec lanskega leta razširil PKP7</w:t>
      </w:r>
      <w:r w:rsidR="00C34D29" w:rsidRPr="00532210">
        <w:rPr>
          <w:vertAlign w:val="superscript"/>
        </w:rPr>
        <w:footnoteReference w:id="8"/>
      </w:r>
      <w:r w:rsidR="00642483">
        <w:t xml:space="preserve"> in</w:t>
      </w:r>
      <w:r w:rsidR="00C34D29">
        <w:t xml:space="preserve"> </w:t>
      </w:r>
      <w:r w:rsidR="00650E5E" w:rsidRPr="00532210">
        <w:t xml:space="preserve">sklep Vlade </w:t>
      </w:r>
      <w:r w:rsidR="0062431E">
        <w:t>iz marca nazadnje</w:t>
      </w:r>
      <w:r w:rsidR="00BD5C83">
        <w:t xml:space="preserve"> podaljša</w:t>
      </w:r>
      <w:r w:rsidR="00C34D29">
        <w:t>l</w:t>
      </w:r>
      <w:r w:rsidR="00BD5C83">
        <w:t xml:space="preserve"> do sredine leta. </w:t>
      </w:r>
      <w:r w:rsidR="00FF7634">
        <w:t xml:space="preserve">Pomemben ukrep je bil tudi </w:t>
      </w:r>
      <w:r w:rsidR="00FF7634" w:rsidRPr="00532210">
        <w:t>enkratni krizni dodatek najbolj ranljivim skupinam prebivalstva</w:t>
      </w:r>
      <w:r w:rsidR="00FF7634">
        <w:t>,</w:t>
      </w:r>
      <w:r w:rsidR="00466528">
        <w:rPr>
          <w:rStyle w:val="FootnoteReference"/>
        </w:rPr>
        <w:footnoteReference w:id="9"/>
      </w:r>
      <w:r w:rsidR="00FF7634">
        <w:t xml:space="preserve"> ki ga je uvedel </w:t>
      </w:r>
      <w:r w:rsidR="00FF7634" w:rsidRPr="00532210">
        <w:t>PKP7</w:t>
      </w:r>
      <w:r w:rsidR="00FF7634">
        <w:t xml:space="preserve">, PKP8 pa je </w:t>
      </w:r>
      <w:r w:rsidR="00FF7634" w:rsidRPr="00532210">
        <w:t xml:space="preserve">pa </w:t>
      </w:r>
      <w:r w:rsidR="00FF7634">
        <w:t xml:space="preserve">je </w:t>
      </w:r>
      <w:r w:rsidR="00FF7634" w:rsidRPr="00532210">
        <w:t>razširil krog teh upravičencev.</w:t>
      </w:r>
      <w:r w:rsidR="00FF7634">
        <w:t xml:space="preserve"> </w:t>
      </w:r>
      <w:r w:rsidR="00D25ACA">
        <w:t xml:space="preserve">Podjetjem, </w:t>
      </w:r>
      <w:r w:rsidR="00D25ACA" w:rsidRPr="00532210">
        <w:t>ki so bila najbolj prizadeta zaradi epidemije</w:t>
      </w:r>
      <w:r w:rsidR="00D25ACA">
        <w:t xml:space="preserve">, je pomagalo tudi </w:t>
      </w:r>
      <w:r w:rsidR="00D25ACA" w:rsidRPr="00532210">
        <w:t>delno kritje fiksnih stroškov</w:t>
      </w:r>
      <w:r w:rsidR="00D25ACA">
        <w:t>, ki jih je konec lanskega novembra uvedel PKP6</w:t>
      </w:r>
      <w:r w:rsidR="00D25ACA" w:rsidRPr="00532210">
        <w:rPr>
          <w:vertAlign w:val="superscript"/>
        </w:rPr>
        <w:footnoteReference w:id="10"/>
      </w:r>
      <w:r w:rsidR="00D25ACA">
        <w:t xml:space="preserve">, </w:t>
      </w:r>
      <w:r w:rsidR="00D25ACA" w:rsidRPr="00532210">
        <w:t>PKP7 je zagotovil večji delež kritja fiksnih stroškov</w:t>
      </w:r>
      <w:r w:rsidR="00D25ACA">
        <w:t xml:space="preserve">, Vlada pa je nazadnje ukrep podaljšala do konca junija z marčnim sklepom. </w:t>
      </w:r>
      <w:r w:rsidR="00927275">
        <w:t xml:space="preserve">Do konca junija pa se je iztekel tudi ukrep </w:t>
      </w:r>
      <w:r w:rsidR="00927275" w:rsidRPr="00532210">
        <w:t>odloga davkov in nekaterih prispevkov</w:t>
      </w:r>
      <w:r w:rsidR="00927275">
        <w:t xml:space="preserve">. </w:t>
      </w:r>
      <w:r w:rsidR="00A52164">
        <w:t xml:space="preserve">Pomemben javnofinančni izdatek so bili </w:t>
      </w:r>
      <w:r w:rsidR="007C20C4">
        <w:t>prav tako</w:t>
      </w:r>
      <w:r w:rsidR="00A52164">
        <w:t xml:space="preserve"> razni dodatki za obvladovanje epidemije</w:t>
      </w:r>
      <w:r w:rsidR="00886EAE">
        <w:t xml:space="preserve"> pri čemer je </w:t>
      </w:r>
      <w:r w:rsidR="00CC28D5" w:rsidRPr="00532210">
        <w:t>PKP7</w:t>
      </w:r>
      <w:r w:rsidR="00CC28D5">
        <w:t xml:space="preserve"> zvišal urno postavko za tiste, ki delajo v tveganih razmerah oziroma z večjo obremen</w:t>
      </w:r>
      <w:r w:rsidR="00286DA4">
        <w:t>i</w:t>
      </w:r>
      <w:r w:rsidR="00CC28D5">
        <w:t>tvijo, kar je veljalo v času razglasitve epidemije oziroma do 15.6.2021.</w:t>
      </w:r>
      <w:r w:rsidR="001574F4">
        <w:t xml:space="preserve"> </w:t>
      </w:r>
    </w:p>
    <w:p w14:paraId="5CD7664F" w14:textId="4E7CC821" w:rsidR="00A66F65" w:rsidRDefault="00A66F65" w:rsidP="001574F4">
      <w:pPr>
        <w:pStyle w:val="BesediloNAPOVED"/>
      </w:pPr>
    </w:p>
    <w:p w14:paraId="7803DAA0" w14:textId="444797DA" w:rsidR="00736FEA" w:rsidRDefault="00FC351F" w:rsidP="00736FEA">
      <w:pPr>
        <w:pStyle w:val="BesediloNAPOVED"/>
      </w:pPr>
      <w:r w:rsidRPr="00736FEA">
        <w:rPr>
          <w:rStyle w:val="VodilnistavekBoldpoudarekNAPOVED"/>
        </w:rPr>
        <w:t xml:space="preserve">Ukrepi, ki so trenutno še v veljavi so </w:t>
      </w:r>
      <w:r w:rsidR="00736FEA">
        <w:rPr>
          <w:rStyle w:val="VodilnistavekBoldpoudarekNAPOVED"/>
        </w:rPr>
        <w:t xml:space="preserve">povezani predvsem z devetim </w:t>
      </w:r>
      <w:proofErr w:type="spellStart"/>
      <w:r w:rsidR="00736FEA">
        <w:rPr>
          <w:rStyle w:val="VodilnistavekBoldpoudarekNAPOVED"/>
        </w:rPr>
        <w:t>protikoronskim</w:t>
      </w:r>
      <w:proofErr w:type="spellEnd"/>
      <w:r w:rsidR="00736FEA">
        <w:rPr>
          <w:rStyle w:val="VodilnistavekBoldpoudarekNAPOVED"/>
        </w:rPr>
        <w:t xml:space="preserve"> paketom</w:t>
      </w:r>
      <w:r w:rsidRPr="00736FEA">
        <w:rPr>
          <w:rStyle w:val="VodilnistavekBoldpoudarekNAPOVED"/>
        </w:rPr>
        <w:t>.</w:t>
      </w:r>
      <w:r>
        <w:t xml:space="preserve"> </w:t>
      </w:r>
      <w:r w:rsidR="00736FEA">
        <w:t xml:space="preserve">Slednji </w:t>
      </w:r>
      <w:r w:rsidR="00736FEA" w:rsidRPr="00710A6B">
        <w:t>(v nadaljevanju PKP9)</w:t>
      </w:r>
      <w:r w:rsidR="00736FEA" w:rsidRPr="00710A6B">
        <w:rPr>
          <w:rStyle w:val="FootnoteReference"/>
        </w:rPr>
        <w:footnoteReference w:id="11"/>
      </w:r>
      <w:r w:rsidR="00736FEA">
        <w:t xml:space="preserve"> je bil sprejet julija in </w:t>
      </w:r>
      <w:r w:rsidR="00736FEA" w:rsidRPr="00710A6B">
        <w:t xml:space="preserve">je podaljšal veljavnost nekaterih predhodnih ukrepov </w:t>
      </w:r>
      <w:r w:rsidR="00736FEA">
        <w:t>ter</w:t>
      </w:r>
      <w:r w:rsidR="00736FEA" w:rsidRPr="00710A6B">
        <w:t xml:space="preserve"> uvedel nekaj novih. Podaljšal je ukrep delnega subvencioniranja krajšega delovnega časa trenutno do konca septembra z možnostjo podaljšanja do konca leta in ukrep povračila nadomestila 80 % plače </w:t>
      </w:r>
      <w:r w:rsidR="00736FEA" w:rsidRPr="00710A6B">
        <w:lastRenderedPageBreak/>
        <w:t xml:space="preserve">delavcem, ki so ostali doma zaradi karantene ali višje sile do konca leta. </w:t>
      </w:r>
      <w:r w:rsidR="00736FEA">
        <w:t>R</w:t>
      </w:r>
      <w:r w:rsidR="00736FEA" w:rsidRPr="00710A6B">
        <w:t>azširil</w:t>
      </w:r>
      <w:r w:rsidR="00736FEA">
        <w:t xml:space="preserve"> je</w:t>
      </w:r>
      <w:r w:rsidR="00736FEA" w:rsidRPr="00710A6B">
        <w:t xml:space="preserve"> upravičenost dodatk</w:t>
      </w:r>
      <w:r w:rsidR="00736FEA">
        <w:t>a</w:t>
      </w:r>
      <w:r w:rsidR="00736FEA" w:rsidRPr="00710A6B">
        <w:t xml:space="preserve"> za delo s pacienti in uporabniki obolelimi s COVID-19 na zunanje izvajalce pri izvajalcih zdravstvene dejavnosti. Dodatek je </w:t>
      </w:r>
      <w:r w:rsidR="00736FEA">
        <w:t xml:space="preserve">bil </w:t>
      </w:r>
      <w:r w:rsidR="00736FEA" w:rsidRPr="00710A6B">
        <w:t xml:space="preserve">sicer uvedel že </w:t>
      </w:r>
      <w:r w:rsidR="00736FEA">
        <w:t xml:space="preserve">s </w:t>
      </w:r>
      <w:r w:rsidR="00736FEA" w:rsidRPr="00710A6B">
        <w:t>PKP5, PKP7 pa je razširil obseg upravičencev</w:t>
      </w:r>
      <w:r w:rsidR="00BC1008">
        <w:t xml:space="preserve"> in veljavnost </w:t>
      </w:r>
      <w:r w:rsidR="000157D8">
        <w:t xml:space="preserve">ne glede na razglasitev epidemije </w:t>
      </w:r>
      <w:r w:rsidR="00736FEA" w:rsidRPr="00710A6B">
        <w:t>do konca letošnjega</w:t>
      </w:r>
      <w:r w:rsidR="00736FEA">
        <w:t xml:space="preserve"> leta. </w:t>
      </w:r>
      <w:r w:rsidR="00CC28D5">
        <w:t xml:space="preserve">V veljavi ostaja tudi </w:t>
      </w:r>
      <w:r w:rsidR="00CC28D5" w:rsidRPr="00532210">
        <w:t>financiranje dodatnih kadrov v socialnovarstvenih zakonih</w:t>
      </w:r>
      <w:r w:rsidR="00CC28D5">
        <w:t xml:space="preserve">, kar je PKP4 </w:t>
      </w:r>
      <w:r w:rsidR="00A72C49">
        <w:t xml:space="preserve">julija lani </w:t>
      </w:r>
      <w:r w:rsidR="00A72C49" w:rsidRPr="00532210">
        <w:t xml:space="preserve">določil </w:t>
      </w:r>
      <w:r w:rsidR="00A72C49">
        <w:t xml:space="preserve">za obdobje dveh let, do konca letošnjega leta ostajajo v veljavi tudi </w:t>
      </w:r>
      <w:r w:rsidR="00A72C49" w:rsidRPr="00532210">
        <w:t>vi</w:t>
      </w:r>
      <w:r w:rsidR="00A72C49">
        <w:t>ri</w:t>
      </w:r>
      <w:r w:rsidR="00A72C49" w:rsidRPr="00532210">
        <w:t xml:space="preserve"> za financiranje izdatkov v teh dejavnostih za različne namene</w:t>
      </w:r>
      <w:r w:rsidR="00A72C49">
        <w:t>,</w:t>
      </w:r>
      <w:r w:rsidR="00A72C49" w:rsidRPr="00532210">
        <w:rPr>
          <w:vertAlign w:val="superscript"/>
        </w:rPr>
        <w:footnoteReference w:id="12"/>
      </w:r>
      <w:r w:rsidR="00A72C49">
        <w:t xml:space="preserve"> ki jih je uvedel </w:t>
      </w:r>
      <w:r w:rsidR="00A72C49" w:rsidRPr="00532210">
        <w:t>PKP5</w:t>
      </w:r>
      <w:r w:rsidR="00DA411F">
        <w:t>, te</w:t>
      </w:r>
      <w:r w:rsidR="00CC28D5" w:rsidRPr="00532210">
        <w:t xml:space="preserve"> ukrepe </w:t>
      </w:r>
      <w:r w:rsidR="00DA411F">
        <w:t xml:space="preserve">pa </w:t>
      </w:r>
      <w:r w:rsidR="00CC28D5" w:rsidRPr="00532210">
        <w:t>sta dopolnila še PKP6</w:t>
      </w:r>
      <w:r w:rsidR="00CC28D5" w:rsidRPr="00532210">
        <w:rPr>
          <w:vertAlign w:val="superscript"/>
        </w:rPr>
        <w:footnoteReference w:id="13"/>
      </w:r>
      <w:r w:rsidR="00CC28D5" w:rsidRPr="00532210">
        <w:t xml:space="preserve"> in PKP7</w:t>
      </w:r>
      <w:r w:rsidR="00CC28D5" w:rsidRPr="00532210">
        <w:rPr>
          <w:vertAlign w:val="superscript"/>
        </w:rPr>
        <w:footnoteReference w:id="14"/>
      </w:r>
      <w:r w:rsidR="00A72C49">
        <w:t>.</w:t>
      </w:r>
      <w:r w:rsidR="00CC28D5" w:rsidRPr="00532210">
        <w:t xml:space="preserve"> </w:t>
      </w:r>
      <w:r w:rsidR="00736FEA">
        <w:t>PKP9 je razširil tudi dodatek za delo v času epidemije na nekatere druge poklice</w:t>
      </w:r>
      <w:r w:rsidR="00736FEA">
        <w:rPr>
          <w:rStyle w:val="FootnoteReference"/>
        </w:rPr>
        <w:footnoteReference w:id="15"/>
      </w:r>
      <w:r w:rsidR="00736FEA">
        <w:t>, ki jim pripada izplačilo za drugi val epidemije. Uvedel je tudi</w:t>
      </w:r>
      <w:r w:rsidR="00736FEA" w:rsidRPr="00362674">
        <w:t xml:space="preserve"> nove turistične bone, ki se jih lahko koristi </w:t>
      </w:r>
      <w:r w:rsidR="00736FEA">
        <w:t xml:space="preserve">v bolj prizadetih dejavnostih turizma, </w:t>
      </w:r>
      <w:r w:rsidR="00736FEA" w:rsidRPr="00362674">
        <w:t>gostinstva, športa in kulture</w:t>
      </w:r>
      <w:r w:rsidR="00736FEA">
        <w:t xml:space="preserve"> in so veljavni do konca letošnjega </w:t>
      </w:r>
      <w:r w:rsidR="00736FEA" w:rsidRPr="00CB3A7C">
        <w:t xml:space="preserve">leta. V začetku decembra 2020 pa je Vlada podaljšala tudi unovčljivost lanskih turističnih bonov do konca leta 2021. </w:t>
      </w:r>
      <w:r w:rsidR="00736FEA">
        <w:t xml:space="preserve">Prav tako je </w:t>
      </w:r>
      <w:r w:rsidR="00736FEA" w:rsidRPr="00CB3A7C">
        <w:t xml:space="preserve">PKP9 je uvedel pomoč bolj prizadetim dejavnostim v obliki </w:t>
      </w:r>
      <w:r w:rsidR="00736FEA">
        <w:t>pomoči za financiranje regresa za letni dopust in delnega povračila nekaterih stroškov.</w:t>
      </w:r>
      <w:r w:rsidR="00736FEA">
        <w:rPr>
          <w:rStyle w:val="FootnoteReference"/>
        </w:rPr>
        <w:footnoteReference w:id="16"/>
      </w:r>
      <w:r w:rsidR="00736FEA">
        <w:t xml:space="preserve"> Uvedel je tudi dodatna sredstva za specializacije zdravstvenih kadrov, ki jih primanjkuje, in za skrajšanje čakalnih dob do zdravstvenih storitev. Do konca letošnjega leta se sicer iztečejo tudi še </w:t>
      </w:r>
      <w:r w:rsidR="00736FEA" w:rsidRPr="00DB3D66">
        <w:t xml:space="preserve">zadnji moratoriji, za katere je PKP7 nazadnje podaljšal možnost vložitve vlog na banki do konca februarja 2021 za zagotovitev </w:t>
      </w:r>
      <w:r w:rsidR="00736FEA">
        <w:t>devetmesečnega</w:t>
      </w:r>
      <w:r w:rsidR="00736FEA" w:rsidRPr="00DB3D66">
        <w:t xml:space="preserve"> odloga plačila obveznosti iz kreditnih pogodb za prizadete posojilojemalce. </w:t>
      </w:r>
      <w:r w:rsidR="00736FEA">
        <w:t xml:space="preserve">Do </w:t>
      </w:r>
      <w:r w:rsidR="00B6626B">
        <w:t xml:space="preserve">31.12.2021 </w:t>
      </w:r>
      <w:r w:rsidR="00736FEA">
        <w:t xml:space="preserve">velja tudi delna razbremenitev delodajalcev zaradi zvišanja minimalne plače iz januarja </w:t>
      </w:r>
      <w:r w:rsidR="00736FEA" w:rsidRPr="00C7555F">
        <w:t>2020, ki jo je uvedel PKP8</w:t>
      </w:r>
      <w:r w:rsidR="00736FEA" w:rsidRPr="00ED39DD">
        <w:t>. Sklep Vlade</w:t>
      </w:r>
      <w:r w:rsidR="00736FEA" w:rsidRPr="00ED39DD">
        <w:rPr>
          <w:rStyle w:val="FootnoteReference"/>
        </w:rPr>
        <w:footnoteReference w:id="17"/>
      </w:r>
      <w:r w:rsidR="00736FEA" w:rsidRPr="00ED39DD">
        <w:t xml:space="preserve"> pa je konec junija do konca septembra podaljšal </w:t>
      </w:r>
      <w:r w:rsidR="00736FEA">
        <w:t xml:space="preserve">dva ukrepa iz PKP7 v primeru </w:t>
      </w:r>
      <w:r w:rsidR="00736FEA" w:rsidRPr="00BF5773">
        <w:t>insolventnost</w:t>
      </w:r>
      <w:r w:rsidR="00736FEA">
        <w:t>i</w:t>
      </w:r>
      <w:r w:rsidR="00736FEA" w:rsidRPr="00BF5773">
        <w:t xml:space="preserve"> družbe kot posledic</w:t>
      </w:r>
      <w:r w:rsidR="00736FEA">
        <w:t>e</w:t>
      </w:r>
      <w:r w:rsidR="00736FEA" w:rsidRPr="00BF5773">
        <w:t xml:space="preserve"> razglasitve epidemije</w:t>
      </w:r>
      <w:r w:rsidR="00736FEA">
        <w:t>, in sicer o</w:t>
      </w:r>
      <w:r w:rsidR="00736FEA" w:rsidRPr="00BF5773">
        <w:t>dlog obveznosti poslovodstva, da vloži predlog za začetek prisilne poravnave ali stečaja</w:t>
      </w:r>
      <w:r w:rsidR="00736FEA">
        <w:t xml:space="preserve"> in p</w:t>
      </w:r>
      <w:r w:rsidR="00736FEA" w:rsidRPr="00BF5773">
        <w:t>odaljšanje roka, za katerega lahko sodišče odloži odločanje o upnikovem predlogu za začetek stečaja na 4 mesece</w:t>
      </w:r>
      <w:r w:rsidR="00736FEA">
        <w:t>.</w:t>
      </w:r>
    </w:p>
    <w:p w14:paraId="09EA9BF1" w14:textId="77777777" w:rsidR="00532210" w:rsidRPr="004D5B74" w:rsidRDefault="00532210" w:rsidP="00532210">
      <w:pPr>
        <w:pStyle w:val="BesediloNAPOVED"/>
        <w:rPr>
          <w:b/>
          <w:bCs/>
          <w:highlight w:val="yellow"/>
        </w:rPr>
      </w:pPr>
    </w:p>
    <w:p w14:paraId="0F7A7142" w14:textId="77777777" w:rsidR="00960AAA" w:rsidRDefault="00960AAA" w:rsidP="00960AAA">
      <w:pPr>
        <w:pStyle w:val="BesediloNAPOVED"/>
        <w:rPr>
          <w:highlight w:val="yellow"/>
        </w:rPr>
      </w:pPr>
      <w:bookmarkStart w:id="17" w:name="_Hlk80203237"/>
      <w:r>
        <w:rPr>
          <w:b/>
          <w:bCs/>
        </w:rPr>
        <w:t xml:space="preserve">Na ravni EU so bili sprejeti obsežni ukrepi za omejitev negativnih posledic in okrevanje gospodarstev po krizi. </w:t>
      </w:r>
      <w:r>
        <w:t xml:space="preserve">Za blažitev posledic pandemije novega </w:t>
      </w:r>
      <w:proofErr w:type="spellStart"/>
      <w:r>
        <w:t>koronavirusa</w:t>
      </w:r>
      <w:proofErr w:type="spellEnd"/>
      <w:r>
        <w:t xml:space="preserve"> Evropska komisija omogoča Sloveniji in drugim državam EU fleksibilnost pri porabi sredstev iz tekočega večletnega finančnega okvira</w:t>
      </w:r>
      <w:r>
        <w:rPr>
          <w:vertAlign w:val="superscript"/>
        </w:rPr>
        <w:footnoteReference w:id="18"/>
      </w:r>
      <w:r>
        <w:t xml:space="preserve"> in državnih pomočeh. Dodatno so bila zagotovljena sredstva, namenjena neposredno odzivu na krizo COVID-19, in sredstva v obliki solidarnostnega sklada EU. To državam omogoča hiter odziv na poslabšane socialno-ekonomske razmere zaradi epidemije. Že v začetnih mesecih epidemije je bil sprejet tudi fiskalni sveženj v vrednosti 540 mrd EUR (3,9 % BDP EU iz leta 2019), ki je namenjen okrevanju gospodarstev.</w:t>
      </w:r>
      <w:r>
        <w:rPr>
          <w:vertAlign w:val="superscript"/>
        </w:rPr>
        <w:footnoteReference w:id="19"/>
      </w:r>
      <w:r>
        <w:t xml:space="preserve"> Države EU so konec julija dosegle politični dogovor glede finančnega paketa za okrevanje evropskega gospodarstva zaradi posledic COVID-19. Sveženj v skupni vrednosti 1.824,3 mrd EUR (dobrih 13 % BDP EU iz leta 2019) je sestavljen iz klasičnega večletnega finančnega okvira za obdobje 2021</w:t>
      </w:r>
      <w:bookmarkStart w:id="18" w:name="_Hlk66697624"/>
      <w:r>
        <w:t>–</w:t>
      </w:r>
      <w:bookmarkEnd w:id="18"/>
      <w:r>
        <w:t xml:space="preserve">27, katerega predvideni skupni obseg je 1.074,3 mrd EUR, in izrednega instrumenta za okrevanje »Naslednja generacija EU« (NGEU) v vrednosti 750 mrd EUR (390 mrd nepovratnih sredstev in 360 mrd posojil). Načrti držav članic glede mehanizma za okrevanje in odpornost, ki je ključen element instrumenta NGEU, so trenutno v procesu potrjevanja na </w:t>
      </w:r>
      <w:r>
        <w:lastRenderedPageBreak/>
        <w:t>ravni EU</w:t>
      </w:r>
      <w:r>
        <w:rPr>
          <w:rStyle w:val="FootnoteReference"/>
        </w:rPr>
        <w:footnoteReference w:id="20"/>
      </w:r>
      <w:r>
        <w:t xml:space="preserve"> Sredstva za njegovo financiranje bo Evropska komisija pridobila z zadolževanjem na </w:t>
      </w:r>
      <w:proofErr w:type="spellStart"/>
      <w:r>
        <w:t>obvezniških</w:t>
      </w:r>
      <w:proofErr w:type="spellEnd"/>
      <w:r>
        <w:t xml:space="preserve"> trgih. Unija si bo prizadevala uvesti tudi nove vire lastnih sredstev.</w:t>
      </w:r>
      <w:r>
        <w:rPr>
          <w:vertAlign w:val="superscript"/>
        </w:rPr>
        <w:footnoteReference w:id="21"/>
      </w:r>
      <w:r>
        <w:t xml:space="preserve"> Sloveniji je iz naslova izrednega instrumenta, glede na predstavljene projekte, namenjeno 2,098 mrd EUR nepovratnih in 666 mio EUR povratnih sredstev (z možnostjo dodatnega zadolževanja).</w:t>
      </w:r>
      <w:r>
        <w:rPr>
          <w:vertAlign w:val="superscript"/>
        </w:rPr>
        <w:footnoteReference w:id="22"/>
      </w:r>
      <w:r>
        <w:t xml:space="preserve"> Do konca letošnjega leta se pričakuje </w:t>
      </w:r>
      <w:proofErr w:type="spellStart"/>
      <w:r>
        <w:t>predfinanciranje</w:t>
      </w:r>
      <w:proofErr w:type="spellEnd"/>
      <w:r>
        <w:t xml:space="preserve"> iz naslova mehanizma za okrevanje in odpornost v višini 13 % celotne pomoči. </w:t>
      </w:r>
      <w:bookmarkEnd w:id="17"/>
    </w:p>
    <w:p w14:paraId="6A66F019" w14:textId="77777777" w:rsidR="00F201D3" w:rsidRPr="004D5B74" w:rsidRDefault="00F201D3" w:rsidP="00532210">
      <w:pPr>
        <w:pStyle w:val="BesediloNAPOVED"/>
        <w:rPr>
          <w:b/>
          <w:bCs/>
          <w:highlight w:val="yellow"/>
        </w:rPr>
      </w:pPr>
    </w:p>
    <w:p w14:paraId="49F0E500" w14:textId="64DF4A08" w:rsidR="00B72FDB" w:rsidRPr="004D5B74" w:rsidRDefault="00B72FDB" w:rsidP="00532210">
      <w:pPr>
        <w:pStyle w:val="BesediloNAPOVED"/>
        <w:rPr>
          <w:bCs/>
          <w:highlight w:val="yellow"/>
        </w:rPr>
      </w:pPr>
      <w:bookmarkStart w:id="19" w:name="_Hlk80203036"/>
      <w:r w:rsidRPr="00B72FDB">
        <w:rPr>
          <w:rStyle w:val="VodilnistavekBoldpoudarekNAPOVED"/>
        </w:rPr>
        <w:t>Podporne javnofinančne politike in zagotavljanje likvidnosti gospodarstva in prebivalstva prek poslovnih bank dopolnjuje monetarna politika ECB, ki v zadnjih mesecih zaradi ugodnih razmer ni uvajala dodatnih ukrepov.</w:t>
      </w:r>
      <w:r w:rsidRPr="00B72FDB">
        <w:rPr>
          <w:bCs/>
        </w:rPr>
        <w:t xml:space="preserve"> ECB bo pri v času epidemije sprejetih ukrepih vztrajala tako dolgo, dokler ne bo ocenila, da je kriza povezana z izbruhom epidemije končana. Izredni program nakupa vrednostnih papirjev ob epidemiji znaša 1.850 mrd, oziroma več kot 15</w:t>
      </w:r>
      <w:r w:rsidR="00B174BD">
        <w:t> </w:t>
      </w:r>
      <w:r w:rsidRPr="00B72FDB">
        <w:rPr>
          <w:bCs/>
        </w:rPr>
        <w:t xml:space="preserve">% BDP evrskega območja iz leta 2019. Veljavnost ukrepa pa je bila konec lanskega leta podaljšana vsaj do marca 2022. Zaradi zaostrovanja razmer na finančnih trgih v začetku leta se je ECB odločila, da bo v drugem četrtletju letos okrepila nakupe vrednostnih papirjev, skupni znesek nakupov v času veljavnosti ukrepa pa ostaja nespremenjen.  Poslovnim bankam je ohranila povečan obseg razpoložljivih posojil po izjemno nizkih obrestnih merah,  blažje kapitalske zahteve  z začetka krize in nižje standarde zavarovanja za financiranje pri </w:t>
      </w:r>
      <w:proofErr w:type="spellStart"/>
      <w:r w:rsidRPr="00B72FDB">
        <w:rPr>
          <w:bCs/>
        </w:rPr>
        <w:t>Evrosistemu</w:t>
      </w:r>
      <w:proofErr w:type="spellEnd"/>
      <w:r w:rsidRPr="00B72FDB">
        <w:rPr>
          <w:bCs/>
        </w:rPr>
        <w:t xml:space="preserve">. </w:t>
      </w:r>
      <w:r w:rsidR="00115372" w:rsidRPr="00115372">
        <w:rPr>
          <w:bCs/>
        </w:rPr>
        <w:t>Priporočilo, da banke do konca letošnjega septembra ne izplačujejo dividend, pa ni bil</w:t>
      </w:r>
      <w:r w:rsidR="00966C12">
        <w:rPr>
          <w:bCs/>
        </w:rPr>
        <w:t>o</w:t>
      </w:r>
      <w:r w:rsidR="00115372" w:rsidRPr="00115372">
        <w:rPr>
          <w:bCs/>
        </w:rPr>
        <w:t xml:space="preserve"> podaljšano. </w:t>
      </w:r>
      <w:r w:rsidRPr="00B72FDB">
        <w:rPr>
          <w:bCs/>
        </w:rPr>
        <w:t>Ukrepi ECB so v evrskem območju spodbudili banke h kreditni aktivnosti, zaradi česar se je kreditiranje podjetij na medletni ravni pospešilo</w:t>
      </w:r>
      <w:r>
        <w:rPr>
          <w:bCs/>
        </w:rPr>
        <w:t>,</w:t>
      </w:r>
      <w:r w:rsidRPr="00B72FDB">
        <w:rPr>
          <w:bCs/>
        </w:rPr>
        <w:t xml:space="preserve"> a se je rast v zadnjih mesecih zaradi višje osnove precej upočasnila</w:t>
      </w:r>
      <w:r w:rsidR="007053E6">
        <w:rPr>
          <w:bCs/>
        </w:rPr>
        <w:t xml:space="preserve">. V Sloveniji kreditiranje ostaja medletno nižje, vendar se </w:t>
      </w:r>
      <w:r w:rsidRPr="00B72FDB">
        <w:rPr>
          <w:bCs/>
        </w:rPr>
        <w:t xml:space="preserve">medletni padec postopoma </w:t>
      </w:r>
      <w:r w:rsidR="007053E6">
        <w:rPr>
          <w:bCs/>
        </w:rPr>
        <w:t>zmanjšuje</w:t>
      </w:r>
      <w:r w:rsidR="00C336DB">
        <w:rPr>
          <w:bCs/>
        </w:rPr>
        <w:t xml:space="preserve"> tudi zaradi nizke osnove</w:t>
      </w:r>
      <w:r w:rsidRPr="00B72FDB">
        <w:rPr>
          <w:bCs/>
        </w:rPr>
        <w:t xml:space="preserve">. Sredi leta je ECB sprejela novo strategijo denarne politike s katero je uvedla simetrični 2-odstotni inflacijski cilj, kar pomeni, da so odstopanja od cilja navzgor in navzdol enako nezaželena. Za doseganje inflacijskega cilja bo ECB še naprej uporabljala tako standardne, kot tudi nestandardne ukrepe, inflacija pa bo lahko določen čas odstopala od cilja. </w:t>
      </w:r>
    </w:p>
    <w:bookmarkEnd w:id="19"/>
    <w:p w14:paraId="5039411A" w14:textId="77777777" w:rsidR="00532210" w:rsidRPr="004D5B74" w:rsidRDefault="00532210" w:rsidP="00532210">
      <w:pPr>
        <w:pStyle w:val="BesediloNAPOVED"/>
        <w:rPr>
          <w:bCs/>
          <w:highlight w:val="yellow"/>
        </w:rPr>
      </w:pPr>
    </w:p>
    <w:p w14:paraId="3F8355B1" w14:textId="19DC381D" w:rsidR="00532210" w:rsidRPr="004D5B74" w:rsidRDefault="00532210" w:rsidP="00532210">
      <w:pPr>
        <w:pStyle w:val="BesediloNAPOVED"/>
        <w:rPr>
          <w:bCs/>
          <w:highlight w:val="yellow"/>
        </w:rPr>
      </w:pPr>
      <w:r w:rsidRPr="004D5B74">
        <w:rPr>
          <w:b/>
          <w:bCs/>
          <w:highlight w:val="yellow"/>
        </w:rPr>
        <w:t xml:space="preserve">Ukrepi, financirani iz domačih in EU virov, so v letu 2020 preprečili še večji upad gospodarske aktivnosti, v prihodnjih letih pa ostajajo ključnega pomena pri podpori za njen ponovni zagon in naslavljanje razvojnih izzivov. </w:t>
      </w:r>
      <w:r w:rsidRPr="004D5B74">
        <w:rPr>
          <w:bCs/>
          <w:highlight w:val="yellow"/>
        </w:rPr>
        <w:t>V obdobju od marca 2020 do februarja 2021 je bilo iz državnega proračuna izplačanih blizu 2,5 mrd EUR odhodkov za različne ukrepe gospodarstvu in prebivalcem ter za delovanje javnih storitev za zajezitev posledic epidemije COVID-19, kar znaša 5,4 % BDP iz lanskega leta. Ocenjujemo, da se velik del teh v januarju in delno tudi v februarju letos izvršenih izplačil obračunsko nanaša na leto 2020. Ukrepi so bili ključni pri preprečitvi še večjega upada gospodarske aktivnosti, in sicer za vsaj 4 odstotne točke.</w:t>
      </w:r>
      <w:r w:rsidRPr="004D5B74">
        <w:rPr>
          <w:bCs/>
          <w:highlight w:val="yellow"/>
          <w:vertAlign w:val="superscript"/>
        </w:rPr>
        <w:footnoteReference w:id="23"/>
      </w:r>
      <w:r w:rsidRPr="004D5B74">
        <w:rPr>
          <w:bCs/>
          <w:highlight w:val="yellow"/>
        </w:rPr>
        <w:t xml:space="preserve"> Poleg tega je bilo v skladu z interventno zakonodajo odobrenih odlogov, obročnih odplačil in neplačanih akontacij davkov za okoli 400 mio EUR. Prav tako so podporo gospodarstvu omogočili likvidnostni krediti (SID banka, SPS</w:t>
      </w:r>
      <w:r w:rsidRPr="004D5B74">
        <w:rPr>
          <w:bCs/>
          <w:highlight w:val="yellow"/>
          <w:vertAlign w:val="superscript"/>
        </w:rPr>
        <w:footnoteReference w:id="24"/>
      </w:r>
      <w:r w:rsidRPr="004D5B74">
        <w:rPr>
          <w:bCs/>
          <w:highlight w:val="yellow"/>
        </w:rPr>
        <w:t>) in poroštva. Skupen znesek vseh ukrepov je do februarja 2021 znašal 3,5 mrd EUR.</w:t>
      </w:r>
      <w:r w:rsidRPr="004D5B74">
        <w:rPr>
          <w:bCs/>
          <w:highlight w:val="yellow"/>
          <w:vertAlign w:val="superscript"/>
        </w:rPr>
        <w:footnoteReference w:id="25"/>
      </w:r>
      <w:r w:rsidRPr="004D5B74">
        <w:rPr>
          <w:bCs/>
          <w:highlight w:val="yellow"/>
        </w:rPr>
        <w:t xml:space="preserve"> Ohranjanje ciljno usmerjenih podpornih ukrepov v obdobju, ko številne dejavnosti zaradi ukrepov za zajezitev epidemije še ne morejo poslovati, poslujejo le v okrnjenem obsegu oz. po dolgem času </w:t>
      </w:r>
      <w:proofErr w:type="spellStart"/>
      <w:r w:rsidRPr="004D5B74">
        <w:rPr>
          <w:bCs/>
          <w:highlight w:val="yellow"/>
        </w:rPr>
        <w:t>neposlovanja</w:t>
      </w:r>
      <w:proofErr w:type="spellEnd"/>
      <w:r w:rsidRPr="004D5B74">
        <w:rPr>
          <w:bCs/>
          <w:highlight w:val="yellow"/>
        </w:rPr>
        <w:t xml:space="preserve"> pridobivajo prve tržne prihodke, pa </w:t>
      </w:r>
      <w:r w:rsidRPr="004D5B74">
        <w:rPr>
          <w:bCs/>
          <w:highlight w:val="yellow"/>
        </w:rPr>
        <w:lastRenderedPageBreak/>
        <w:t>je ključno tudi v zgodnjih fazah okrevanja, na kar opozarjajo mednarodne institucije (npr. OECD, EK). V Pomladanski napovedi smo upoštevali, da bodo k okrevanju BDP v letu 2021 prispevali ukrepi (odhodki obračunsko), ocenjeni na okoli 0,9 mrd EUR oz. 1,8 % predvidenega BDP (</w:t>
      </w:r>
      <w:r w:rsidRPr="004D5B74">
        <w:rPr>
          <w:bCs/>
          <w:highlight w:val="yellow"/>
        </w:rPr>
        <w:fldChar w:fldCharType="begin"/>
      </w:r>
      <w:r w:rsidRPr="004D5B74">
        <w:rPr>
          <w:bCs/>
          <w:highlight w:val="yellow"/>
        </w:rPr>
        <w:instrText xml:space="preserve"> REF _Ref50446611 \h  \* MERGEFORMAT </w:instrText>
      </w:r>
      <w:r w:rsidRPr="004D5B74">
        <w:rPr>
          <w:bCs/>
          <w:highlight w:val="yellow"/>
        </w:rPr>
      </w:r>
      <w:r w:rsidRPr="004D5B74">
        <w:rPr>
          <w:bCs/>
          <w:highlight w:val="yellow"/>
        </w:rPr>
        <w:fldChar w:fldCharType="separate"/>
      </w:r>
      <w:r w:rsidR="00D224DD" w:rsidRPr="00D224DD">
        <w:rPr>
          <w:bCs/>
          <w:highlight w:val="yellow"/>
        </w:rPr>
        <w:t>Slika 6</w:t>
      </w:r>
      <w:r w:rsidRPr="004D5B74">
        <w:rPr>
          <w:bCs/>
          <w:highlight w:val="yellow"/>
        </w:rPr>
        <w:fldChar w:fldCharType="end"/>
      </w:r>
      <w:r w:rsidRPr="004D5B74">
        <w:rPr>
          <w:bCs/>
          <w:highlight w:val="yellow"/>
        </w:rPr>
        <w:t>), financirani iz domačih in EU virov. Manjši obseg kot lani pa pričakujemo tudi pri odobritvah odlogov in obročnih plačilih davčnih obveznosti. Na pričakovano okrevanje gospodarstva, podprto z visoko investicijsko aktivnostjo države, bo vplivalo tudi zaključevanje tekoče finančne perspektive črpanja sredstev EU (do leta 2023). Predpostavljamo, da bo financiranje projektov, zlasti v prihodnjih letih, podprto tudi z viri novega instrumenta »Nova generacija EU« oz. Sklada za okrevanje in krepitev odpornosti.</w:t>
      </w:r>
      <w:r w:rsidRPr="004D5B74">
        <w:rPr>
          <w:bCs/>
          <w:highlight w:val="yellow"/>
          <w:vertAlign w:val="superscript"/>
        </w:rPr>
        <w:footnoteReference w:id="26"/>
      </w:r>
    </w:p>
    <w:p w14:paraId="0F7AB163" w14:textId="2E403BE3" w:rsidR="00D446DE" w:rsidRPr="004D5B74" w:rsidRDefault="00D446DE" w:rsidP="002E77B7">
      <w:pPr>
        <w:pStyle w:val="BesediloNAPOVED"/>
        <w:rPr>
          <w:bCs/>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5C103D" w:rsidRPr="005C103D" w14:paraId="451C7B78" w14:textId="77777777" w:rsidTr="008E1A99">
        <w:tc>
          <w:tcPr>
            <w:tcW w:w="4530" w:type="dxa"/>
          </w:tcPr>
          <w:p w14:paraId="5FD206D6" w14:textId="69203E04" w:rsidR="005C103D" w:rsidRPr="004D5B74" w:rsidRDefault="005C103D" w:rsidP="00716592">
            <w:pPr>
              <w:pStyle w:val="Caption"/>
              <w:rPr>
                <w:highlight w:val="yellow"/>
              </w:rPr>
            </w:pPr>
            <w:r w:rsidRPr="004D5B74">
              <w:rPr>
                <w:highlight w:val="yellow"/>
              </w:rPr>
              <w:t xml:space="preserve">Slika </w:t>
            </w:r>
            <w:r w:rsidRPr="004D5B74">
              <w:rPr>
                <w:highlight w:val="yellow"/>
              </w:rPr>
              <w:fldChar w:fldCharType="begin"/>
            </w:r>
            <w:r w:rsidRPr="004D5B74">
              <w:rPr>
                <w:highlight w:val="yellow"/>
              </w:rPr>
              <w:instrText xml:space="preserve"> SEQ Slika \* ARABIC </w:instrText>
            </w:r>
            <w:r w:rsidRPr="004D5B74">
              <w:rPr>
                <w:highlight w:val="yellow"/>
              </w:rPr>
              <w:fldChar w:fldCharType="separate"/>
            </w:r>
            <w:r w:rsidR="00D224DD">
              <w:rPr>
                <w:highlight w:val="yellow"/>
              </w:rPr>
              <w:t>5</w:t>
            </w:r>
            <w:r w:rsidRPr="004D5B74">
              <w:rPr>
                <w:highlight w:val="yellow"/>
              </w:rPr>
              <w:fldChar w:fldCharType="end"/>
            </w:r>
            <w:r w:rsidRPr="004D5B74">
              <w:rPr>
                <w:highlight w:val="yellow"/>
              </w:rPr>
              <w:t xml:space="preserve">: </w:t>
            </w:r>
            <w:r w:rsidR="00CB6568" w:rsidRPr="004D5B74">
              <w:rPr>
                <w:highlight w:val="yellow"/>
              </w:rPr>
              <w:t xml:space="preserve">Kreditiranje podjetij v EMU se je pospešilo in </w:t>
            </w:r>
            <w:r w:rsidR="00497F64" w:rsidRPr="004D5B74">
              <w:rPr>
                <w:highlight w:val="yellow"/>
              </w:rPr>
              <w:t xml:space="preserve">se ohranja </w:t>
            </w:r>
            <w:r w:rsidR="00CB6568" w:rsidRPr="004D5B74">
              <w:rPr>
                <w:highlight w:val="yellow"/>
              </w:rPr>
              <w:t xml:space="preserve">na </w:t>
            </w:r>
            <w:r w:rsidR="00497F64" w:rsidRPr="004D5B74">
              <w:rPr>
                <w:highlight w:val="yellow"/>
              </w:rPr>
              <w:t>doseženih</w:t>
            </w:r>
            <w:r w:rsidR="00CB6568" w:rsidRPr="004D5B74">
              <w:rPr>
                <w:highlight w:val="yellow"/>
              </w:rPr>
              <w:t xml:space="preserve"> ravneh tudi zaradi ukrepov ECB, v Sloveniji pa </w:t>
            </w:r>
            <w:r w:rsidR="00C1457C" w:rsidRPr="004D5B74">
              <w:rPr>
                <w:highlight w:val="yellow"/>
              </w:rPr>
              <w:t>ostaja nižje kot pred letom</w:t>
            </w:r>
          </w:p>
          <w:p w14:paraId="09CCC270" w14:textId="77777777" w:rsidR="00C939EB" w:rsidRPr="004D5B74" w:rsidRDefault="00C939EB" w:rsidP="00716592">
            <w:pPr>
              <w:pStyle w:val="Caption"/>
              <w:rPr>
                <w:highlight w:val="yellow"/>
              </w:rPr>
            </w:pPr>
          </w:p>
          <w:p w14:paraId="175D365B" w14:textId="703DB3FB" w:rsidR="005C103D" w:rsidRPr="004D5B74" w:rsidRDefault="004E076C" w:rsidP="00716592">
            <w:pPr>
              <w:pStyle w:val="Caption"/>
              <w:rPr>
                <w:highlight w:val="yellow"/>
              </w:rPr>
            </w:pPr>
            <w:r w:rsidRPr="004D5B74">
              <w:rPr>
                <w:highlight w:val="yellow"/>
              </w:rPr>
              <w:drawing>
                <wp:inline distT="0" distB="0" distL="0" distR="0" wp14:anchorId="6794FC7E" wp14:editId="1518B753">
                  <wp:extent cx="2734310" cy="2358390"/>
                  <wp:effectExtent l="0" t="0" r="889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4310" cy="2358390"/>
                          </a:xfrm>
                          <a:prstGeom prst="rect">
                            <a:avLst/>
                          </a:prstGeom>
                          <a:noFill/>
                          <a:ln>
                            <a:noFill/>
                          </a:ln>
                        </pic:spPr>
                      </pic:pic>
                    </a:graphicData>
                  </a:graphic>
                </wp:inline>
              </w:drawing>
            </w:r>
          </w:p>
          <w:p w14:paraId="6DFB0923" w14:textId="77777777" w:rsidR="005C103D" w:rsidRPr="004D5B74" w:rsidRDefault="005C103D" w:rsidP="00716592">
            <w:pPr>
              <w:pStyle w:val="Caption"/>
              <w:rPr>
                <w:highlight w:val="yellow"/>
              </w:rPr>
            </w:pPr>
          </w:p>
        </w:tc>
        <w:tc>
          <w:tcPr>
            <w:tcW w:w="4530" w:type="dxa"/>
          </w:tcPr>
          <w:p w14:paraId="529A79E0" w14:textId="7581B064" w:rsidR="005C103D" w:rsidRPr="00BB32D6" w:rsidRDefault="005C103D" w:rsidP="00716592">
            <w:pPr>
              <w:pStyle w:val="Caption"/>
              <w:rPr>
                <w:color w:val="000000" w:themeColor="text1"/>
              </w:rPr>
            </w:pPr>
            <w:bookmarkStart w:id="20" w:name="_Ref50446611"/>
            <w:r w:rsidRPr="00BB32D6">
              <w:t xml:space="preserve">Slika </w:t>
            </w:r>
            <w:r w:rsidRPr="00BB32D6">
              <w:fldChar w:fldCharType="begin"/>
            </w:r>
            <w:r w:rsidRPr="00BB32D6">
              <w:instrText xml:space="preserve"> SEQ Slika \* ARABIC </w:instrText>
            </w:r>
            <w:r w:rsidRPr="00BB32D6">
              <w:fldChar w:fldCharType="separate"/>
            </w:r>
            <w:r w:rsidR="00D224DD" w:rsidRPr="00BB32D6">
              <w:t>6</w:t>
            </w:r>
            <w:r w:rsidRPr="00BB32D6">
              <w:fldChar w:fldCharType="end"/>
            </w:r>
            <w:bookmarkEnd w:id="20"/>
            <w:r w:rsidRPr="00BB32D6">
              <w:t>: Ocena</w:t>
            </w:r>
            <w:r w:rsidR="00DA6C9C" w:rsidRPr="00BB32D6">
              <w:t xml:space="preserve"> obsega</w:t>
            </w:r>
            <w:r w:rsidRPr="00BB32D6">
              <w:t xml:space="preserve"> ukrepov</w:t>
            </w:r>
            <w:r w:rsidR="008940FB" w:rsidRPr="00BB32D6">
              <w:t xml:space="preserve"> (odhodkov)</w:t>
            </w:r>
            <w:r w:rsidRPr="00BB32D6">
              <w:t xml:space="preserve"> za blaženje epidemije </w:t>
            </w:r>
            <w:r w:rsidRPr="00BB32D6">
              <w:rPr>
                <w:color w:val="000000" w:themeColor="text1"/>
              </w:rPr>
              <w:t>COVID-19</w:t>
            </w:r>
            <w:r w:rsidR="00B77F77" w:rsidRPr="00BB32D6">
              <w:rPr>
                <w:color w:val="000000" w:themeColor="text1"/>
              </w:rPr>
              <w:t xml:space="preserve"> in podporo okrevanju</w:t>
            </w:r>
          </w:p>
          <w:p w14:paraId="0B427173" w14:textId="4019ED23" w:rsidR="005C103D" w:rsidRPr="004D5B74" w:rsidRDefault="005C103D" w:rsidP="00716592">
            <w:pPr>
              <w:pStyle w:val="Caption"/>
              <w:rPr>
                <w:color w:val="000000" w:themeColor="text1"/>
                <w:highlight w:val="yellow"/>
              </w:rPr>
            </w:pPr>
          </w:p>
          <w:p w14:paraId="0F0711E9" w14:textId="42EE096B" w:rsidR="005C103D" w:rsidRPr="004D5B74" w:rsidRDefault="005C103D" w:rsidP="00716592">
            <w:pPr>
              <w:pStyle w:val="Caption"/>
              <w:rPr>
                <w:color w:val="000000" w:themeColor="text1"/>
                <w:highlight w:val="yellow"/>
              </w:rPr>
            </w:pPr>
          </w:p>
          <w:p w14:paraId="6973DEF5" w14:textId="77777777" w:rsidR="00B77F77" w:rsidRPr="004D5B74" w:rsidRDefault="00B77F77" w:rsidP="00716592">
            <w:pPr>
              <w:pStyle w:val="Caption"/>
              <w:rPr>
                <w:highlight w:val="yellow"/>
              </w:rPr>
            </w:pPr>
          </w:p>
          <w:p w14:paraId="1D46D5EA" w14:textId="507389F2" w:rsidR="005C103D" w:rsidRPr="005C103D" w:rsidRDefault="008940FB" w:rsidP="00716592">
            <w:pPr>
              <w:pStyle w:val="Caption"/>
            </w:pPr>
            <w:r w:rsidRPr="004D5B74">
              <w:rPr>
                <w:highlight w:val="yellow"/>
              </w:rPr>
              <w:drawing>
                <wp:inline distT="0" distB="0" distL="0" distR="0" wp14:anchorId="01DE4AF8" wp14:editId="3386ABA4">
                  <wp:extent cx="2734945" cy="2242185"/>
                  <wp:effectExtent l="0" t="0" r="8255" b="571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p w14:paraId="41892350" w14:textId="77777777" w:rsidR="005C103D" w:rsidRPr="005C103D" w:rsidRDefault="005C103D" w:rsidP="00716592">
            <w:pPr>
              <w:pStyle w:val="Caption"/>
            </w:pPr>
          </w:p>
        </w:tc>
      </w:tr>
    </w:tbl>
    <w:p w14:paraId="359E80B8" w14:textId="77777777" w:rsidR="00CB6568" w:rsidRDefault="00CB6568" w:rsidP="002E77B7">
      <w:pPr>
        <w:pStyle w:val="BesediloNAPOVED"/>
        <w:rPr>
          <w:bCs/>
        </w:rPr>
      </w:pPr>
    </w:p>
    <w:p w14:paraId="790DA4FE" w14:textId="05923C57" w:rsidR="001B44DC" w:rsidRPr="00767446" w:rsidRDefault="001B44DC" w:rsidP="00E66CFD">
      <w:pPr>
        <w:pStyle w:val="BesediloNAPOVED"/>
      </w:pPr>
      <w:r w:rsidRPr="00767446">
        <w:br w:type="page"/>
      </w:r>
    </w:p>
    <w:p w14:paraId="1E3F58F7" w14:textId="1C54E9EE" w:rsidR="001B44DC" w:rsidRDefault="00F47D63" w:rsidP="001B44DC">
      <w:pPr>
        <w:pStyle w:val="Heading1"/>
      </w:pPr>
      <w:bookmarkStart w:id="21" w:name="_Toc81050595"/>
      <w:r>
        <w:lastRenderedPageBreak/>
        <w:t>Pomladanska</w:t>
      </w:r>
      <w:r w:rsidR="001B44DC" w:rsidRPr="00767446">
        <w:t xml:space="preserve"> napoved</w:t>
      </w:r>
      <w:r>
        <w:t xml:space="preserve"> gospodarskih gibanj v Sloveniji</w:t>
      </w:r>
      <w:bookmarkEnd w:id="21"/>
    </w:p>
    <w:p w14:paraId="009F1D9E" w14:textId="77777777" w:rsidR="007B2F6E" w:rsidRPr="007B2F6E" w:rsidRDefault="007B2F6E" w:rsidP="007B2F6E">
      <w:pPr>
        <w:pStyle w:val="BesediloNAPOVED"/>
      </w:pPr>
    </w:p>
    <w:p w14:paraId="4A9CE35F" w14:textId="104F9727" w:rsidR="0049100C" w:rsidRDefault="002F63C1" w:rsidP="0049100C">
      <w:pPr>
        <w:pStyle w:val="BesediloNAPOVED"/>
        <w:rPr>
          <w:bCs/>
        </w:rPr>
      </w:pPr>
      <w:r w:rsidRPr="003D0A96">
        <w:rPr>
          <w:b/>
        </w:rPr>
        <w:t>Po</w:t>
      </w:r>
      <w:r w:rsidR="0049100C" w:rsidRPr="003D0A96">
        <w:rPr>
          <w:b/>
        </w:rPr>
        <w:t xml:space="preserve"> globokem lanskem upadu letos predvidevamo </w:t>
      </w:r>
      <w:r w:rsidR="00097A6B" w:rsidRPr="003D0A96">
        <w:rPr>
          <w:b/>
        </w:rPr>
        <w:t>5</w:t>
      </w:r>
      <w:r w:rsidR="00DF2A7A">
        <w:rPr>
          <w:b/>
        </w:rPr>
        <w:t>,9</w:t>
      </w:r>
      <w:r w:rsidR="0049100C" w:rsidRPr="003D0A96">
        <w:rPr>
          <w:b/>
        </w:rPr>
        <w:t xml:space="preserve">-odstotno rast BDP, </w:t>
      </w:r>
      <w:r w:rsidR="00BB0CE8">
        <w:rPr>
          <w:b/>
        </w:rPr>
        <w:t>naslednje leto se bo umirila na 5,2</w:t>
      </w:r>
      <w:r w:rsidR="00BB0CE8">
        <w:rPr>
          <w:bCs/>
        </w:rPr>
        <w:t> </w:t>
      </w:r>
      <w:r w:rsidR="00BB0CE8">
        <w:rPr>
          <w:b/>
        </w:rPr>
        <w:t>%</w:t>
      </w:r>
      <w:r w:rsidR="00147CE2">
        <w:rPr>
          <w:b/>
        </w:rPr>
        <w:t>, le</w:t>
      </w:r>
      <w:r w:rsidR="0049100C" w:rsidRPr="003D0A96">
        <w:rPr>
          <w:b/>
        </w:rPr>
        <w:t xml:space="preserve">ta 2023 pa </w:t>
      </w:r>
      <w:r w:rsidR="00147CE2">
        <w:rPr>
          <w:b/>
        </w:rPr>
        <w:t>na 3,4</w:t>
      </w:r>
      <w:r w:rsidR="00147CE2">
        <w:rPr>
          <w:bCs/>
        </w:rPr>
        <w:t> </w:t>
      </w:r>
      <w:r w:rsidR="00147CE2">
        <w:rPr>
          <w:b/>
        </w:rPr>
        <w:t>%</w:t>
      </w:r>
      <w:r w:rsidR="0049100C" w:rsidRPr="003D0A96">
        <w:rPr>
          <w:b/>
        </w:rPr>
        <w:t xml:space="preserve">. </w:t>
      </w:r>
      <w:bookmarkStart w:id="22" w:name="_Hlk66787510"/>
      <w:r w:rsidR="0049100C" w:rsidRPr="003D0A96">
        <w:rPr>
          <w:bCs/>
        </w:rPr>
        <w:t>Gospodarska aktivnost se je lani zmanjšala za 5,5</w:t>
      </w:r>
      <w:r w:rsidR="00BB0CE8">
        <w:rPr>
          <w:bCs/>
        </w:rPr>
        <w:t> </w:t>
      </w:r>
      <w:r w:rsidR="0049100C" w:rsidRPr="003D0A96">
        <w:rPr>
          <w:bCs/>
        </w:rPr>
        <w:t>%. Po močnem upadu v lanskem drugem četrtletju</w:t>
      </w:r>
      <w:r w:rsidR="002F3428">
        <w:rPr>
          <w:bCs/>
        </w:rPr>
        <w:t xml:space="preserve"> je sledilo ponovno poslabšanje epidemiološke situacije in ponovna uvedba </w:t>
      </w:r>
      <w:r w:rsidR="002F3428" w:rsidRPr="00A107C6">
        <w:rPr>
          <w:bCs/>
        </w:rPr>
        <w:t>zaščitnih in omejitvenih ukrepov</w:t>
      </w:r>
      <w:r w:rsidR="002F3428">
        <w:rPr>
          <w:bCs/>
        </w:rPr>
        <w:t xml:space="preserve"> v zadnjem četrtletju, ki so omogočili ali omejili delovanje nekaterih storitvenih dejavnosti, medtem ko so </w:t>
      </w:r>
      <w:r w:rsidR="002F3428" w:rsidRPr="003D0A96">
        <w:rPr>
          <w:bCs/>
        </w:rPr>
        <w:t>predvsem</w:t>
      </w:r>
      <w:r w:rsidR="002F3428" w:rsidRPr="00A107C6">
        <w:rPr>
          <w:bCs/>
        </w:rPr>
        <w:t xml:space="preserve"> dejavnosti, vpete v mednarodno menjavo (predelovalne dejavnosti in promet), in gradbeništvo</w:t>
      </w:r>
      <w:r w:rsidR="002F3428">
        <w:rPr>
          <w:bCs/>
        </w:rPr>
        <w:t xml:space="preserve"> lahko nadaljevale svoje okrevanje. </w:t>
      </w:r>
      <w:bookmarkEnd w:id="22"/>
      <w:r w:rsidR="002F3428">
        <w:rPr>
          <w:bCs/>
        </w:rPr>
        <w:t xml:space="preserve">Okrevanje slednjih se nadaljuje tudi letos z izjemo gradbeništva, kjer se je aktivnost </w:t>
      </w:r>
      <w:r w:rsidR="00147CE2">
        <w:rPr>
          <w:bCs/>
        </w:rPr>
        <w:t xml:space="preserve">v prvem polletju </w:t>
      </w:r>
      <w:r w:rsidR="002F3428">
        <w:rPr>
          <w:bCs/>
        </w:rPr>
        <w:t xml:space="preserve">četrtletno zmanjšala dvakrat zapored </w:t>
      </w:r>
      <w:r w:rsidR="002F3428">
        <w:t xml:space="preserve">predvsem </w:t>
      </w:r>
      <w:r w:rsidR="002F3428" w:rsidRPr="00D92479">
        <w:t xml:space="preserve">zaradi manjše gradnje </w:t>
      </w:r>
      <w:proofErr w:type="spellStart"/>
      <w:r w:rsidR="002F3428" w:rsidRPr="00D92479">
        <w:t>nestanovanjskih</w:t>
      </w:r>
      <w:proofErr w:type="spellEnd"/>
      <w:r w:rsidR="002F3428" w:rsidRPr="00D92479">
        <w:t xml:space="preserve"> stavb </w:t>
      </w:r>
      <w:r w:rsidR="002F3428">
        <w:t xml:space="preserve">in </w:t>
      </w:r>
      <w:r w:rsidR="002F3428" w:rsidRPr="00D92479">
        <w:t>tudi težav pri dobavi in s cenami materialov.</w:t>
      </w:r>
      <w:r w:rsidR="002F3428">
        <w:t xml:space="preserve"> Prav tako nadalje ras</w:t>
      </w:r>
      <w:r w:rsidR="00C53F1F">
        <w:t>tejo</w:t>
      </w:r>
      <w:r w:rsidR="002F3428">
        <w:t xml:space="preserve"> investicije ter uvoz in izvoz. </w:t>
      </w:r>
      <w:r w:rsidR="00C53F1F">
        <w:t xml:space="preserve">Od začetka letošnjega leta se postopno sproščajo </w:t>
      </w:r>
      <w:r w:rsidR="00C53F1F">
        <w:rPr>
          <w:bCs/>
        </w:rPr>
        <w:t xml:space="preserve">omejitveni ukrepi, </w:t>
      </w:r>
      <w:r w:rsidR="00D23826">
        <w:rPr>
          <w:bCs/>
        </w:rPr>
        <w:t xml:space="preserve">kar je vplivalo na to, da  je bila prodaja </w:t>
      </w:r>
      <w:r w:rsidR="00D23826" w:rsidRPr="006668DC">
        <w:rPr>
          <w:bCs/>
        </w:rPr>
        <w:t xml:space="preserve">v trgovini, ki se je večinoma sprostila že februarja, prvič </w:t>
      </w:r>
      <w:r w:rsidR="00277199">
        <w:rPr>
          <w:bCs/>
        </w:rPr>
        <w:t xml:space="preserve">od začetka epidemije </w:t>
      </w:r>
      <w:r w:rsidR="00D23826" w:rsidRPr="006668DC">
        <w:rPr>
          <w:bCs/>
        </w:rPr>
        <w:t>višja kot pred letom</w:t>
      </w:r>
      <w:r w:rsidR="00D23826">
        <w:rPr>
          <w:bCs/>
        </w:rPr>
        <w:t>. V</w:t>
      </w:r>
      <w:r w:rsidR="00D23826" w:rsidRPr="00D23826">
        <w:rPr>
          <w:bCs/>
        </w:rPr>
        <w:t xml:space="preserve"> drugi polovici drugega četrtletja</w:t>
      </w:r>
      <w:r w:rsidR="00D23826">
        <w:rPr>
          <w:bCs/>
        </w:rPr>
        <w:t xml:space="preserve"> pa se je</w:t>
      </w:r>
      <w:r w:rsidR="00D23826" w:rsidRPr="00D23826">
        <w:rPr>
          <w:bCs/>
        </w:rPr>
        <w:t xml:space="preserve"> izboljšalo poslovanje tudi v gostinskih in nastanitvenih storitvah, igralništvu ter v športnih, kulturnih, razvedrilnih in osebnih dejavnosti.</w:t>
      </w:r>
      <w:r w:rsidR="00277199">
        <w:rPr>
          <w:bCs/>
        </w:rPr>
        <w:t xml:space="preserve"> To je skladno z okrevanjem zasebne potrošnje, ki je v drugem četrtletju </w:t>
      </w:r>
      <w:r w:rsidR="00C12C72">
        <w:rPr>
          <w:bCs/>
        </w:rPr>
        <w:t xml:space="preserve">(sicer tudi zaradi nizke lanske osnove) </w:t>
      </w:r>
      <w:r w:rsidR="00277199">
        <w:rPr>
          <w:bCs/>
        </w:rPr>
        <w:t xml:space="preserve">ponovno začela medletno rasti. </w:t>
      </w:r>
      <w:r w:rsidR="00830689" w:rsidRPr="00830689">
        <w:rPr>
          <w:bCs/>
        </w:rPr>
        <w:t>Na podlagi razpoložljivih podatkov ocenjujemo, da se je poleti nadaljevala rast dejavnosti, vpetih v mednarodno menjavo, prav tako se je ob nadaljnjem sproščanju omejitvenih ukrepov ob pogoju PCT nadaljevalo tudi okrevanje v storitvah in zasebni potrošnji, kar bo pozitivno vplivalo na rast skupne gospodarske aktivnosti.</w:t>
      </w:r>
      <w:r w:rsidR="00830689">
        <w:rPr>
          <w:bCs/>
        </w:rPr>
        <w:t xml:space="preserve"> </w:t>
      </w:r>
      <w:r w:rsidR="000C2218">
        <w:rPr>
          <w:bCs/>
        </w:rPr>
        <w:t xml:space="preserve">Na nadaljnjo rast storitvenih dejavnosti </w:t>
      </w:r>
      <w:r w:rsidR="00C53F1F">
        <w:rPr>
          <w:bCs/>
        </w:rPr>
        <w:t xml:space="preserve">pa </w:t>
      </w:r>
      <w:r w:rsidR="00920042">
        <w:rPr>
          <w:bCs/>
        </w:rPr>
        <w:t xml:space="preserve">je </w:t>
      </w:r>
      <w:r w:rsidR="000C2218">
        <w:rPr>
          <w:bCs/>
        </w:rPr>
        <w:t>vplival</w:t>
      </w:r>
      <w:r w:rsidR="00920042">
        <w:rPr>
          <w:bCs/>
        </w:rPr>
        <w:t>o</w:t>
      </w:r>
      <w:r w:rsidR="000C2218">
        <w:rPr>
          <w:bCs/>
        </w:rPr>
        <w:t xml:space="preserve"> tudi</w:t>
      </w:r>
      <w:r w:rsidR="00920042">
        <w:rPr>
          <w:bCs/>
        </w:rPr>
        <w:t xml:space="preserve"> unovčenje</w:t>
      </w:r>
      <w:r w:rsidR="000C2218">
        <w:rPr>
          <w:bCs/>
        </w:rPr>
        <w:t xml:space="preserve"> lanski</w:t>
      </w:r>
      <w:r w:rsidR="00920042">
        <w:rPr>
          <w:bCs/>
        </w:rPr>
        <w:t>h</w:t>
      </w:r>
      <w:r w:rsidR="000C2218">
        <w:rPr>
          <w:bCs/>
        </w:rPr>
        <w:t xml:space="preserve"> in letošnji</w:t>
      </w:r>
      <w:r w:rsidR="00920042">
        <w:rPr>
          <w:bCs/>
        </w:rPr>
        <w:t>h</w:t>
      </w:r>
      <w:r w:rsidR="000C2218">
        <w:rPr>
          <w:bCs/>
        </w:rPr>
        <w:t xml:space="preserve"> turistični</w:t>
      </w:r>
      <w:r w:rsidR="00920042">
        <w:rPr>
          <w:bCs/>
        </w:rPr>
        <w:t>h</w:t>
      </w:r>
      <w:r w:rsidR="000C2218">
        <w:rPr>
          <w:bCs/>
        </w:rPr>
        <w:t xml:space="preserve"> bon</w:t>
      </w:r>
      <w:r w:rsidR="00920042">
        <w:rPr>
          <w:bCs/>
        </w:rPr>
        <w:t>ov</w:t>
      </w:r>
      <w:r w:rsidR="000C2218">
        <w:rPr>
          <w:bCs/>
        </w:rPr>
        <w:t xml:space="preserve">. </w:t>
      </w:r>
      <w:r w:rsidR="00953DE0">
        <w:rPr>
          <w:bCs/>
        </w:rPr>
        <w:t xml:space="preserve">Predvidevamo, da se bo rast v zadnjem četrtletju umirila, saj </w:t>
      </w:r>
      <w:r w:rsidR="00937CBB">
        <w:rPr>
          <w:bCs/>
        </w:rPr>
        <w:t xml:space="preserve">bi sezonska komponenta ob prisotnosti virusa lahko poleg že obstoječih omejitev (npr. pogoj PCT) prinesla še previdnejše </w:t>
      </w:r>
      <w:r w:rsidR="00937CBB">
        <w:t>(</w:t>
      </w:r>
      <w:proofErr w:type="spellStart"/>
      <w:r w:rsidR="00937CBB">
        <w:t>samoomejitveno</w:t>
      </w:r>
      <w:proofErr w:type="spellEnd"/>
      <w:r w:rsidR="00937CBB">
        <w:t xml:space="preserve">) </w:t>
      </w:r>
      <w:r w:rsidR="00937CBB">
        <w:t>obnašanje</w:t>
      </w:r>
      <w:r w:rsidR="00937CBB" w:rsidRPr="002C449E">
        <w:t xml:space="preserve"> prebivalstva</w:t>
      </w:r>
      <w:r w:rsidR="00937CBB">
        <w:t>, kar b</w:t>
      </w:r>
      <w:r w:rsidR="0076338C">
        <w:t>o</w:t>
      </w:r>
      <w:r w:rsidR="00937CBB">
        <w:t xml:space="preserve"> zavrlo rast predvsem storitvenih dejavnosti</w:t>
      </w:r>
      <w:r w:rsidR="00872471">
        <w:t xml:space="preserve"> in zasebne potrošnje</w:t>
      </w:r>
      <w:r w:rsidR="00937CBB">
        <w:t>.</w:t>
      </w:r>
      <w:r w:rsidR="00CA151E">
        <w:t xml:space="preserve"> </w:t>
      </w:r>
      <w:r w:rsidR="00872471">
        <w:t xml:space="preserve">Umirila naj bi se tudi rast v predelovalnih dejavnostih, ki se ob visokem povpraševanju srečujejo z omejitvami na strani ponudbe. </w:t>
      </w:r>
      <w:r w:rsidR="00D3295B">
        <w:t>Z</w:t>
      </w:r>
      <w:r w:rsidR="00CA151E">
        <w:t xml:space="preserve">a letošnje leto torej pričakujemo 5,9-odstotno rast, kar je več od predvidevanj </w:t>
      </w:r>
      <w:r w:rsidR="00D3295B">
        <w:t xml:space="preserve">v Pomladanski napovedi. Slednje je predvsem posledica </w:t>
      </w:r>
      <w:r w:rsidR="00D3295B">
        <w:rPr>
          <w:bCs/>
        </w:rPr>
        <w:t>hitrejš</w:t>
      </w:r>
      <w:r w:rsidR="00D3295B">
        <w:rPr>
          <w:bCs/>
        </w:rPr>
        <w:t>e</w:t>
      </w:r>
      <w:r w:rsidR="00D3295B">
        <w:rPr>
          <w:bCs/>
        </w:rPr>
        <w:t xml:space="preserve"> rasti aktivnosti zlasti v drugem četrtletju in poletnih mesecih</w:t>
      </w:r>
      <w:r w:rsidR="00D3295B">
        <w:rPr>
          <w:bCs/>
        </w:rPr>
        <w:t xml:space="preserve"> ob </w:t>
      </w:r>
      <w:r w:rsidR="00D3295B">
        <w:rPr>
          <w:bCs/>
        </w:rPr>
        <w:t>pospešen</w:t>
      </w:r>
      <w:r w:rsidR="00D3295B">
        <w:rPr>
          <w:bCs/>
        </w:rPr>
        <w:t>i</w:t>
      </w:r>
      <w:r w:rsidR="00D3295B">
        <w:rPr>
          <w:bCs/>
        </w:rPr>
        <w:t xml:space="preserve"> aktivnost</w:t>
      </w:r>
      <w:r w:rsidR="00D3295B">
        <w:rPr>
          <w:bCs/>
        </w:rPr>
        <w:t>i</w:t>
      </w:r>
      <w:r w:rsidR="00D3295B">
        <w:rPr>
          <w:bCs/>
        </w:rPr>
        <w:t xml:space="preserve"> svetovnega gospodarstva in trgovine</w:t>
      </w:r>
      <w:r w:rsidR="0007155C">
        <w:rPr>
          <w:bCs/>
        </w:rPr>
        <w:t xml:space="preserve"> in hitrejšem sproščanju omejitvenih ukrepov ter</w:t>
      </w:r>
      <w:r w:rsidR="00D3295B">
        <w:rPr>
          <w:bCs/>
        </w:rPr>
        <w:t xml:space="preserve"> nadaljnjega prilagajanja novim razmeram s strani podjetij in potrošnikov</w:t>
      </w:r>
      <w:r w:rsidR="0007155C">
        <w:rPr>
          <w:bCs/>
        </w:rPr>
        <w:t>.</w:t>
      </w:r>
      <w:r w:rsidR="00184271">
        <w:rPr>
          <w:bCs/>
        </w:rPr>
        <w:t xml:space="preserve"> S tem bo gospodarska aktivnost že letos dosegla </w:t>
      </w:r>
      <w:proofErr w:type="spellStart"/>
      <w:r w:rsidR="00184271">
        <w:rPr>
          <w:bCs/>
        </w:rPr>
        <w:t>predkrizno</w:t>
      </w:r>
      <w:proofErr w:type="spellEnd"/>
      <w:r w:rsidR="00184271">
        <w:rPr>
          <w:bCs/>
        </w:rPr>
        <w:t xml:space="preserve"> raven iz leta 2019, </w:t>
      </w:r>
      <w:r w:rsidR="00184271" w:rsidRPr="001F784F">
        <w:rPr>
          <w:bCs/>
        </w:rPr>
        <w:t xml:space="preserve">k čemur bo prispevalo </w:t>
      </w:r>
      <w:r w:rsidR="00184271">
        <w:rPr>
          <w:bCs/>
        </w:rPr>
        <w:t xml:space="preserve">tudi </w:t>
      </w:r>
      <w:r w:rsidR="00184271" w:rsidRPr="001F784F">
        <w:rPr>
          <w:bCs/>
        </w:rPr>
        <w:t>ohranjanje nekaterih ukrepov za blažitev posledic epidemije.</w:t>
      </w:r>
      <w:r w:rsidR="00CF2F5E">
        <w:rPr>
          <w:bCs/>
        </w:rPr>
        <w:t xml:space="preserve"> </w:t>
      </w:r>
      <w:bookmarkStart w:id="23" w:name="_Hlk66786928"/>
      <w:r w:rsidR="0049100C" w:rsidRPr="001F784F">
        <w:rPr>
          <w:bCs/>
        </w:rPr>
        <w:t>Okrevanje gospodarstva se bo v naslednjih dveh letih nadaljevalo</w:t>
      </w:r>
      <w:r w:rsidR="001D61A1" w:rsidRPr="00396D9B">
        <w:rPr>
          <w:bCs/>
        </w:rPr>
        <w:t>, umiril</w:t>
      </w:r>
      <w:r w:rsidR="00396D9B" w:rsidRPr="00396D9B">
        <w:rPr>
          <w:bCs/>
        </w:rPr>
        <w:t>e</w:t>
      </w:r>
      <w:r w:rsidR="001D61A1" w:rsidRPr="00396D9B">
        <w:rPr>
          <w:bCs/>
        </w:rPr>
        <w:t xml:space="preserve"> pa se bo</w:t>
      </w:r>
      <w:r w:rsidR="00396D9B" w:rsidRPr="00396D9B">
        <w:rPr>
          <w:bCs/>
        </w:rPr>
        <w:t>do težave z dobavo materialov</w:t>
      </w:r>
      <w:r w:rsidR="00184271" w:rsidRPr="00396D9B">
        <w:rPr>
          <w:bCs/>
        </w:rPr>
        <w:t>.</w:t>
      </w:r>
      <w:r w:rsidR="0049100C" w:rsidRPr="00396D9B">
        <w:rPr>
          <w:bCs/>
        </w:rPr>
        <w:t xml:space="preserve"> Pri tem predvidevamo, da bodo (zlasti v 2022) določeni omejitveni ukrepi še vedno prisotni in bodo omejevali</w:t>
      </w:r>
      <w:r w:rsidR="0049100C" w:rsidRPr="001F784F">
        <w:rPr>
          <w:bCs/>
        </w:rPr>
        <w:t xml:space="preserve"> popolno okrevanje določenih storitvenih dejavnosti (</w:t>
      </w:r>
      <w:r w:rsidR="00FB7584">
        <w:rPr>
          <w:bCs/>
        </w:rPr>
        <w:t>zlasti</w:t>
      </w:r>
      <w:r w:rsidR="0049100C" w:rsidRPr="001F784F">
        <w:rPr>
          <w:bCs/>
        </w:rPr>
        <w:t xml:space="preserve"> potovanj)</w:t>
      </w:r>
      <w:r w:rsidR="00184271">
        <w:rPr>
          <w:bCs/>
        </w:rPr>
        <w:t xml:space="preserve">. </w:t>
      </w:r>
      <w:r w:rsidR="0049100C" w:rsidRPr="001F784F">
        <w:rPr>
          <w:bCs/>
        </w:rPr>
        <w:t>Po dveh letih razmeroma visokih rasti za leto 2023 napovedujemo 3,</w:t>
      </w:r>
      <w:r w:rsidR="00BB0CE8">
        <w:rPr>
          <w:bCs/>
        </w:rPr>
        <w:t>4</w:t>
      </w:r>
      <w:r w:rsidR="0049100C" w:rsidRPr="001F784F">
        <w:rPr>
          <w:bCs/>
        </w:rPr>
        <w:t>-odstotno rast BDP.</w:t>
      </w:r>
      <w:bookmarkEnd w:id="23"/>
    </w:p>
    <w:p w14:paraId="34783224" w14:textId="642BD23F" w:rsidR="00937CBB" w:rsidRDefault="00937CBB" w:rsidP="0049100C">
      <w:pPr>
        <w:pStyle w:val="BesediloNAPOVED"/>
        <w:rPr>
          <w:bCs/>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937CBB" w:rsidRPr="00477C37" w14:paraId="0C0B5798" w14:textId="77777777" w:rsidTr="008A2A2E">
        <w:tc>
          <w:tcPr>
            <w:tcW w:w="4530" w:type="dxa"/>
          </w:tcPr>
          <w:p w14:paraId="4A427E5A" w14:textId="77777777" w:rsidR="00937CBB" w:rsidRPr="00751224" w:rsidRDefault="00937CBB" w:rsidP="008A2A2E">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Pr>
                <w:highlight w:val="yellow"/>
              </w:rPr>
              <w:t>7</w:t>
            </w:r>
            <w:r w:rsidRPr="00751224">
              <w:rPr>
                <w:highlight w:val="yellow"/>
              </w:rPr>
              <w:fldChar w:fldCharType="end"/>
            </w:r>
            <w:r w:rsidRPr="00751224">
              <w:rPr>
                <w:highlight w:val="yellow"/>
              </w:rPr>
              <w:t xml:space="preserve">: Negativen vpliv epidemiološke situacije na gospodarsko klimo se je v zadnjih mesecih umiril, izrazitejši ostaja pri trgovini na drobno in drugih storitvenih dejavnostih </w:t>
            </w:r>
          </w:p>
          <w:p w14:paraId="73F60DFF" w14:textId="77777777" w:rsidR="00937CBB" w:rsidRPr="00751224" w:rsidRDefault="00937CBB" w:rsidP="008A2A2E">
            <w:pPr>
              <w:pStyle w:val="Caption"/>
              <w:rPr>
                <w:highlight w:val="yellow"/>
              </w:rPr>
            </w:pPr>
          </w:p>
          <w:p w14:paraId="4183DE88" w14:textId="77777777" w:rsidR="00937CBB" w:rsidRPr="00751224" w:rsidRDefault="00937CBB" w:rsidP="008A2A2E">
            <w:pPr>
              <w:pStyle w:val="Caption"/>
              <w:rPr>
                <w:highlight w:val="yellow"/>
              </w:rPr>
            </w:pPr>
          </w:p>
          <w:p w14:paraId="7AFCDAA6" w14:textId="77777777" w:rsidR="00937CBB" w:rsidRPr="00751224" w:rsidRDefault="00937CBB" w:rsidP="008A2A2E">
            <w:pPr>
              <w:pStyle w:val="Caption"/>
              <w:rPr>
                <w:highlight w:val="yellow"/>
              </w:rPr>
            </w:pPr>
            <w:r w:rsidRPr="00751224">
              <w:rPr>
                <w:highlight w:val="yellow"/>
                <w:lang w:eastAsia="sl-SI"/>
              </w:rPr>
              <w:drawing>
                <wp:inline distT="0" distB="0" distL="0" distR="0" wp14:anchorId="3884C5E2" wp14:editId="58A84E56">
                  <wp:extent cx="2738755" cy="2240915"/>
                  <wp:effectExtent l="0" t="0" r="4445" b="6985"/>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c>
          <w:tcPr>
            <w:tcW w:w="4530" w:type="dxa"/>
          </w:tcPr>
          <w:p w14:paraId="515D0AF0" w14:textId="77777777" w:rsidR="00937CBB" w:rsidRPr="00751224" w:rsidRDefault="00937CBB" w:rsidP="008A2A2E">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Pr>
                <w:highlight w:val="yellow"/>
              </w:rPr>
              <w:t>8</w:t>
            </w:r>
            <w:r w:rsidRPr="00751224">
              <w:rPr>
                <w:highlight w:val="yellow"/>
              </w:rPr>
              <w:fldChar w:fldCharType="end"/>
            </w:r>
            <w:r w:rsidRPr="00751224">
              <w:rPr>
                <w:highlight w:val="yellow"/>
              </w:rPr>
              <w:t xml:space="preserve">: Poraba elektrike in promet tovornih vozil kažeta na manjši padec aktivnosti v drugem valu epidemije v primerjavi s prvim, promet po davčno potrjenih računih pa kaže predvsem na večjo prizadetost storitvenih dejavnosti in trgovine </w:t>
            </w:r>
          </w:p>
          <w:p w14:paraId="7979841B" w14:textId="77777777" w:rsidR="00937CBB" w:rsidRPr="00751224" w:rsidRDefault="00937CBB" w:rsidP="008A2A2E">
            <w:pPr>
              <w:pStyle w:val="Caption"/>
              <w:rPr>
                <w:highlight w:val="yellow"/>
              </w:rPr>
            </w:pPr>
          </w:p>
          <w:p w14:paraId="45CE07BA" w14:textId="77777777" w:rsidR="00937CBB" w:rsidRPr="00477C37" w:rsidRDefault="00937CBB" w:rsidP="008A2A2E">
            <w:pPr>
              <w:pStyle w:val="Caption"/>
            </w:pPr>
            <w:r w:rsidRPr="00751224">
              <w:rPr>
                <w:highlight w:val="yellow"/>
                <w:lang w:eastAsia="sl-SI"/>
              </w:rPr>
              <w:drawing>
                <wp:inline distT="0" distB="0" distL="0" distR="0" wp14:anchorId="4BD20DE9" wp14:editId="546C8739">
                  <wp:extent cx="2734945" cy="2242185"/>
                  <wp:effectExtent l="0" t="0" r="8255" b="5715"/>
                  <wp:docPr id="107" name="Slika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r>
      <w:tr w:rsidR="00937CBB" w:rsidRPr="00477C37" w14:paraId="7AB2CD8E" w14:textId="77777777" w:rsidTr="008A2A2E">
        <w:tc>
          <w:tcPr>
            <w:tcW w:w="4530" w:type="dxa"/>
          </w:tcPr>
          <w:p w14:paraId="2A2C20B6" w14:textId="77777777" w:rsidR="00937CBB" w:rsidRPr="00751224" w:rsidRDefault="00937CBB" w:rsidP="008A2A2E">
            <w:pPr>
              <w:pStyle w:val="Caption"/>
              <w:rPr>
                <w:highlight w:val="yellow"/>
              </w:rPr>
            </w:pPr>
          </w:p>
        </w:tc>
        <w:tc>
          <w:tcPr>
            <w:tcW w:w="4530" w:type="dxa"/>
          </w:tcPr>
          <w:p w14:paraId="79EFAC52" w14:textId="77777777" w:rsidR="00937CBB" w:rsidRPr="00751224" w:rsidRDefault="00937CBB" w:rsidP="008A2A2E">
            <w:pPr>
              <w:pStyle w:val="Caption"/>
              <w:rPr>
                <w:highlight w:val="yellow"/>
              </w:rPr>
            </w:pPr>
          </w:p>
        </w:tc>
      </w:tr>
    </w:tbl>
    <w:p w14:paraId="74F8CC93" w14:textId="77777777" w:rsidR="00937CBB" w:rsidRDefault="00937CBB" w:rsidP="0049100C">
      <w:pPr>
        <w:pStyle w:val="BesediloNAPOVED"/>
        <w:rPr>
          <w:bCs/>
        </w:rPr>
      </w:pPr>
    </w:p>
    <w:tbl>
      <w:tblPr>
        <w:tblStyle w:val="okvirNAPOVED"/>
        <w:tblW w:w="0" w:type="auto"/>
        <w:tblLook w:val="04A0" w:firstRow="1" w:lastRow="0" w:firstColumn="1" w:lastColumn="0" w:noHBand="0" w:noVBand="1"/>
      </w:tblPr>
      <w:tblGrid>
        <w:gridCol w:w="9060"/>
      </w:tblGrid>
      <w:tr w:rsidR="00EF4CEA" w:rsidRPr="00C77B9A" w14:paraId="360C71B6" w14:textId="77777777" w:rsidTr="004D3119">
        <w:trPr>
          <w:trHeight w:val="9204"/>
        </w:trPr>
        <w:tc>
          <w:tcPr>
            <w:tcW w:w="9060" w:type="dxa"/>
          </w:tcPr>
          <w:p w14:paraId="113C65B2" w14:textId="64B939C7" w:rsidR="00EF4CEA" w:rsidRPr="00EB3DB7" w:rsidRDefault="00EF4CEA" w:rsidP="0094732D">
            <w:pPr>
              <w:pStyle w:val="Caption"/>
              <w:rPr>
                <w:bCs w:val="0"/>
              </w:rPr>
            </w:pPr>
            <w:bookmarkStart w:id="24" w:name="_Ref66696066"/>
            <w:r w:rsidRPr="00EB3DB7">
              <w:lastRenderedPageBreak/>
              <w:t xml:space="preserve">Okvir </w:t>
            </w:r>
            <w:r w:rsidRPr="00EB3DB7">
              <w:fldChar w:fldCharType="begin"/>
            </w:r>
            <w:r w:rsidRPr="00EB3DB7">
              <w:instrText xml:space="preserve"> SEQ Okvir \* ARABIC </w:instrText>
            </w:r>
            <w:r w:rsidRPr="00EB3DB7">
              <w:fldChar w:fldCharType="separate"/>
            </w:r>
            <w:r w:rsidR="00D224DD">
              <w:t>1</w:t>
            </w:r>
            <w:r w:rsidRPr="00EB3DB7">
              <w:fldChar w:fldCharType="end"/>
            </w:r>
            <w:bookmarkEnd w:id="24"/>
            <w:r w:rsidRPr="00EB3DB7">
              <w:t xml:space="preserve">: </w:t>
            </w:r>
            <w:r w:rsidR="00EB3DB7" w:rsidRPr="00EB3DB7">
              <w:rPr>
                <w:rStyle w:val="VodilnistavekBoldpoudarekNAPOVED"/>
                <w:b/>
              </w:rPr>
              <w:t>Nova ocena BDP za leto 20</w:t>
            </w:r>
            <w:r w:rsidR="00C313E8">
              <w:rPr>
                <w:rStyle w:val="VodilnistavekBoldpoudarekNAPOVED"/>
                <w:b/>
              </w:rPr>
              <w:t>20</w:t>
            </w:r>
          </w:p>
          <w:p w14:paraId="55160C45" w14:textId="77777777" w:rsidR="00EF4CEA" w:rsidRPr="00C77B9A" w:rsidRDefault="00EF4CEA" w:rsidP="0094732D">
            <w:pPr>
              <w:pStyle w:val="BesediloNAPOVED"/>
              <w:rPr>
                <w:bCs/>
              </w:rPr>
            </w:pPr>
          </w:p>
          <w:p w14:paraId="6CCAB33E" w14:textId="6ACEBD06" w:rsidR="00EF4CEA" w:rsidRPr="00EB3DB7" w:rsidRDefault="00EB3DB7" w:rsidP="0094732D">
            <w:pPr>
              <w:pStyle w:val="BesediloNAPOVED"/>
            </w:pPr>
            <w:r w:rsidRPr="00EB3DB7">
              <w:rPr>
                <w:rStyle w:val="VodilnistavekBoldpoudarekNAPOVED"/>
              </w:rPr>
              <w:t>Objava prve ocene BDP za leto 20</w:t>
            </w:r>
            <w:r w:rsidR="00963007">
              <w:rPr>
                <w:rStyle w:val="VodilnistavekBoldpoudarekNAPOVED"/>
              </w:rPr>
              <w:t>20</w:t>
            </w:r>
            <w:r w:rsidR="00C313E8">
              <w:rPr>
                <w:rStyle w:val="VodilnistavekBoldpoudarekNAPOVED"/>
              </w:rPr>
              <w:t xml:space="preserve"> na podlagi letnih podatkovnih virov</w:t>
            </w:r>
            <w:r w:rsidRPr="00EB3DB7">
              <w:rPr>
                <w:rStyle w:val="VodilnistavekBoldpoudarekNAPOVED"/>
              </w:rPr>
              <w:t xml:space="preserve"> (in revidiranih podatkov za obdobje od leta </w:t>
            </w:r>
            <w:r w:rsidRPr="00963007">
              <w:rPr>
                <w:rStyle w:val="VodilnistavekBoldpoudarekNAPOVED"/>
                <w:highlight w:val="yellow"/>
              </w:rPr>
              <w:t>1995</w:t>
            </w:r>
            <w:r w:rsidRPr="00EB3DB7">
              <w:rPr>
                <w:rStyle w:val="VodilnistavekBoldpoudarekNAPOVED"/>
              </w:rPr>
              <w:t xml:space="preserve"> naprej) je spremenila izhodišča za pripravo napovedi.</w:t>
            </w:r>
            <w:r w:rsidRPr="00EB3DB7">
              <w:rPr>
                <w:b/>
                <w:bCs/>
              </w:rPr>
              <w:t xml:space="preserve"> </w:t>
            </w:r>
            <w:r w:rsidRPr="00EB3DB7">
              <w:t>SURS je avgusta 20</w:t>
            </w:r>
            <w:r w:rsidR="00585BFC">
              <w:t>21</w:t>
            </w:r>
            <w:r w:rsidRPr="00EB3DB7">
              <w:t xml:space="preserve"> objavil prvo letno oceno BDP za leto 20</w:t>
            </w:r>
            <w:r w:rsidR="00D402FF">
              <w:t>20</w:t>
            </w:r>
            <w:r w:rsidR="00585BFC">
              <w:t xml:space="preserve"> na podlagi letnih podatkovnih virov</w:t>
            </w:r>
            <w:r w:rsidRPr="00EB3DB7">
              <w:t xml:space="preserve"> in revidirane podatke nacionalnih računov za obdobje od leta </w:t>
            </w:r>
            <w:r w:rsidRPr="00585BFC">
              <w:rPr>
                <w:highlight w:val="yellow"/>
              </w:rPr>
              <w:t>1995</w:t>
            </w:r>
            <w:r w:rsidRPr="00EB3DB7">
              <w:t xml:space="preserve"> naprej. Najnovejša ocena BDP v letu 20</w:t>
            </w:r>
            <w:r w:rsidR="00585BFC">
              <w:t>20</w:t>
            </w:r>
            <w:r w:rsidRPr="00EB3DB7">
              <w:t xml:space="preserve"> je </w:t>
            </w:r>
            <w:r w:rsidRPr="00585BFC">
              <w:rPr>
                <w:highlight w:val="yellow"/>
              </w:rPr>
              <w:t>za 193 mio EUR nižja</w:t>
            </w:r>
            <w:r w:rsidRPr="00EB3DB7">
              <w:t xml:space="preserve"> od prve ocene, objavljene februarja letos, za </w:t>
            </w:r>
            <w:r w:rsidRPr="00585BFC">
              <w:rPr>
                <w:highlight w:val="yellow"/>
              </w:rPr>
              <w:t>0,4 o. t. se je znižala</w:t>
            </w:r>
            <w:r w:rsidRPr="00EB3DB7">
              <w:t xml:space="preserve"> tudi ocena realne rasti BDP. </w:t>
            </w:r>
            <w:r w:rsidRPr="008F20F8">
              <w:rPr>
                <w:highlight w:val="yellow"/>
              </w:rPr>
              <w:t>Razlika v večji meri izhaja iz nižje nove ocene (rasti) bruto investicij in nižjega prispevka salda menjave s tujino, realna rast zasebne in državne potrošnje pa je bila lani višja kot po prvi oceni. Nominalne spremembe ocen posameznih komponent BDP so precejšnje. Ocena zasebne potrošnje se je glede na prvo oceno zvišala za 562 mio EUR, kar spremeni oceno varčevanja slovenskih potrošnikov in s tem izhodišče za pripravo napovedi. Zvišala se je tudi ocena državne potrošnje, in sicer za malo več kot 200 mio EUR. Oceni bruto investicij in salda menjave s tujino pa sta precej nižji od prve ocene ob objavi četrtletnih podatkov. Sprememba pri bruto investicijah (-394 mio EUR) izhaja iz nižje ocene investicij v osnovna sredstva in manjšega povečanja zalog, katerih prispevek k rasti BDP (0,2 o. t.) je tako zmernejši kot po prvi oceni (0,6 o. t.).  Sprememba ocene izvoza blaga in storitev je razmeroma majhna, nova ocena uvoza pa je precej višja od predhodne, s čemer se je prispevek salda menjave k rasti BDP znižal z 0,3 na -0,2 o. t.</w:t>
            </w:r>
            <w:r w:rsidRPr="00EB3DB7">
              <w:t xml:space="preserve">  </w:t>
            </w:r>
          </w:p>
          <w:p w14:paraId="761A915F" w14:textId="77777777" w:rsidR="00EB3DB7" w:rsidRPr="00C77B9A" w:rsidRDefault="00EB3DB7" w:rsidP="0094732D">
            <w:pPr>
              <w:pStyle w:val="BesediloNAPOVED"/>
              <w:rPr>
                <w:bCs/>
              </w:rPr>
            </w:pPr>
          </w:p>
          <w:tbl>
            <w:tblPr>
              <w:tblStyle w:val="TableGrid"/>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385"/>
            </w:tblGrid>
            <w:tr w:rsidR="00EF4CEA" w:rsidRPr="00C77B9A" w14:paraId="2563853B" w14:textId="77777777" w:rsidTr="0094732D">
              <w:tc>
                <w:tcPr>
                  <w:tcW w:w="4391" w:type="dxa"/>
                </w:tcPr>
                <w:p w14:paraId="374B5420" w14:textId="0DF377D9" w:rsidR="00EF4CEA" w:rsidRPr="00C77B9A" w:rsidRDefault="00EF4CEA" w:rsidP="0094732D">
                  <w:pPr>
                    <w:pStyle w:val="Caption"/>
                  </w:pPr>
                  <w:r w:rsidRPr="00C77B9A">
                    <w:t xml:space="preserve">Slika </w:t>
                  </w:r>
                  <w:r w:rsidRPr="00C77B9A">
                    <w:fldChar w:fldCharType="begin"/>
                  </w:r>
                  <w:r w:rsidRPr="00C77B9A">
                    <w:instrText xml:space="preserve"> SEQ Slika \* ARABIC </w:instrText>
                  </w:r>
                  <w:r w:rsidRPr="00C77B9A">
                    <w:fldChar w:fldCharType="separate"/>
                  </w:r>
                  <w:r w:rsidR="00D224DD">
                    <w:t>9</w:t>
                  </w:r>
                  <w:r w:rsidRPr="00C77B9A">
                    <w:fldChar w:fldCharType="end"/>
                  </w:r>
                  <w:r w:rsidRPr="00C77B9A">
                    <w:t xml:space="preserve">: </w:t>
                  </w:r>
                  <w:r w:rsidR="004D3119">
                    <w:t>Revizija podatkov o realni rasti BDP</w:t>
                  </w:r>
                </w:p>
                <w:p w14:paraId="5FE71A2D" w14:textId="659C72D1" w:rsidR="00EF4CEA" w:rsidRDefault="00EF4CEA" w:rsidP="0094732D">
                  <w:pPr>
                    <w:pStyle w:val="Caption"/>
                  </w:pPr>
                </w:p>
                <w:p w14:paraId="3DEDB60F" w14:textId="77777777" w:rsidR="00C25A0B" w:rsidRPr="00C25A0B" w:rsidRDefault="00C25A0B" w:rsidP="00C25A0B">
                  <w:pPr>
                    <w:pStyle w:val="BesediloNAPOVED"/>
                  </w:pPr>
                </w:p>
                <w:p w14:paraId="3FE42649" w14:textId="77777777" w:rsidR="00EF4CEA" w:rsidRPr="00C77B9A" w:rsidRDefault="00EF4CEA" w:rsidP="0094732D">
                  <w:pPr>
                    <w:pStyle w:val="Caption"/>
                  </w:pPr>
                  <w:r w:rsidRPr="00C77B9A">
                    <w:drawing>
                      <wp:inline distT="0" distB="0" distL="0" distR="0" wp14:anchorId="1673222B" wp14:editId="59F2974C">
                        <wp:extent cx="2748931" cy="2246400"/>
                        <wp:effectExtent l="0" t="0" r="0" b="1905"/>
                        <wp:docPr id="95" name="Slika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931" cy="2246400"/>
                                </a:xfrm>
                                <a:prstGeom prst="rect">
                                  <a:avLst/>
                                </a:prstGeom>
                                <a:noFill/>
                                <a:ln>
                                  <a:noFill/>
                                </a:ln>
                              </pic:spPr>
                            </pic:pic>
                          </a:graphicData>
                        </a:graphic>
                      </wp:inline>
                    </w:drawing>
                  </w:r>
                </w:p>
              </w:tc>
              <w:tc>
                <w:tcPr>
                  <w:tcW w:w="4385" w:type="dxa"/>
                </w:tcPr>
                <w:p w14:paraId="2E9D949D" w14:textId="6749115C" w:rsidR="00EF4CEA" w:rsidRPr="00C77B9A" w:rsidRDefault="00EF4CEA" w:rsidP="0094732D">
                  <w:pPr>
                    <w:pStyle w:val="Caption"/>
                  </w:pPr>
                  <w:r w:rsidRPr="00C77B9A">
                    <w:t xml:space="preserve">Slika </w:t>
                  </w:r>
                  <w:r w:rsidRPr="00C77B9A">
                    <w:fldChar w:fldCharType="begin"/>
                  </w:r>
                  <w:r w:rsidRPr="00C77B9A">
                    <w:instrText xml:space="preserve"> SEQ Slika \* ARABIC </w:instrText>
                  </w:r>
                  <w:r w:rsidRPr="00C77B9A">
                    <w:fldChar w:fldCharType="separate"/>
                  </w:r>
                  <w:r w:rsidR="00D224DD">
                    <w:t>10</w:t>
                  </w:r>
                  <w:r w:rsidRPr="00C77B9A">
                    <w:fldChar w:fldCharType="end"/>
                  </w:r>
                  <w:r w:rsidRPr="00C77B9A">
                    <w:t xml:space="preserve">: </w:t>
                  </w:r>
                  <w:r w:rsidR="004D3119">
                    <w:t>Revizija podatkov izdatkovnih komponent BDP po tekočih cenah leta 2020</w:t>
                  </w:r>
                </w:p>
                <w:p w14:paraId="37F06A93" w14:textId="77777777" w:rsidR="00EF4CEA" w:rsidRPr="00C77B9A" w:rsidRDefault="00EF4CEA" w:rsidP="0094732D">
                  <w:pPr>
                    <w:pStyle w:val="Caption"/>
                  </w:pPr>
                </w:p>
                <w:p w14:paraId="1D356B56" w14:textId="77777777" w:rsidR="00EF4CEA" w:rsidRPr="00C77B9A" w:rsidRDefault="00EF4CEA" w:rsidP="0094732D">
                  <w:pPr>
                    <w:pStyle w:val="Caption"/>
                  </w:pPr>
                  <w:r w:rsidRPr="00C77B9A">
                    <w:rPr>
                      <w:lang w:eastAsia="sl-SI"/>
                    </w:rPr>
                    <w:drawing>
                      <wp:inline distT="0" distB="0" distL="0" distR="0" wp14:anchorId="4AA329FB" wp14:editId="708E672F">
                        <wp:extent cx="2745502" cy="2246400"/>
                        <wp:effectExtent l="0" t="0" r="0" b="1905"/>
                        <wp:docPr id="106" name="Slika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5502" cy="2246400"/>
                                </a:xfrm>
                                <a:prstGeom prst="rect">
                                  <a:avLst/>
                                </a:prstGeom>
                                <a:noFill/>
                                <a:ln>
                                  <a:noFill/>
                                </a:ln>
                              </pic:spPr>
                            </pic:pic>
                          </a:graphicData>
                        </a:graphic>
                      </wp:inline>
                    </w:drawing>
                  </w:r>
                </w:p>
              </w:tc>
            </w:tr>
          </w:tbl>
          <w:p w14:paraId="75FAEABE" w14:textId="77777777" w:rsidR="00EF4CEA" w:rsidRPr="00C77B9A" w:rsidRDefault="00EF4CEA" w:rsidP="0094732D">
            <w:pPr>
              <w:pStyle w:val="BesediloNAPOVED"/>
              <w:keepNext/>
              <w:rPr>
                <w:bCs/>
              </w:rPr>
            </w:pPr>
          </w:p>
        </w:tc>
      </w:tr>
    </w:tbl>
    <w:p w14:paraId="37C89FF7" w14:textId="4DCF61C4" w:rsidR="00593F77" w:rsidRDefault="00593F77" w:rsidP="006200DC">
      <w:pPr>
        <w:pStyle w:val="BesediloNAPOVED"/>
      </w:pPr>
    </w:p>
    <w:p w14:paraId="27E66B42" w14:textId="4DAD7F4B" w:rsidR="003F0314" w:rsidRDefault="003F0314" w:rsidP="006200DC">
      <w:pPr>
        <w:pStyle w:val="BesediloNAPOVED"/>
      </w:pPr>
    </w:p>
    <w:p w14:paraId="13F9428E" w14:textId="4C3DF4F1" w:rsidR="003F0314" w:rsidRDefault="003F0314" w:rsidP="006200DC">
      <w:pPr>
        <w:pStyle w:val="BesediloNAPOVED"/>
      </w:pPr>
    </w:p>
    <w:p w14:paraId="7FEAA56D" w14:textId="1C865FBA" w:rsidR="003F0314" w:rsidRDefault="003F0314" w:rsidP="006200DC">
      <w:pPr>
        <w:pStyle w:val="BesediloNAPOVED"/>
      </w:pPr>
    </w:p>
    <w:p w14:paraId="6A1322C8" w14:textId="3E574C61" w:rsidR="003F0314" w:rsidRDefault="003F0314" w:rsidP="006200DC">
      <w:pPr>
        <w:pStyle w:val="BesediloNAPOVED"/>
      </w:pPr>
    </w:p>
    <w:p w14:paraId="361A0718" w14:textId="42585CB0" w:rsidR="003F0314" w:rsidRDefault="003F0314" w:rsidP="006200DC">
      <w:pPr>
        <w:pStyle w:val="BesediloNAPOVED"/>
      </w:pPr>
    </w:p>
    <w:p w14:paraId="52E89E82" w14:textId="6D568CD1" w:rsidR="003F0314" w:rsidRDefault="003F0314" w:rsidP="006200DC">
      <w:pPr>
        <w:pStyle w:val="BesediloNAPOVED"/>
      </w:pPr>
    </w:p>
    <w:p w14:paraId="2C651C72" w14:textId="35506449" w:rsidR="003F0314" w:rsidRDefault="003F0314" w:rsidP="006200DC">
      <w:pPr>
        <w:pStyle w:val="BesediloNAPOVED"/>
      </w:pPr>
    </w:p>
    <w:p w14:paraId="682403C2" w14:textId="599A7B6A" w:rsidR="003F0314" w:rsidRDefault="003F0314" w:rsidP="006200DC">
      <w:pPr>
        <w:pStyle w:val="BesediloNAPOVED"/>
      </w:pPr>
    </w:p>
    <w:p w14:paraId="167D73D1" w14:textId="5D884340" w:rsidR="003F0314" w:rsidRDefault="003F0314" w:rsidP="006200DC">
      <w:pPr>
        <w:pStyle w:val="BesediloNAPOVED"/>
      </w:pPr>
    </w:p>
    <w:p w14:paraId="4F88D20E" w14:textId="75C5C704" w:rsidR="003F0314" w:rsidRDefault="003F0314" w:rsidP="006200DC">
      <w:pPr>
        <w:pStyle w:val="BesediloNAPOVED"/>
      </w:pPr>
    </w:p>
    <w:p w14:paraId="3F70CE8D" w14:textId="4F8C8711" w:rsidR="003F0314" w:rsidRDefault="003F0314" w:rsidP="006200DC">
      <w:pPr>
        <w:pStyle w:val="BesediloNAPOVED"/>
      </w:pPr>
    </w:p>
    <w:p w14:paraId="5D266600" w14:textId="21B282E0" w:rsidR="003F0314" w:rsidRDefault="003F0314" w:rsidP="006200DC">
      <w:pPr>
        <w:pStyle w:val="BesediloNAPOVED"/>
      </w:pPr>
    </w:p>
    <w:p w14:paraId="585383CB" w14:textId="6A43B33D" w:rsidR="003F0314" w:rsidRDefault="003F0314" w:rsidP="006200DC">
      <w:pPr>
        <w:pStyle w:val="BesediloNAPOVED"/>
      </w:pPr>
    </w:p>
    <w:p w14:paraId="42401B07" w14:textId="0DF97038" w:rsidR="003F0314" w:rsidRDefault="003F0314" w:rsidP="006200DC">
      <w:pPr>
        <w:pStyle w:val="BesediloNAPOVED"/>
      </w:pPr>
    </w:p>
    <w:p w14:paraId="3552BA55" w14:textId="4554CE34" w:rsidR="003F0314" w:rsidRDefault="003F0314" w:rsidP="006200DC">
      <w:pPr>
        <w:pStyle w:val="BesediloNAPOVED"/>
      </w:pPr>
    </w:p>
    <w:p w14:paraId="617780B9" w14:textId="095EC97A" w:rsidR="003F0314" w:rsidRDefault="003F0314" w:rsidP="006200DC">
      <w:pPr>
        <w:pStyle w:val="BesediloNAPOVED"/>
      </w:pPr>
    </w:p>
    <w:p w14:paraId="14640BE3" w14:textId="77777777" w:rsidR="003F0314" w:rsidRPr="00EA4EA8" w:rsidRDefault="003F0314" w:rsidP="006200DC">
      <w:pPr>
        <w:pStyle w:val="BesediloNAPOVED"/>
      </w:pPr>
    </w:p>
    <w:p w14:paraId="77148C85" w14:textId="186212E7" w:rsidR="00405D6D" w:rsidRDefault="00011BD7" w:rsidP="00B5219B">
      <w:pPr>
        <w:pStyle w:val="Heading2"/>
      </w:pPr>
      <w:bookmarkStart w:id="25" w:name="_Toc81050596"/>
      <w:r>
        <w:t>Bruto domači proizvod – agregati potrošnje</w:t>
      </w:r>
      <w:bookmarkEnd w:id="25"/>
    </w:p>
    <w:p w14:paraId="42418949" w14:textId="77777777" w:rsidR="002915D2" w:rsidRPr="00A4525A" w:rsidRDefault="002915D2" w:rsidP="002915D2">
      <w:pPr>
        <w:pStyle w:val="BesediloNAPOVED"/>
      </w:pPr>
      <w:r w:rsidRPr="002C449E">
        <w:rPr>
          <w:b/>
        </w:rPr>
        <w:t xml:space="preserve">V letošnjem in prihodnjih letih pričakujemo krepitev zasebne potrošnje; najvišjo rast naj bi dosegla v letu 2022, ko bo </w:t>
      </w:r>
      <w:r w:rsidRPr="003F56E7">
        <w:rPr>
          <w:b/>
          <w:highlight w:val="yellow"/>
        </w:rPr>
        <w:t>tudi presegla raven iz leta 2019</w:t>
      </w:r>
      <w:r w:rsidRPr="002C449E">
        <w:rPr>
          <w:b/>
        </w:rPr>
        <w:t xml:space="preserve">. </w:t>
      </w:r>
      <w:r w:rsidRPr="002C449E">
        <w:t>Postopno sproščanje omejitvenih ukrepov</w:t>
      </w:r>
      <w:r>
        <w:t xml:space="preserve"> ob boljših epidemioloških razmerah </w:t>
      </w:r>
      <w:r w:rsidRPr="002C449E">
        <w:t>in s tem zmanjšanj</w:t>
      </w:r>
      <w:r>
        <w:t>u</w:t>
      </w:r>
      <w:r w:rsidRPr="002C449E">
        <w:t xml:space="preserve"> negotovosti </w:t>
      </w:r>
      <w:r>
        <w:t>je</w:t>
      </w:r>
      <w:r w:rsidRPr="002C449E">
        <w:t xml:space="preserve"> poleg nizke lanske osnove </w:t>
      </w:r>
      <w:r>
        <w:t xml:space="preserve">vplivalo na okrevanje zasebne potrošnje v prvi polovici leta, ki je </w:t>
      </w:r>
      <w:r w:rsidRPr="00677E46">
        <w:rPr>
          <w:highlight w:val="yellow"/>
        </w:rPr>
        <w:t>v drugem četrtletju zrasla tudi medletno</w:t>
      </w:r>
      <w:r>
        <w:t xml:space="preserve">. </w:t>
      </w:r>
      <w:r w:rsidRPr="002C449E">
        <w:t>Nadaljnjo medletno rast pričakujemo tudi v drug</w:t>
      </w:r>
      <w:r>
        <w:t>em polletju</w:t>
      </w:r>
      <w:r w:rsidRPr="002C449E">
        <w:t xml:space="preserve">, na kar bo </w:t>
      </w:r>
      <w:r>
        <w:t xml:space="preserve">dodatno </w:t>
      </w:r>
      <w:r w:rsidRPr="002C449E">
        <w:t>vplivalo tudi unovčenje lan</w:t>
      </w:r>
      <w:r>
        <w:t xml:space="preserve">i in letos izdanih bonov </w:t>
      </w:r>
      <w:r w:rsidRPr="002C449E">
        <w:t xml:space="preserve">z namenom odprave posledic epidemije v gostinstvu, turizmu, športu in kulturi. Še višjo rast bodo nekoliko </w:t>
      </w:r>
      <w:r>
        <w:t>zavrle</w:t>
      </w:r>
      <w:r w:rsidRPr="002C449E">
        <w:t xml:space="preserve"> nekatere omejitve pri poslovanju predvsem storitvenih dejavnosti</w:t>
      </w:r>
      <w:r>
        <w:t>, ki ostajajo tudi po odpravi razglasitve epidemije</w:t>
      </w:r>
      <w:r w:rsidRPr="002C449E">
        <w:t xml:space="preserve">, ob morebitnem </w:t>
      </w:r>
      <w:r>
        <w:t xml:space="preserve">izrazitejšem </w:t>
      </w:r>
      <w:r w:rsidRPr="002C449E">
        <w:t xml:space="preserve">porastu okužb pa tudi previdnejše </w:t>
      </w:r>
      <w:r>
        <w:t>(</w:t>
      </w:r>
      <w:proofErr w:type="spellStart"/>
      <w:r>
        <w:t>samoomejitveno</w:t>
      </w:r>
      <w:proofErr w:type="spellEnd"/>
      <w:r>
        <w:t xml:space="preserve">) </w:t>
      </w:r>
      <w:r w:rsidRPr="002C449E">
        <w:t>vedenje prebivalstva</w:t>
      </w:r>
      <w:r>
        <w:t xml:space="preserve">. Ocenjujemo, da bo vpliv slednjega manjši kot na začetku </w:t>
      </w:r>
      <w:proofErr w:type="spellStart"/>
      <w:r>
        <w:t>koronakrize</w:t>
      </w:r>
      <w:proofErr w:type="spellEnd"/>
      <w:r>
        <w:t xml:space="preserve">, saj </w:t>
      </w:r>
      <w:r w:rsidRPr="00967A7F">
        <w:t xml:space="preserve">se potrošniki in podjetja </w:t>
      </w:r>
      <w:r>
        <w:t>nadalje prilagajajo</w:t>
      </w:r>
      <w:r w:rsidRPr="00967A7F">
        <w:t xml:space="preserve"> nov</w:t>
      </w:r>
      <w:r>
        <w:t>im</w:t>
      </w:r>
      <w:r w:rsidRPr="00967A7F">
        <w:t xml:space="preserve"> razmer</w:t>
      </w:r>
      <w:r>
        <w:t xml:space="preserve">am tudi z novimi načini poslovanja. </w:t>
      </w:r>
      <w:r w:rsidRPr="002C449E">
        <w:t>Hitrejšo rast ob izboljšanju</w:t>
      </w:r>
      <w:r>
        <w:t xml:space="preserve"> zdravstvenih razmer, </w:t>
      </w:r>
      <w:r w:rsidRPr="002C449E">
        <w:t>nadaljnjem</w:t>
      </w:r>
      <w:r>
        <w:t>u okrevanju</w:t>
      </w:r>
      <w:r w:rsidRPr="002C449E">
        <w:t xml:space="preserve"> trg</w:t>
      </w:r>
      <w:r>
        <w:t>a</w:t>
      </w:r>
      <w:r w:rsidRPr="002C449E">
        <w:t xml:space="preserve"> dela</w:t>
      </w:r>
      <w:r>
        <w:t>, zmanjšanju negotovosti</w:t>
      </w:r>
      <w:r w:rsidRPr="002C449E">
        <w:t xml:space="preserve"> in večjih možnostih za potovanja pričakujemo v letu 2022, kasneje pa se bo nekoliko upočasnila. Rast zasebne potrošnje bo izhajala predvsem iz rasti razpoložljivega dohodka, </w:t>
      </w:r>
      <w:r>
        <w:t xml:space="preserve">presežni </w:t>
      </w:r>
      <w:r w:rsidRPr="002C449E">
        <w:t>prihranki, ki so jih gospodinjstva ustvarila</w:t>
      </w:r>
      <w:r>
        <w:t xml:space="preserve"> lani</w:t>
      </w:r>
      <w:r w:rsidRPr="002C449E">
        <w:t xml:space="preserve">, </w:t>
      </w:r>
      <w:r>
        <w:t xml:space="preserve">pa se v večini ne bodo </w:t>
      </w:r>
      <w:r w:rsidRPr="002C449E">
        <w:t>prelil</w:t>
      </w:r>
      <w:r>
        <w:t>i</w:t>
      </w:r>
      <w:r w:rsidRPr="002C449E">
        <w:t xml:space="preserve"> v zasebno potrošnjo</w:t>
      </w:r>
      <w:r>
        <w:t xml:space="preserve"> (glej </w:t>
      </w:r>
      <w:r>
        <w:fldChar w:fldCharType="begin"/>
      </w:r>
      <w:r>
        <w:instrText xml:space="preserve"> REF _Ref81050585 \h </w:instrText>
      </w:r>
      <w:r>
        <w:fldChar w:fldCharType="separate"/>
      </w:r>
      <w:r w:rsidRPr="00EB3DB7">
        <w:t xml:space="preserve">Okvir </w:t>
      </w:r>
      <w:r>
        <w:rPr>
          <w:noProof/>
        </w:rPr>
        <w:t>2</w:t>
      </w:r>
      <w:r>
        <w:fldChar w:fldCharType="end"/>
      </w:r>
      <w:r>
        <w:t>)</w:t>
      </w:r>
      <w:r w:rsidRPr="002C449E">
        <w:t xml:space="preserve">. Stopnja varčevanja, ki je </w:t>
      </w:r>
      <w:r>
        <w:t>leta 2020</w:t>
      </w:r>
      <w:r w:rsidRPr="002C449E">
        <w:t xml:space="preserve"> zaradi previdnostnega in </w:t>
      </w:r>
      <w:r>
        <w:t>prisilnega</w:t>
      </w:r>
      <w:r w:rsidRPr="002C449E">
        <w:t xml:space="preserve"> varčevanja presegla 25 %</w:t>
      </w:r>
      <w:r w:rsidRPr="002C449E">
        <w:rPr>
          <w:rStyle w:val="FootnoteReference"/>
        </w:rPr>
        <w:footnoteReference w:id="27"/>
      </w:r>
      <w:r w:rsidRPr="002C449E">
        <w:t xml:space="preserve">, se bo v </w:t>
      </w:r>
      <w:r>
        <w:t>obdobju 2021-2023</w:t>
      </w:r>
      <w:r w:rsidRPr="002C449E">
        <w:t xml:space="preserve"> zmanjšala, a ostala višja kot pred epidemijo.</w:t>
      </w:r>
      <w:r w:rsidRPr="00AE57C1">
        <w:t xml:space="preserve"> </w:t>
      </w:r>
    </w:p>
    <w:p w14:paraId="673C90EE" w14:textId="77777777" w:rsidR="002915D2" w:rsidRPr="00751224" w:rsidRDefault="002915D2" w:rsidP="002915D2">
      <w:pPr>
        <w:pStyle w:val="BesediloNAPOVED"/>
        <w:rPr>
          <w:b/>
          <w:highlight w:val="yellow"/>
        </w:rPr>
      </w:pPr>
    </w:p>
    <w:p w14:paraId="1990EB61" w14:textId="77777777" w:rsidR="002915D2" w:rsidRDefault="002915D2" w:rsidP="002915D2">
      <w:pPr>
        <w:pStyle w:val="BesediloNAPOVED"/>
      </w:pPr>
      <w:r w:rsidRPr="002D1021">
        <w:rPr>
          <w:rStyle w:val="VodilnistavekBoldpoudarekNAPOVED"/>
        </w:rPr>
        <w:t>V letu 2021 napovedujemo 9,5 odstotno rast bruto investicij v osnovna sredstva. Visoka rast se bo nadaljevala tudi v prihodnjih letih.</w:t>
      </w:r>
      <w:r>
        <w:rPr>
          <w:rStyle w:val="VodilnistavekBoldpoudarekNAPOVED"/>
        </w:rPr>
        <w:t xml:space="preserve"> </w:t>
      </w:r>
      <w:r>
        <w:t>Bruto investicije v osnovna sredstva so se lani v drugem četrtletju znatno znižale, potem pa močno okrepile in v zadnjem četrtletju celo presegle raven izpred leta. Rast se je nadaljevala v prvi polovici letošnjega leta, predvsem kot posledica rasti zasebnih investicij v opremo in stroje, ko so podjetja po ponovnem zagonu povpraševanja ob krepila svoje proizvodne kapacitete. Na drugi strani pa se je okrevanje investicij v gradbene objekte v drugem četrtletju celo ustavilo, kar povezujemo z visokimi cenami</w:t>
      </w:r>
      <w:r>
        <w:rPr>
          <w:rStyle w:val="FootnoteReference"/>
          <w:rFonts w:ascii="Myriad Pro" w:hAnsi="Myriad Pro"/>
          <w:sz w:val="20"/>
        </w:rPr>
        <w:footnoteReference w:id="28"/>
      </w:r>
      <w:r>
        <w:t xml:space="preserve"> in težavami pri dobavi materialov. V drugi polovici leta pričakujemo umiritev rasti investicij v opremo in stroje, ponovno pa bo prišlo do rasti gradbenih investicij</w:t>
      </w:r>
      <w:r>
        <w:rPr>
          <w:rStyle w:val="FootnoteReference"/>
          <w:rFonts w:ascii="Myriad Pro" w:hAnsi="Myriad Pro"/>
          <w:sz w:val="20"/>
        </w:rPr>
        <w:footnoteReference w:id="29"/>
      </w:r>
      <w:r>
        <w:t>. Rast gradbenih investicij bo spodbujena z državnimi investicijami, po veljavnih proračunskih dokumentih naj bi letos država močno okrepila investicije; krepijo se investicije v železniško infrastrukturo in prilagajanje podnebnih spremembam</w:t>
      </w:r>
      <w:r w:rsidRPr="00267B26">
        <w:t xml:space="preserve">. </w:t>
      </w:r>
      <w:r w:rsidRPr="00267B26">
        <w:rPr>
          <w:bCs/>
        </w:rPr>
        <w:t>Za naslednji dve leti pričakujemo, da bo investicijska aktivnost države spodbujena z EU sredstvi, saj se zaključuje financiranje iz finančne perspektive 2014–2020, ko se glede na pretekle izkušnje investicije običajno pospešijo. Hkrati pa bodo investicije države in tudi zasebnega sektorja</w:t>
      </w:r>
      <w:r w:rsidRPr="00267B26" w:rsidDel="00A94FF6">
        <w:rPr>
          <w:bCs/>
        </w:rPr>
        <w:t xml:space="preserve"> </w:t>
      </w:r>
      <w:r w:rsidRPr="00267B26">
        <w:rPr>
          <w:bCs/>
        </w:rPr>
        <w:t>podpirala</w:t>
      </w:r>
      <w:r w:rsidRPr="00267B26" w:rsidDel="00A94FF6">
        <w:rPr>
          <w:bCs/>
        </w:rPr>
        <w:t xml:space="preserve"> </w:t>
      </w:r>
      <w:r w:rsidRPr="00267B26">
        <w:rPr>
          <w:bCs/>
        </w:rPr>
        <w:t>sredstva Sklada za okrevanje in odpornost.</w:t>
      </w:r>
      <w:r w:rsidRPr="00267B26">
        <w:t xml:space="preserve"> V zasebnem sektorju bo na spodbudno investicijsko aktivnost vplivala tudi nizka zadolženost. Prav tako pričakujemo rast stanovanjskih investicij, saj povpraševanje po stanovanjskih nepremičninah ostaja na visokih ravneh, ponudba novih nepremičnin pa je bila v preteklih letih relativno nizka. Predvidevamo, da se bo v prihodnjih letih ponudba okrepila, kar nakazujejo tudi podatki o izdanih gradbenih dovoljenjih.</w:t>
      </w:r>
    </w:p>
    <w:p w14:paraId="049409F9" w14:textId="77777777" w:rsidR="002915D2" w:rsidRPr="002915D2" w:rsidRDefault="002915D2" w:rsidP="002915D2">
      <w:pPr>
        <w:pStyle w:val="BesediloNAPOVED"/>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8A3B05" w:rsidRPr="00751224" w14:paraId="659D4448" w14:textId="77777777" w:rsidTr="008E1A99">
        <w:tc>
          <w:tcPr>
            <w:tcW w:w="4530" w:type="dxa"/>
          </w:tcPr>
          <w:p w14:paraId="343A709C" w14:textId="4BB6859C" w:rsidR="008A3B05" w:rsidRPr="00751224" w:rsidRDefault="008A3B05" w:rsidP="00716592">
            <w:pPr>
              <w:pStyle w:val="Caption"/>
              <w:rPr>
                <w:highlight w:val="yellow"/>
              </w:rPr>
            </w:pPr>
            <w:bookmarkStart w:id="26" w:name="_Toc34824842"/>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11</w:t>
            </w:r>
            <w:r w:rsidRPr="00751224">
              <w:rPr>
                <w:highlight w:val="yellow"/>
              </w:rPr>
              <w:fldChar w:fldCharType="end"/>
            </w:r>
            <w:r w:rsidRPr="00751224">
              <w:rPr>
                <w:highlight w:val="yellow"/>
              </w:rPr>
              <w:t xml:space="preserve">: </w:t>
            </w:r>
            <w:bookmarkEnd w:id="26"/>
            <w:r w:rsidR="0020779B" w:rsidRPr="00751224">
              <w:rPr>
                <w:highlight w:val="yellow"/>
              </w:rPr>
              <w:t>P</w:t>
            </w:r>
            <w:r w:rsidRPr="00751224">
              <w:rPr>
                <w:highlight w:val="yellow"/>
              </w:rPr>
              <w:t>adec gospodarske aktivnosti</w:t>
            </w:r>
            <w:r w:rsidR="0020779B" w:rsidRPr="00751224">
              <w:rPr>
                <w:highlight w:val="yellow"/>
              </w:rPr>
              <w:t xml:space="preserve"> je bil v zadnjem četrtletju veliko nižji kot v drugem</w:t>
            </w:r>
          </w:p>
          <w:p w14:paraId="40FEEA83" w14:textId="77777777" w:rsidR="008A3B05" w:rsidRPr="00751224" w:rsidRDefault="008A3B05" w:rsidP="00716592">
            <w:pPr>
              <w:pStyle w:val="Caption"/>
              <w:rPr>
                <w:highlight w:val="yellow"/>
              </w:rPr>
            </w:pPr>
          </w:p>
          <w:p w14:paraId="0E777544" w14:textId="41242A9F" w:rsidR="008A3B05" w:rsidRPr="00751224" w:rsidRDefault="0020779B" w:rsidP="00716592">
            <w:pPr>
              <w:pStyle w:val="Caption"/>
              <w:rPr>
                <w:highlight w:val="yellow"/>
              </w:rPr>
            </w:pPr>
            <w:r w:rsidRPr="00751224">
              <w:rPr>
                <w:highlight w:val="yellow"/>
                <w:lang w:eastAsia="sl-SI"/>
              </w:rPr>
              <w:drawing>
                <wp:inline distT="0" distB="0" distL="0" distR="0" wp14:anchorId="4F5DACD5" wp14:editId="49AB0679">
                  <wp:extent cx="2738755" cy="2236470"/>
                  <wp:effectExtent l="0" t="0" r="4445" b="0"/>
                  <wp:docPr id="96" name="Slika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755" cy="2236470"/>
                          </a:xfrm>
                          <a:prstGeom prst="rect">
                            <a:avLst/>
                          </a:prstGeom>
                          <a:noFill/>
                          <a:ln>
                            <a:noFill/>
                          </a:ln>
                        </pic:spPr>
                      </pic:pic>
                    </a:graphicData>
                  </a:graphic>
                </wp:inline>
              </w:drawing>
            </w:r>
          </w:p>
        </w:tc>
        <w:tc>
          <w:tcPr>
            <w:tcW w:w="4530" w:type="dxa"/>
          </w:tcPr>
          <w:p w14:paraId="17DA64BB" w14:textId="4AC8436D" w:rsidR="008A3B05" w:rsidRPr="00751224" w:rsidRDefault="008A3B05"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12</w:t>
            </w:r>
            <w:r w:rsidRPr="00751224">
              <w:rPr>
                <w:highlight w:val="yellow"/>
              </w:rPr>
              <w:fldChar w:fldCharType="end"/>
            </w:r>
            <w:r w:rsidRPr="00751224">
              <w:rPr>
                <w:highlight w:val="yellow"/>
              </w:rPr>
              <w:t xml:space="preserve">: </w:t>
            </w:r>
            <w:r w:rsidR="001D7A13" w:rsidRPr="00751224">
              <w:rPr>
                <w:highlight w:val="yellow"/>
              </w:rPr>
              <w:t>Investicije so začele okrevati že v drugi polovici lanskega leta</w:t>
            </w:r>
          </w:p>
          <w:p w14:paraId="30572829" w14:textId="77777777" w:rsidR="008A3B05" w:rsidRPr="00751224" w:rsidRDefault="008A3B05" w:rsidP="00716592">
            <w:pPr>
              <w:pStyle w:val="Caption"/>
              <w:rPr>
                <w:highlight w:val="yellow"/>
              </w:rPr>
            </w:pPr>
          </w:p>
          <w:p w14:paraId="1AAC78A6" w14:textId="65267CB9" w:rsidR="008A3B05" w:rsidRPr="00751224" w:rsidRDefault="00C61B1D" w:rsidP="00716592">
            <w:pPr>
              <w:pStyle w:val="Caption"/>
              <w:rPr>
                <w:highlight w:val="yellow"/>
              </w:rPr>
            </w:pPr>
            <w:r w:rsidRPr="00751224">
              <w:rPr>
                <w:highlight w:val="yellow"/>
                <w:lang w:eastAsia="sl-SI"/>
              </w:rPr>
              <w:drawing>
                <wp:inline distT="0" distB="0" distL="0" distR="0" wp14:anchorId="01D6BFAA" wp14:editId="699A7279">
                  <wp:extent cx="2734945" cy="2242185"/>
                  <wp:effectExtent l="0" t="0" r="8255" b="5715"/>
                  <wp:docPr id="99" name="Slika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r>
    </w:tbl>
    <w:p w14:paraId="4EC9F14A" w14:textId="6796D56B" w:rsidR="008A3B05" w:rsidRPr="00751224" w:rsidRDefault="008A3B05" w:rsidP="00573577">
      <w:pPr>
        <w:pStyle w:val="BesediloNAPOVED"/>
        <w:rPr>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6B6CC3" w:rsidRPr="00751224" w14:paraId="2B33CF1E" w14:textId="77777777" w:rsidTr="008E1A99">
        <w:tc>
          <w:tcPr>
            <w:tcW w:w="4530" w:type="dxa"/>
          </w:tcPr>
          <w:p w14:paraId="70F9FA50" w14:textId="468E5F96" w:rsidR="006B6CC3" w:rsidRPr="00751224" w:rsidRDefault="006B6CC3"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13</w:t>
            </w:r>
            <w:r w:rsidRPr="00751224">
              <w:rPr>
                <w:highlight w:val="yellow"/>
              </w:rPr>
              <w:fldChar w:fldCharType="end"/>
            </w:r>
            <w:r w:rsidRPr="00751224">
              <w:rPr>
                <w:highlight w:val="yellow"/>
              </w:rPr>
              <w:t>: Izvoz storitev je</w:t>
            </w:r>
            <w:r w:rsidR="00A77DE4" w:rsidRPr="00751224">
              <w:rPr>
                <w:highlight w:val="yellow"/>
              </w:rPr>
              <w:t xml:space="preserve"> predvsem zaradi zmanjšanih turističnih in poslovnih potovanj</w:t>
            </w:r>
            <w:r w:rsidRPr="00751224">
              <w:rPr>
                <w:highlight w:val="yellow"/>
              </w:rPr>
              <w:t xml:space="preserve"> upadel bolj od izvoza blaga</w:t>
            </w:r>
          </w:p>
          <w:p w14:paraId="4104D1AA" w14:textId="77777777" w:rsidR="006B6CC3" w:rsidRPr="00751224" w:rsidRDefault="006B6CC3" w:rsidP="00716592">
            <w:pPr>
              <w:pStyle w:val="Caption"/>
              <w:rPr>
                <w:highlight w:val="yellow"/>
              </w:rPr>
            </w:pPr>
          </w:p>
          <w:p w14:paraId="70EC314F" w14:textId="572F28F2" w:rsidR="006B6CC3" w:rsidRPr="00751224" w:rsidRDefault="006B6CC3" w:rsidP="00716592">
            <w:pPr>
              <w:pStyle w:val="Caption"/>
              <w:rPr>
                <w:highlight w:val="yellow"/>
              </w:rPr>
            </w:pPr>
            <w:r w:rsidRPr="00751224">
              <w:rPr>
                <w:highlight w:val="yellow"/>
                <w:lang w:eastAsia="sl-SI"/>
              </w:rPr>
              <w:drawing>
                <wp:inline distT="0" distB="0" distL="0" distR="0" wp14:anchorId="4742AD78" wp14:editId="6405C176">
                  <wp:extent cx="2738755" cy="2240915"/>
                  <wp:effectExtent l="0" t="0" r="4445" b="6985"/>
                  <wp:docPr id="98" name="Slika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c>
          <w:tcPr>
            <w:tcW w:w="4530" w:type="dxa"/>
          </w:tcPr>
          <w:p w14:paraId="302C99A3" w14:textId="08312101" w:rsidR="006B6CC3" w:rsidRPr="00751224" w:rsidRDefault="006B6CC3" w:rsidP="008E1A99">
            <w:pPr>
              <w:pStyle w:val="Caption"/>
              <w:rPr>
                <w:noProof w:val="0"/>
                <w:highlight w:val="yellow"/>
              </w:rPr>
            </w:pPr>
          </w:p>
          <w:p w14:paraId="3A0ED875" w14:textId="77777777" w:rsidR="006B6CC3" w:rsidRPr="00751224" w:rsidRDefault="006B6CC3" w:rsidP="008E1A99">
            <w:pPr>
              <w:pStyle w:val="BesediloNAPOVED"/>
              <w:rPr>
                <w:highlight w:val="yellow"/>
              </w:rPr>
            </w:pPr>
          </w:p>
          <w:p w14:paraId="6692DCF7" w14:textId="17DCEDAB" w:rsidR="006B6CC3" w:rsidRPr="00751224" w:rsidRDefault="006B6CC3" w:rsidP="008E1A99">
            <w:pPr>
              <w:pStyle w:val="BesediloNAPOVED"/>
              <w:rPr>
                <w:b/>
                <w:highlight w:val="yellow"/>
              </w:rPr>
            </w:pPr>
          </w:p>
        </w:tc>
      </w:tr>
    </w:tbl>
    <w:p w14:paraId="0C867652" w14:textId="77777777" w:rsidR="008E1A99" w:rsidRPr="00751224" w:rsidRDefault="008E1A99" w:rsidP="008E1A99">
      <w:pPr>
        <w:pStyle w:val="Caption"/>
        <w:rPr>
          <w:noProof w:val="0"/>
          <w:highlight w:val="yellow"/>
        </w:rPr>
      </w:pPr>
    </w:p>
    <w:p w14:paraId="06074670" w14:textId="5E8E1623" w:rsidR="008E1A99" w:rsidRPr="00751224" w:rsidRDefault="008E1A99" w:rsidP="008E1A99">
      <w:pPr>
        <w:pStyle w:val="Caption"/>
        <w:rPr>
          <w:noProof w:val="0"/>
          <w:highlight w:val="yellow"/>
        </w:rPr>
      </w:pPr>
      <w:bookmarkStart w:id="27" w:name="_Hlk66860151"/>
      <w:r w:rsidRPr="00751224">
        <w:rPr>
          <w:noProof w:val="0"/>
          <w:highlight w:val="yellow"/>
        </w:rPr>
        <w:t xml:space="preserve">Tabela </w:t>
      </w:r>
      <w:r w:rsidRPr="00751224">
        <w:rPr>
          <w:noProof w:val="0"/>
          <w:highlight w:val="yellow"/>
        </w:rPr>
        <w:fldChar w:fldCharType="begin"/>
      </w:r>
      <w:r w:rsidRPr="00751224">
        <w:rPr>
          <w:noProof w:val="0"/>
          <w:highlight w:val="yellow"/>
        </w:rPr>
        <w:instrText xml:space="preserve"> SEQ Tabela \* ARABIC </w:instrText>
      </w:r>
      <w:r w:rsidRPr="00751224">
        <w:rPr>
          <w:noProof w:val="0"/>
          <w:highlight w:val="yellow"/>
        </w:rPr>
        <w:fldChar w:fldCharType="separate"/>
      </w:r>
      <w:r w:rsidR="00D224DD">
        <w:rPr>
          <w:highlight w:val="yellow"/>
        </w:rPr>
        <w:t>3</w:t>
      </w:r>
      <w:r w:rsidRPr="00751224">
        <w:rPr>
          <w:noProof w:val="0"/>
          <w:highlight w:val="yellow"/>
        </w:rPr>
        <w:fldChar w:fldCharType="end"/>
      </w:r>
      <w:r w:rsidRPr="00751224">
        <w:rPr>
          <w:noProof w:val="0"/>
          <w:highlight w:val="yellow"/>
        </w:rPr>
        <w:t xml:space="preserve">: Napoved gospodarske rasti </w:t>
      </w:r>
    </w:p>
    <w:tbl>
      <w:tblPr>
        <w:tblW w:w="5000" w:type="pct"/>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22"/>
        <w:gridCol w:w="838"/>
        <w:gridCol w:w="1027"/>
        <w:gridCol w:w="1116"/>
        <w:gridCol w:w="1027"/>
        <w:gridCol w:w="1123"/>
        <w:gridCol w:w="1117"/>
      </w:tblGrid>
      <w:tr w:rsidR="008E1A99" w:rsidRPr="00751224" w14:paraId="2F3994DE" w14:textId="77777777" w:rsidTr="008E1A99">
        <w:trPr>
          <w:trHeight w:val="255"/>
        </w:trPr>
        <w:tc>
          <w:tcPr>
            <w:tcW w:w="1556" w:type="pct"/>
            <w:vMerge w:val="restart"/>
            <w:vAlign w:val="center"/>
            <w:hideMark/>
          </w:tcPr>
          <w:p w14:paraId="6025F134" w14:textId="77777777" w:rsidR="008E1A99" w:rsidRPr="00751224" w:rsidRDefault="008E1A99" w:rsidP="008E1A99">
            <w:pPr>
              <w:pStyle w:val="TabelalevistolpecglavaNAPOVED"/>
              <w:rPr>
                <w:highlight w:val="yellow"/>
              </w:rPr>
            </w:pPr>
            <w:r w:rsidRPr="00751224">
              <w:rPr>
                <w:highlight w:val="yellow"/>
              </w:rPr>
              <w:t xml:space="preserve">Realne stopnje rasti, </w:t>
            </w:r>
          </w:p>
          <w:p w14:paraId="2AA352C6" w14:textId="77777777" w:rsidR="008E1A99" w:rsidRPr="00751224" w:rsidRDefault="008E1A99" w:rsidP="008E1A99">
            <w:pPr>
              <w:pStyle w:val="TabelalevistolpecglavaNAPOVED"/>
              <w:rPr>
                <w:highlight w:val="yellow"/>
              </w:rPr>
            </w:pPr>
            <w:r w:rsidRPr="00751224">
              <w:rPr>
                <w:highlight w:val="yellow"/>
              </w:rPr>
              <w:t>v %</w:t>
            </w:r>
          </w:p>
        </w:tc>
        <w:tc>
          <w:tcPr>
            <w:tcW w:w="462" w:type="pct"/>
            <w:vMerge w:val="restart"/>
            <w:vAlign w:val="center"/>
            <w:hideMark/>
          </w:tcPr>
          <w:p w14:paraId="56AB4B92" w14:textId="77777777" w:rsidR="008E1A99" w:rsidRPr="00751224" w:rsidRDefault="008E1A99" w:rsidP="008E1A99">
            <w:pPr>
              <w:pStyle w:val="TabelaglavaNAPOVED"/>
              <w:rPr>
                <w:highlight w:val="yellow"/>
              </w:rPr>
            </w:pPr>
            <w:r w:rsidRPr="00751224">
              <w:rPr>
                <w:rFonts w:cs="Arial"/>
                <w:color w:val="000000"/>
                <w:szCs w:val="16"/>
                <w:highlight w:val="yellow"/>
              </w:rPr>
              <w:t>2020</w:t>
            </w:r>
          </w:p>
        </w:tc>
        <w:tc>
          <w:tcPr>
            <w:tcW w:w="1181" w:type="pct"/>
            <w:gridSpan w:val="2"/>
            <w:vAlign w:val="center"/>
            <w:hideMark/>
          </w:tcPr>
          <w:p w14:paraId="047F117C" w14:textId="77777777" w:rsidR="008E1A99" w:rsidRPr="00751224" w:rsidRDefault="008E1A99" w:rsidP="008E1A99">
            <w:pPr>
              <w:pStyle w:val="TabelaglavaNAPOVED"/>
              <w:jc w:val="center"/>
              <w:rPr>
                <w:highlight w:val="yellow"/>
              </w:rPr>
            </w:pPr>
            <w:r w:rsidRPr="00751224">
              <w:rPr>
                <w:rFonts w:cs="Arial"/>
                <w:color w:val="000000"/>
                <w:szCs w:val="16"/>
                <w:highlight w:val="yellow"/>
              </w:rPr>
              <w:t>2021</w:t>
            </w:r>
          </w:p>
        </w:tc>
        <w:tc>
          <w:tcPr>
            <w:tcW w:w="1185" w:type="pct"/>
            <w:gridSpan w:val="2"/>
            <w:vAlign w:val="center"/>
            <w:hideMark/>
          </w:tcPr>
          <w:p w14:paraId="19CE75AD" w14:textId="77777777" w:rsidR="008E1A99" w:rsidRPr="00751224" w:rsidRDefault="008E1A99" w:rsidP="008E1A99">
            <w:pPr>
              <w:pStyle w:val="TabelaglavaNAPOVED"/>
              <w:jc w:val="center"/>
              <w:rPr>
                <w:highlight w:val="yellow"/>
              </w:rPr>
            </w:pPr>
            <w:r w:rsidRPr="00751224">
              <w:rPr>
                <w:rFonts w:cs="Arial"/>
                <w:color w:val="000000"/>
                <w:szCs w:val="16"/>
                <w:highlight w:val="yellow"/>
              </w:rPr>
              <w:t>2022</w:t>
            </w:r>
          </w:p>
        </w:tc>
        <w:tc>
          <w:tcPr>
            <w:tcW w:w="616" w:type="pct"/>
            <w:vAlign w:val="center"/>
          </w:tcPr>
          <w:p w14:paraId="20852718" w14:textId="77777777" w:rsidR="008E1A99" w:rsidRPr="00751224" w:rsidRDefault="008E1A99" w:rsidP="008E1A99">
            <w:pPr>
              <w:pStyle w:val="TabelaglavaNAPOVED"/>
              <w:rPr>
                <w:highlight w:val="yellow"/>
              </w:rPr>
            </w:pPr>
            <w:r w:rsidRPr="00751224">
              <w:rPr>
                <w:rFonts w:cs="Arial"/>
                <w:color w:val="000000"/>
                <w:szCs w:val="16"/>
                <w:highlight w:val="yellow"/>
              </w:rPr>
              <w:t>2023</w:t>
            </w:r>
          </w:p>
        </w:tc>
      </w:tr>
      <w:tr w:rsidR="008E1A99" w:rsidRPr="00751224" w14:paraId="4BD942AE" w14:textId="77777777" w:rsidTr="008E1A99">
        <w:trPr>
          <w:trHeight w:val="255"/>
        </w:trPr>
        <w:tc>
          <w:tcPr>
            <w:tcW w:w="1556" w:type="pct"/>
            <w:vMerge/>
            <w:hideMark/>
          </w:tcPr>
          <w:p w14:paraId="4F10D79F" w14:textId="77777777" w:rsidR="008E1A99" w:rsidRPr="00751224" w:rsidRDefault="008E1A99" w:rsidP="008E1A99">
            <w:pPr>
              <w:spacing w:after="0"/>
              <w:rPr>
                <w:rFonts w:ascii="Myriad Pro" w:hAnsi="Myriad Pro" w:cs="Arial"/>
                <w:bCs/>
                <w:color w:val="000000"/>
                <w:sz w:val="16"/>
                <w:szCs w:val="16"/>
                <w:highlight w:val="yellow"/>
              </w:rPr>
            </w:pPr>
          </w:p>
        </w:tc>
        <w:tc>
          <w:tcPr>
            <w:tcW w:w="462" w:type="pct"/>
            <w:vMerge/>
            <w:vAlign w:val="center"/>
            <w:hideMark/>
          </w:tcPr>
          <w:p w14:paraId="542CD9D5" w14:textId="77777777" w:rsidR="008E1A99" w:rsidRPr="00751224" w:rsidRDefault="008E1A99" w:rsidP="008E1A99">
            <w:pPr>
              <w:pStyle w:val="TabelaglavaNAPOVED"/>
              <w:rPr>
                <w:highlight w:val="yellow"/>
              </w:rPr>
            </w:pPr>
          </w:p>
        </w:tc>
        <w:tc>
          <w:tcPr>
            <w:tcW w:w="566" w:type="pct"/>
            <w:tcBorders>
              <w:bottom w:val="single" w:sz="4" w:space="0" w:color="000000"/>
            </w:tcBorders>
            <w:vAlign w:val="center"/>
          </w:tcPr>
          <w:p w14:paraId="57ADAFDF" w14:textId="77777777" w:rsidR="008E1A99" w:rsidRPr="00751224" w:rsidRDefault="008E1A99" w:rsidP="008E1A99">
            <w:pPr>
              <w:pStyle w:val="TabelaglavaNAPOVED"/>
              <w:rPr>
                <w:highlight w:val="yellow"/>
              </w:rPr>
            </w:pPr>
            <w:r w:rsidRPr="00751224">
              <w:rPr>
                <w:rFonts w:cs="Arial"/>
                <w:color w:val="000000"/>
                <w:szCs w:val="16"/>
                <w:highlight w:val="yellow"/>
              </w:rPr>
              <w:t>december 2020</w:t>
            </w:r>
          </w:p>
        </w:tc>
        <w:tc>
          <w:tcPr>
            <w:tcW w:w="615" w:type="pct"/>
            <w:shd w:val="clear" w:color="auto" w:fill="E9E9E9" w:themeFill="accent3" w:themeFillTint="33"/>
            <w:vAlign w:val="center"/>
          </w:tcPr>
          <w:p w14:paraId="3D40E2A4" w14:textId="77777777" w:rsidR="008E1A99" w:rsidRPr="00751224" w:rsidRDefault="008E1A99" w:rsidP="008E1A99">
            <w:pPr>
              <w:pStyle w:val="TabelaglavaNAPOVED"/>
              <w:rPr>
                <w:color w:val="9E001A"/>
                <w:highlight w:val="yellow"/>
              </w:rPr>
            </w:pPr>
            <w:r w:rsidRPr="00751224">
              <w:rPr>
                <w:rFonts w:eastAsia="Calibri" w:cs="Arial"/>
                <w:color w:val="9E001A"/>
                <w:szCs w:val="16"/>
                <w:highlight w:val="yellow"/>
              </w:rPr>
              <w:t>marec  2021</w:t>
            </w:r>
          </w:p>
        </w:tc>
        <w:tc>
          <w:tcPr>
            <w:tcW w:w="566" w:type="pct"/>
            <w:tcBorders>
              <w:bottom w:val="single" w:sz="4" w:space="0" w:color="000000"/>
            </w:tcBorders>
            <w:vAlign w:val="center"/>
          </w:tcPr>
          <w:p w14:paraId="7D43853E" w14:textId="77777777" w:rsidR="008E1A99" w:rsidRPr="00751224" w:rsidRDefault="008E1A99" w:rsidP="008E1A99">
            <w:pPr>
              <w:pStyle w:val="TabelaglavaNAPOVED"/>
              <w:rPr>
                <w:highlight w:val="yellow"/>
              </w:rPr>
            </w:pPr>
            <w:r w:rsidRPr="00751224">
              <w:rPr>
                <w:rFonts w:cs="Arial"/>
                <w:color w:val="000000"/>
                <w:szCs w:val="16"/>
                <w:highlight w:val="yellow"/>
              </w:rPr>
              <w:t>december 2020</w:t>
            </w:r>
          </w:p>
        </w:tc>
        <w:tc>
          <w:tcPr>
            <w:tcW w:w="619" w:type="pct"/>
            <w:shd w:val="clear" w:color="auto" w:fill="E9E9E9" w:themeFill="accent3" w:themeFillTint="33"/>
          </w:tcPr>
          <w:p w14:paraId="225B894C" w14:textId="77777777" w:rsidR="008E1A99" w:rsidRPr="00751224" w:rsidRDefault="008E1A99" w:rsidP="008E1A99">
            <w:pPr>
              <w:pStyle w:val="TabelaglavaNAPOVED"/>
              <w:rPr>
                <w:color w:val="9E001A"/>
                <w:highlight w:val="yellow"/>
              </w:rPr>
            </w:pPr>
            <w:r w:rsidRPr="00751224">
              <w:rPr>
                <w:rFonts w:eastAsia="Calibri" w:cs="Arial"/>
                <w:color w:val="9E001A"/>
                <w:szCs w:val="16"/>
                <w:highlight w:val="yellow"/>
              </w:rPr>
              <w:t>marec       2021</w:t>
            </w:r>
          </w:p>
        </w:tc>
        <w:tc>
          <w:tcPr>
            <w:tcW w:w="616" w:type="pct"/>
            <w:shd w:val="clear" w:color="auto" w:fill="E9E9E9" w:themeFill="accent3" w:themeFillTint="33"/>
          </w:tcPr>
          <w:p w14:paraId="2CAEE022" w14:textId="77777777" w:rsidR="008E1A99" w:rsidRPr="00751224" w:rsidRDefault="008E1A99" w:rsidP="008E1A99">
            <w:pPr>
              <w:pStyle w:val="TabelaglavaNAPOVED"/>
              <w:rPr>
                <w:highlight w:val="yellow"/>
              </w:rPr>
            </w:pPr>
            <w:r w:rsidRPr="00751224">
              <w:rPr>
                <w:rFonts w:eastAsia="Calibri" w:cs="Arial"/>
                <w:color w:val="9E001A"/>
                <w:szCs w:val="16"/>
                <w:highlight w:val="yellow"/>
              </w:rPr>
              <w:t>marec               2021</w:t>
            </w:r>
          </w:p>
        </w:tc>
      </w:tr>
      <w:tr w:rsidR="008E1A99" w:rsidRPr="00751224" w14:paraId="57E924A9" w14:textId="77777777" w:rsidTr="008E1A99">
        <w:trPr>
          <w:trHeight w:val="255"/>
        </w:trPr>
        <w:tc>
          <w:tcPr>
            <w:tcW w:w="1556" w:type="pct"/>
            <w:vAlign w:val="center"/>
            <w:hideMark/>
          </w:tcPr>
          <w:p w14:paraId="68DFEE3E" w14:textId="77777777" w:rsidR="008E1A99" w:rsidRPr="00751224" w:rsidRDefault="008E1A99" w:rsidP="008E1A99">
            <w:pPr>
              <w:pStyle w:val="TabelalevistolpecNAPOVED"/>
              <w:rPr>
                <w:highlight w:val="yellow"/>
              </w:rPr>
            </w:pPr>
            <w:r w:rsidRPr="00751224">
              <w:rPr>
                <w:highlight w:val="yellow"/>
              </w:rPr>
              <w:t>Bruto domači proizvod</w:t>
            </w:r>
          </w:p>
        </w:tc>
        <w:tc>
          <w:tcPr>
            <w:tcW w:w="462" w:type="pct"/>
            <w:vAlign w:val="center"/>
          </w:tcPr>
          <w:p w14:paraId="71C3A2FA" w14:textId="77777777" w:rsidR="008E1A99" w:rsidRPr="00751224" w:rsidRDefault="008E1A99" w:rsidP="008E1A99">
            <w:pPr>
              <w:pStyle w:val="TabelaNAPOVED"/>
              <w:rPr>
                <w:highlight w:val="yellow"/>
              </w:rPr>
            </w:pPr>
            <w:r w:rsidRPr="00751224">
              <w:rPr>
                <w:rFonts w:cs="Arial"/>
                <w:color w:val="000000"/>
                <w:szCs w:val="16"/>
                <w:highlight w:val="yellow"/>
              </w:rPr>
              <w:t>-5,5</w:t>
            </w:r>
          </w:p>
        </w:tc>
        <w:tc>
          <w:tcPr>
            <w:tcW w:w="566" w:type="pct"/>
            <w:shd w:val="clear" w:color="auto" w:fill="auto"/>
            <w:vAlign w:val="center"/>
          </w:tcPr>
          <w:p w14:paraId="79504495" w14:textId="77777777" w:rsidR="008E1A99" w:rsidRPr="00751224" w:rsidRDefault="008E1A99" w:rsidP="008E1A99">
            <w:pPr>
              <w:pStyle w:val="TabelaNAPOVED"/>
              <w:rPr>
                <w:bCs/>
                <w:highlight w:val="yellow"/>
              </w:rPr>
            </w:pPr>
            <w:r w:rsidRPr="00751224">
              <w:rPr>
                <w:rFonts w:cs="Arial"/>
                <w:color w:val="000000"/>
                <w:szCs w:val="16"/>
                <w:highlight w:val="yellow"/>
              </w:rPr>
              <w:t>4,3</w:t>
            </w:r>
          </w:p>
        </w:tc>
        <w:tc>
          <w:tcPr>
            <w:tcW w:w="615" w:type="pct"/>
            <w:shd w:val="clear" w:color="auto" w:fill="E9E9E9" w:themeFill="accent3" w:themeFillTint="33"/>
            <w:vAlign w:val="center"/>
          </w:tcPr>
          <w:p w14:paraId="1763FA66"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4,6</w:t>
            </w:r>
          </w:p>
        </w:tc>
        <w:tc>
          <w:tcPr>
            <w:tcW w:w="566" w:type="pct"/>
            <w:shd w:val="clear" w:color="auto" w:fill="auto"/>
            <w:vAlign w:val="center"/>
          </w:tcPr>
          <w:p w14:paraId="7189CEAD" w14:textId="77777777" w:rsidR="008E1A99" w:rsidRPr="00751224" w:rsidRDefault="008E1A99" w:rsidP="008E1A99">
            <w:pPr>
              <w:pStyle w:val="TabelaNAPOVED"/>
              <w:rPr>
                <w:bCs/>
                <w:highlight w:val="yellow"/>
              </w:rPr>
            </w:pPr>
            <w:r w:rsidRPr="00751224">
              <w:rPr>
                <w:rFonts w:cs="Arial"/>
                <w:color w:val="000000"/>
                <w:szCs w:val="16"/>
                <w:highlight w:val="yellow"/>
              </w:rPr>
              <w:t>4,4</w:t>
            </w:r>
          </w:p>
        </w:tc>
        <w:tc>
          <w:tcPr>
            <w:tcW w:w="619" w:type="pct"/>
            <w:shd w:val="clear" w:color="auto" w:fill="E9E9E9" w:themeFill="accent3" w:themeFillTint="33"/>
            <w:vAlign w:val="center"/>
          </w:tcPr>
          <w:p w14:paraId="4ECAC8D2"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4,4</w:t>
            </w:r>
          </w:p>
        </w:tc>
        <w:tc>
          <w:tcPr>
            <w:tcW w:w="616" w:type="pct"/>
            <w:shd w:val="clear" w:color="auto" w:fill="E9E9E9" w:themeFill="accent3" w:themeFillTint="33"/>
            <w:vAlign w:val="center"/>
          </w:tcPr>
          <w:p w14:paraId="5486F16F"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3,3</w:t>
            </w:r>
          </w:p>
        </w:tc>
      </w:tr>
      <w:tr w:rsidR="008E1A99" w:rsidRPr="00751224" w14:paraId="0A1C67A5" w14:textId="77777777" w:rsidTr="008E1A99">
        <w:trPr>
          <w:trHeight w:val="255"/>
        </w:trPr>
        <w:tc>
          <w:tcPr>
            <w:tcW w:w="1556" w:type="pct"/>
            <w:vAlign w:val="center"/>
            <w:hideMark/>
          </w:tcPr>
          <w:p w14:paraId="26305278" w14:textId="77777777" w:rsidR="008E1A99" w:rsidRPr="00751224" w:rsidRDefault="008E1A99" w:rsidP="008E1A99">
            <w:pPr>
              <w:pStyle w:val="TabelalevistolpecNAPOVED"/>
              <w:rPr>
                <w:highlight w:val="yellow"/>
              </w:rPr>
            </w:pPr>
            <w:r w:rsidRPr="00751224">
              <w:rPr>
                <w:highlight w:val="yellow"/>
              </w:rPr>
              <w:t>Izvoz</w:t>
            </w:r>
          </w:p>
        </w:tc>
        <w:tc>
          <w:tcPr>
            <w:tcW w:w="462" w:type="pct"/>
            <w:vAlign w:val="center"/>
          </w:tcPr>
          <w:p w14:paraId="26D88EBA" w14:textId="77777777" w:rsidR="008E1A99" w:rsidRPr="00751224" w:rsidRDefault="008E1A99" w:rsidP="008E1A99">
            <w:pPr>
              <w:pStyle w:val="TabelaNAPOVED"/>
              <w:rPr>
                <w:highlight w:val="yellow"/>
              </w:rPr>
            </w:pPr>
            <w:r w:rsidRPr="00751224">
              <w:rPr>
                <w:rFonts w:cs="Arial"/>
                <w:color w:val="000000"/>
                <w:szCs w:val="16"/>
                <w:highlight w:val="yellow"/>
              </w:rPr>
              <w:t>-8,7</w:t>
            </w:r>
          </w:p>
        </w:tc>
        <w:tc>
          <w:tcPr>
            <w:tcW w:w="566" w:type="pct"/>
            <w:shd w:val="clear" w:color="auto" w:fill="auto"/>
            <w:vAlign w:val="center"/>
          </w:tcPr>
          <w:p w14:paraId="5CE833D6" w14:textId="77777777" w:rsidR="008E1A99" w:rsidRPr="00751224" w:rsidRDefault="008E1A99" w:rsidP="008E1A99">
            <w:pPr>
              <w:pStyle w:val="TabelaNAPOVED"/>
              <w:rPr>
                <w:bCs/>
                <w:highlight w:val="yellow"/>
              </w:rPr>
            </w:pPr>
            <w:r w:rsidRPr="00751224">
              <w:rPr>
                <w:rFonts w:cs="Arial"/>
                <w:color w:val="000000"/>
                <w:szCs w:val="16"/>
                <w:highlight w:val="yellow"/>
              </w:rPr>
              <w:t>7,6</w:t>
            </w:r>
          </w:p>
        </w:tc>
        <w:tc>
          <w:tcPr>
            <w:tcW w:w="615" w:type="pct"/>
            <w:shd w:val="clear" w:color="auto" w:fill="E9E9E9" w:themeFill="accent3" w:themeFillTint="33"/>
            <w:vAlign w:val="center"/>
          </w:tcPr>
          <w:p w14:paraId="53197068" w14:textId="29ABFA54"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8,</w:t>
            </w:r>
            <w:r w:rsidR="00CF1073" w:rsidRPr="00751224">
              <w:rPr>
                <w:rFonts w:eastAsia="Calibri" w:cs="Arial"/>
                <w:b/>
                <w:bCs/>
                <w:color w:val="9E001A"/>
                <w:szCs w:val="16"/>
                <w:highlight w:val="yellow"/>
              </w:rPr>
              <w:t>6</w:t>
            </w:r>
          </w:p>
        </w:tc>
        <w:tc>
          <w:tcPr>
            <w:tcW w:w="566" w:type="pct"/>
            <w:shd w:val="clear" w:color="auto" w:fill="auto"/>
            <w:vAlign w:val="center"/>
          </w:tcPr>
          <w:p w14:paraId="11FA338E" w14:textId="77777777" w:rsidR="008E1A99" w:rsidRPr="00751224" w:rsidRDefault="008E1A99" w:rsidP="008E1A99">
            <w:pPr>
              <w:pStyle w:val="TabelaNAPOVED"/>
              <w:rPr>
                <w:bCs/>
                <w:highlight w:val="yellow"/>
              </w:rPr>
            </w:pPr>
            <w:r w:rsidRPr="00751224">
              <w:rPr>
                <w:rFonts w:cs="Arial"/>
                <w:color w:val="000000"/>
                <w:szCs w:val="16"/>
                <w:highlight w:val="yellow"/>
              </w:rPr>
              <w:t>8,6</w:t>
            </w:r>
          </w:p>
        </w:tc>
        <w:tc>
          <w:tcPr>
            <w:tcW w:w="619" w:type="pct"/>
            <w:shd w:val="clear" w:color="auto" w:fill="E9E9E9" w:themeFill="accent3" w:themeFillTint="33"/>
            <w:vAlign w:val="center"/>
          </w:tcPr>
          <w:p w14:paraId="46988608"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7,3</w:t>
            </w:r>
          </w:p>
        </w:tc>
        <w:tc>
          <w:tcPr>
            <w:tcW w:w="616" w:type="pct"/>
            <w:shd w:val="clear" w:color="auto" w:fill="E9E9E9" w:themeFill="accent3" w:themeFillTint="33"/>
            <w:vAlign w:val="center"/>
          </w:tcPr>
          <w:p w14:paraId="645ACAA1"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5,5</w:t>
            </w:r>
          </w:p>
        </w:tc>
      </w:tr>
      <w:tr w:rsidR="008E1A99" w:rsidRPr="00751224" w14:paraId="5BC740B9" w14:textId="77777777" w:rsidTr="008E1A99">
        <w:trPr>
          <w:trHeight w:val="255"/>
        </w:trPr>
        <w:tc>
          <w:tcPr>
            <w:tcW w:w="1556" w:type="pct"/>
            <w:vAlign w:val="center"/>
            <w:hideMark/>
          </w:tcPr>
          <w:p w14:paraId="7EC0E0A8" w14:textId="77777777" w:rsidR="008E1A99" w:rsidRPr="00751224" w:rsidRDefault="008E1A99" w:rsidP="008E1A99">
            <w:pPr>
              <w:pStyle w:val="TabelalevistolpecNAPOVED"/>
              <w:rPr>
                <w:highlight w:val="yellow"/>
              </w:rPr>
            </w:pPr>
            <w:r w:rsidRPr="00751224">
              <w:rPr>
                <w:highlight w:val="yellow"/>
              </w:rPr>
              <w:t>Uvoz</w:t>
            </w:r>
          </w:p>
        </w:tc>
        <w:tc>
          <w:tcPr>
            <w:tcW w:w="462" w:type="pct"/>
            <w:vAlign w:val="center"/>
          </w:tcPr>
          <w:p w14:paraId="48778451" w14:textId="77777777" w:rsidR="008E1A99" w:rsidRPr="00751224" w:rsidRDefault="008E1A99" w:rsidP="008E1A99">
            <w:pPr>
              <w:pStyle w:val="TabelaNAPOVED"/>
              <w:rPr>
                <w:highlight w:val="yellow"/>
              </w:rPr>
            </w:pPr>
            <w:r w:rsidRPr="00751224">
              <w:rPr>
                <w:rFonts w:cs="Arial"/>
                <w:color w:val="000000"/>
                <w:szCs w:val="16"/>
                <w:highlight w:val="yellow"/>
              </w:rPr>
              <w:t>-10,2</w:t>
            </w:r>
          </w:p>
        </w:tc>
        <w:tc>
          <w:tcPr>
            <w:tcW w:w="566" w:type="pct"/>
            <w:shd w:val="clear" w:color="auto" w:fill="auto"/>
            <w:vAlign w:val="center"/>
          </w:tcPr>
          <w:p w14:paraId="2C1BF7DC" w14:textId="77777777" w:rsidR="008E1A99" w:rsidRPr="00751224" w:rsidRDefault="008E1A99" w:rsidP="008E1A99">
            <w:pPr>
              <w:pStyle w:val="TabelaNAPOVED"/>
              <w:rPr>
                <w:bCs/>
                <w:highlight w:val="yellow"/>
              </w:rPr>
            </w:pPr>
            <w:r w:rsidRPr="00751224">
              <w:rPr>
                <w:rFonts w:cs="Arial"/>
                <w:color w:val="000000"/>
                <w:szCs w:val="16"/>
                <w:highlight w:val="yellow"/>
              </w:rPr>
              <w:t>9,3</w:t>
            </w:r>
          </w:p>
        </w:tc>
        <w:tc>
          <w:tcPr>
            <w:tcW w:w="615" w:type="pct"/>
            <w:shd w:val="clear" w:color="auto" w:fill="E9E9E9" w:themeFill="accent3" w:themeFillTint="33"/>
            <w:vAlign w:val="center"/>
          </w:tcPr>
          <w:p w14:paraId="480083FE" w14:textId="6EE4F67D"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8,</w:t>
            </w:r>
            <w:r w:rsidR="00CF1073" w:rsidRPr="00751224">
              <w:rPr>
                <w:rFonts w:eastAsia="Calibri" w:cs="Arial"/>
                <w:b/>
                <w:bCs/>
                <w:color w:val="9E001A"/>
                <w:szCs w:val="16"/>
                <w:highlight w:val="yellow"/>
              </w:rPr>
              <w:t>8</w:t>
            </w:r>
          </w:p>
        </w:tc>
        <w:tc>
          <w:tcPr>
            <w:tcW w:w="566" w:type="pct"/>
            <w:shd w:val="clear" w:color="auto" w:fill="auto"/>
            <w:vAlign w:val="center"/>
          </w:tcPr>
          <w:p w14:paraId="56D495A4" w14:textId="77777777" w:rsidR="008E1A99" w:rsidRPr="00751224" w:rsidRDefault="008E1A99" w:rsidP="008E1A99">
            <w:pPr>
              <w:pStyle w:val="TabelaNAPOVED"/>
              <w:rPr>
                <w:bCs/>
                <w:highlight w:val="yellow"/>
              </w:rPr>
            </w:pPr>
            <w:r w:rsidRPr="00751224">
              <w:rPr>
                <w:rFonts w:cs="Arial"/>
                <w:color w:val="000000"/>
                <w:szCs w:val="16"/>
                <w:highlight w:val="yellow"/>
              </w:rPr>
              <w:t>9,5</w:t>
            </w:r>
          </w:p>
        </w:tc>
        <w:tc>
          <w:tcPr>
            <w:tcW w:w="619" w:type="pct"/>
            <w:shd w:val="clear" w:color="auto" w:fill="E9E9E9" w:themeFill="accent3" w:themeFillTint="33"/>
            <w:vAlign w:val="center"/>
          </w:tcPr>
          <w:p w14:paraId="347DA3C6"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8,1</w:t>
            </w:r>
          </w:p>
        </w:tc>
        <w:tc>
          <w:tcPr>
            <w:tcW w:w="616" w:type="pct"/>
            <w:shd w:val="clear" w:color="auto" w:fill="E9E9E9" w:themeFill="accent3" w:themeFillTint="33"/>
            <w:vAlign w:val="center"/>
          </w:tcPr>
          <w:p w14:paraId="5300ABAF"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6,1</w:t>
            </w:r>
          </w:p>
        </w:tc>
      </w:tr>
      <w:tr w:rsidR="008E1A99" w:rsidRPr="00751224" w14:paraId="49A533D8" w14:textId="77777777" w:rsidTr="008E1A99">
        <w:trPr>
          <w:trHeight w:val="255"/>
        </w:trPr>
        <w:tc>
          <w:tcPr>
            <w:tcW w:w="1556" w:type="pct"/>
            <w:vAlign w:val="center"/>
            <w:hideMark/>
          </w:tcPr>
          <w:p w14:paraId="060AE57B" w14:textId="77777777" w:rsidR="008E1A99" w:rsidRPr="00751224" w:rsidRDefault="008E1A99" w:rsidP="008E1A99">
            <w:pPr>
              <w:pStyle w:val="TabelalevistolpecNAPOVED"/>
              <w:rPr>
                <w:i/>
                <w:highlight w:val="yellow"/>
              </w:rPr>
            </w:pPr>
            <w:r w:rsidRPr="00751224">
              <w:rPr>
                <w:i/>
                <w:highlight w:val="yellow"/>
              </w:rPr>
              <w:t>Saldo menjave s tujino (prispevek k rasti v o.t.)</w:t>
            </w:r>
          </w:p>
        </w:tc>
        <w:tc>
          <w:tcPr>
            <w:tcW w:w="462" w:type="pct"/>
            <w:vAlign w:val="center"/>
          </w:tcPr>
          <w:p w14:paraId="6B126537" w14:textId="77777777" w:rsidR="008E1A99" w:rsidRPr="00751224" w:rsidRDefault="008E1A99" w:rsidP="008E1A99">
            <w:pPr>
              <w:pStyle w:val="TabelaNAPOVED"/>
              <w:rPr>
                <w:i/>
                <w:highlight w:val="yellow"/>
              </w:rPr>
            </w:pPr>
            <w:r w:rsidRPr="00751224">
              <w:rPr>
                <w:rFonts w:cs="Arial"/>
                <w:color w:val="000000"/>
                <w:szCs w:val="16"/>
                <w:highlight w:val="yellow"/>
              </w:rPr>
              <w:t>0,4</w:t>
            </w:r>
          </w:p>
        </w:tc>
        <w:tc>
          <w:tcPr>
            <w:tcW w:w="566" w:type="pct"/>
            <w:shd w:val="clear" w:color="auto" w:fill="auto"/>
            <w:vAlign w:val="center"/>
          </w:tcPr>
          <w:p w14:paraId="3BC1DE66" w14:textId="77777777" w:rsidR="008E1A99" w:rsidRPr="00751224" w:rsidRDefault="008E1A99" w:rsidP="008E1A99">
            <w:pPr>
              <w:pStyle w:val="TabelaNAPOVED"/>
              <w:rPr>
                <w:bCs/>
                <w:i/>
                <w:highlight w:val="yellow"/>
              </w:rPr>
            </w:pPr>
            <w:r w:rsidRPr="00751224">
              <w:rPr>
                <w:rFonts w:cs="Arial"/>
                <w:color w:val="000000"/>
                <w:szCs w:val="16"/>
                <w:highlight w:val="yellow"/>
              </w:rPr>
              <w:t>-0,5</w:t>
            </w:r>
          </w:p>
        </w:tc>
        <w:tc>
          <w:tcPr>
            <w:tcW w:w="615" w:type="pct"/>
            <w:shd w:val="clear" w:color="auto" w:fill="E9E9E9" w:themeFill="accent3" w:themeFillTint="33"/>
            <w:vAlign w:val="center"/>
          </w:tcPr>
          <w:p w14:paraId="177DCCCB" w14:textId="4D8ED349" w:rsidR="008E1A99" w:rsidRPr="00751224" w:rsidRDefault="008E1A99" w:rsidP="008E1A99">
            <w:pPr>
              <w:pStyle w:val="TabelaNAPOVED"/>
              <w:rPr>
                <w:b/>
                <w:i/>
                <w:iCs/>
                <w:color w:val="9E001A"/>
                <w:highlight w:val="yellow"/>
              </w:rPr>
            </w:pPr>
            <w:r w:rsidRPr="00751224">
              <w:rPr>
                <w:rFonts w:eastAsia="Calibri" w:cs="Arial"/>
                <w:b/>
                <w:bCs/>
                <w:color w:val="9E001A"/>
                <w:szCs w:val="16"/>
                <w:highlight w:val="yellow"/>
              </w:rPr>
              <w:t>0,</w:t>
            </w:r>
            <w:r w:rsidR="00CF1073" w:rsidRPr="00751224">
              <w:rPr>
                <w:rFonts w:eastAsia="Calibri" w:cs="Arial"/>
                <w:b/>
                <w:bCs/>
                <w:color w:val="9E001A"/>
                <w:szCs w:val="16"/>
                <w:highlight w:val="yellow"/>
              </w:rPr>
              <w:t>7</w:t>
            </w:r>
          </w:p>
        </w:tc>
        <w:tc>
          <w:tcPr>
            <w:tcW w:w="566" w:type="pct"/>
            <w:shd w:val="clear" w:color="auto" w:fill="auto"/>
            <w:vAlign w:val="center"/>
          </w:tcPr>
          <w:p w14:paraId="50264423" w14:textId="77777777" w:rsidR="008E1A99" w:rsidRPr="00751224" w:rsidRDefault="008E1A99" w:rsidP="008E1A99">
            <w:pPr>
              <w:pStyle w:val="TabelaNAPOVED"/>
              <w:rPr>
                <w:bCs/>
                <w:i/>
                <w:highlight w:val="yellow"/>
              </w:rPr>
            </w:pPr>
            <w:r w:rsidRPr="00751224">
              <w:rPr>
                <w:rFonts w:cs="Arial"/>
                <w:color w:val="000000"/>
                <w:szCs w:val="16"/>
                <w:highlight w:val="yellow"/>
              </w:rPr>
              <w:t>0,0</w:t>
            </w:r>
          </w:p>
        </w:tc>
        <w:tc>
          <w:tcPr>
            <w:tcW w:w="619" w:type="pct"/>
            <w:shd w:val="clear" w:color="auto" w:fill="E9E9E9" w:themeFill="accent3" w:themeFillTint="33"/>
            <w:vAlign w:val="center"/>
          </w:tcPr>
          <w:p w14:paraId="6710DBFD" w14:textId="77777777" w:rsidR="008E1A99" w:rsidRPr="00751224" w:rsidRDefault="008E1A99" w:rsidP="008E1A99">
            <w:pPr>
              <w:pStyle w:val="TabelaNAPOVED"/>
              <w:rPr>
                <w:b/>
                <w:i/>
                <w:iCs/>
                <w:color w:val="9E001A"/>
                <w:highlight w:val="yellow"/>
              </w:rPr>
            </w:pPr>
            <w:r w:rsidRPr="00751224">
              <w:rPr>
                <w:rFonts w:eastAsia="Calibri" w:cs="Arial"/>
                <w:b/>
                <w:bCs/>
                <w:color w:val="9E001A"/>
                <w:szCs w:val="16"/>
                <w:highlight w:val="yellow"/>
              </w:rPr>
              <w:t>0,1</w:t>
            </w:r>
          </w:p>
        </w:tc>
        <w:tc>
          <w:tcPr>
            <w:tcW w:w="616" w:type="pct"/>
            <w:shd w:val="clear" w:color="auto" w:fill="E9E9E9" w:themeFill="accent3" w:themeFillTint="33"/>
            <w:vAlign w:val="center"/>
          </w:tcPr>
          <w:p w14:paraId="0CD45A9F" w14:textId="77777777" w:rsidR="008E1A99" w:rsidRPr="00751224" w:rsidRDefault="008E1A99" w:rsidP="008E1A99">
            <w:pPr>
              <w:pStyle w:val="TabelaNAPOVED"/>
              <w:rPr>
                <w:b/>
                <w:i/>
                <w:iCs/>
                <w:color w:val="9E001A"/>
                <w:highlight w:val="yellow"/>
              </w:rPr>
            </w:pPr>
            <w:r w:rsidRPr="00751224">
              <w:rPr>
                <w:rFonts w:eastAsia="Calibri" w:cs="Arial"/>
                <w:b/>
                <w:bCs/>
                <w:color w:val="9E001A"/>
                <w:szCs w:val="16"/>
                <w:highlight w:val="yellow"/>
              </w:rPr>
              <w:t>0,1</w:t>
            </w:r>
          </w:p>
        </w:tc>
      </w:tr>
      <w:tr w:rsidR="008E1A99" w:rsidRPr="00751224" w14:paraId="199FEA8D" w14:textId="77777777" w:rsidTr="008E1A99">
        <w:trPr>
          <w:trHeight w:val="255"/>
        </w:trPr>
        <w:tc>
          <w:tcPr>
            <w:tcW w:w="1556" w:type="pct"/>
            <w:vAlign w:val="center"/>
            <w:hideMark/>
          </w:tcPr>
          <w:p w14:paraId="61C2B424" w14:textId="77777777" w:rsidR="008E1A99" w:rsidRPr="00751224" w:rsidRDefault="008E1A99" w:rsidP="008E1A99">
            <w:pPr>
              <w:pStyle w:val="TabelalevistolpecNAPOVED"/>
              <w:rPr>
                <w:highlight w:val="yellow"/>
              </w:rPr>
            </w:pPr>
            <w:r w:rsidRPr="00751224">
              <w:rPr>
                <w:highlight w:val="yellow"/>
              </w:rPr>
              <w:t>Zasebna potrošnja</w:t>
            </w:r>
          </w:p>
        </w:tc>
        <w:tc>
          <w:tcPr>
            <w:tcW w:w="462" w:type="pct"/>
            <w:vAlign w:val="center"/>
          </w:tcPr>
          <w:p w14:paraId="0585BEA5" w14:textId="77777777" w:rsidR="008E1A99" w:rsidRPr="00751224" w:rsidRDefault="008E1A99" w:rsidP="008E1A99">
            <w:pPr>
              <w:pStyle w:val="TabelaNAPOVED"/>
              <w:rPr>
                <w:highlight w:val="yellow"/>
              </w:rPr>
            </w:pPr>
            <w:r w:rsidRPr="00751224">
              <w:rPr>
                <w:rFonts w:cs="Arial"/>
                <w:color w:val="000000"/>
                <w:szCs w:val="16"/>
                <w:highlight w:val="yellow"/>
              </w:rPr>
              <w:t>-9,7</w:t>
            </w:r>
          </w:p>
        </w:tc>
        <w:tc>
          <w:tcPr>
            <w:tcW w:w="566" w:type="pct"/>
            <w:shd w:val="clear" w:color="auto" w:fill="auto"/>
            <w:vAlign w:val="center"/>
          </w:tcPr>
          <w:p w14:paraId="76EF7330" w14:textId="77777777" w:rsidR="008E1A99" w:rsidRPr="00751224" w:rsidRDefault="008E1A99" w:rsidP="008E1A99">
            <w:pPr>
              <w:pStyle w:val="TabelaNAPOVED"/>
              <w:rPr>
                <w:bCs/>
                <w:highlight w:val="yellow"/>
              </w:rPr>
            </w:pPr>
            <w:r w:rsidRPr="00751224">
              <w:rPr>
                <w:rFonts w:cs="Arial"/>
                <w:color w:val="000000"/>
                <w:szCs w:val="16"/>
                <w:highlight w:val="yellow"/>
              </w:rPr>
              <w:t>4,1</w:t>
            </w:r>
          </w:p>
        </w:tc>
        <w:tc>
          <w:tcPr>
            <w:tcW w:w="615" w:type="pct"/>
            <w:shd w:val="clear" w:color="auto" w:fill="E9E9E9" w:themeFill="accent3" w:themeFillTint="33"/>
            <w:vAlign w:val="center"/>
          </w:tcPr>
          <w:p w14:paraId="5B2301EE"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4,0</w:t>
            </w:r>
          </w:p>
        </w:tc>
        <w:tc>
          <w:tcPr>
            <w:tcW w:w="566" w:type="pct"/>
            <w:shd w:val="clear" w:color="auto" w:fill="auto"/>
            <w:vAlign w:val="center"/>
          </w:tcPr>
          <w:p w14:paraId="690DED49" w14:textId="77777777" w:rsidR="008E1A99" w:rsidRPr="00751224" w:rsidRDefault="008E1A99" w:rsidP="008E1A99">
            <w:pPr>
              <w:pStyle w:val="TabelaNAPOVED"/>
              <w:rPr>
                <w:bCs/>
                <w:highlight w:val="yellow"/>
              </w:rPr>
            </w:pPr>
            <w:r w:rsidRPr="00751224">
              <w:rPr>
                <w:rFonts w:cs="Arial"/>
                <w:color w:val="000000"/>
                <w:szCs w:val="16"/>
                <w:highlight w:val="yellow"/>
              </w:rPr>
              <w:t>4,6</w:t>
            </w:r>
          </w:p>
        </w:tc>
        <w:tc>
          <w:tcPr>
            <w:tcW w:w="619" w:type="pct"/>
            <w:shd w:val="clear" w:color="auto" w:fill="E9E9E9" w:themeFill="accent3" w:themeFillTint="33"/>
            <w:vAlign w:val="center"/>
          </w:tcPr>
          <w:p w14:paraId="565503F4"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4,7</w:t>
            </w:r>
          </w:p>
        </w:tc>
        <w:tc>
          <w:tcPr>
            <w:tcW w:w="616" w:type="pct"/>
            <w:shd w:val="clear" w:color="auto" w:fill="E9E9E9" w:themeFill="accent3" w:themeFillTint="33"/>
            <w:vAlign w:val="center"/>
          </w:tcPr>
          <w:p w14:paraId="168579D7"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2,9</w:t>
            </w:r>
          </w:p>
        </w:tc>
      </w:tr>
      <w:tr w:rsidR="008E1A99" w:rsidRPr="00751224" w14:paraId="38251D51" w14:textId="77777777" w:rsidTr="008E1A99">
        <w:trPr>
          <w:trHeight w:val="255"/>
        </w:trPr>
        <w:tc>
          <w:tcPr>
            <w:tcW w:w="1556" w:type="pct"/>
            <w:vAlign w:val="center"/>
            <w:hideMark/>
          </w:tcPr>
          <w:p w14:paraId="26F5D49A" w14:textId="77777777" w:rsidR="008E1A99" w:rsidRPr="00751224" w:rsidRDefault="008E1A99" w:rsidP="008E1A99">
            <w:pPr>
              <w:pStyle w:val="TabelalevistolpecNAPOVED"/>
              <w:rPr>
                <w:highlight w:val="yellow"/>
              </w:rPr>
            </w:pPr>
            <w:r w:rsidRPr="00751224">
              <w:rPr>
                <w:highlight w:val="yellow"/>
              </w:rPr>
              <w:t>Državna potrošnja</w:t>
            </w:r>
          </w:p>
        </w:tc>
        <w:tc>
          <w:tcPr>
            <w:tcW w:w="462" w:type="pct"/>
            <w:vAlign w:val="center"/>
          </w:tcPr>
          <w:p w14:paraId="3FE9E652" w14:textId="77777777" w:rsidR="008E1A99" w:rsidRPr="00751224" w:rsidRDefault="008E1A99" w:rsidP="008E1A99">
            <w:pPr>
              <w:pStyle w:val="TabelaNAPOVED"/>
              <w:rPr>
                <w:highlight w:val="yellow"/>
              </w:rPr>
            </w:pPr>
            <w:r w:rsidRPr="00751224">
              <w:rPr>
                <w:rFonts w:cs="Arial"/>
                <w:color w:val="000000"/>
                <w:szCs w:val="16"/>
                <w:highlight w:val="yellow"/>
              </w:rPr>
              <w:t>1,8</w:t>
            </w:r>
          </w:p>
        </w:tc>
        <w:tc>
          <w:tcPr>
            <w:tcW w:w="566" w:type="pct"/>
            <w:shd w:val="clear" w:color="auto" w:fill="auto"/>
            <w:vAlign w:val="center"/>
          </w:tcPr>
          <w:p w14:paraId="0B35B17B" w14:textId="77777777" w:rsidR="008E1A99" w:rsidRPr="00751224" w:rsidRDefault="008E1A99" w:rsidP="008E1A99">
            <w:pPr>
              <w:pStyle w:val="TabelaNAPOVED"/>
              <w:rPr>
                <w:bCs/>
                <w:highlight w:val="yellow"/>
              </w:rPr>
            </w:pPr>
            <w:r w:rsidRPr="00751224">
              <w:rPr>
                <w:rFonts w:cs="Arial"/>
                <w:color w:val="000000"/>
                <w:szCs w:val="16"/>
                <w:highlight w:val="yellow"/>
              </w:rPr>
              <w:t>2,4</w:t>
            </w:r>
          </w:p>
        </w:tc>
        <w:tc>
          <w:tcPr>
            <w:tcW w:w="615" w:type="pct"/>
            <w:shd w:val="clear" w:color="auto" w:fill="E9E9E9" w:themeFill="accent3" w:themeFillTint="33"/>
            <w:vAlign w:val="center"/>
          </w:tcPr>
          <w:p w14:paraId="25E67F6C"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2,4</w:t>
            </w:r>
          </w:p>
        </w:tc>
        <w:tc>
          <w:tcPr>
            <w:tcW w:w="566" w:type="pct"/>
            <w:shd w:val="clear" w:color="auto" w:fill="auto"/>
            <w:vAlign w:val="center"/>
          </w:tcPr>
          <w:p w14:paraId="16B30D81" w14:textId="77777777" w:rsidR="008E1A99" w:rsidRPr="00751224" w:rsidRDefault="008E1A99" w:rsidP="008E1A99">
            <w:pPr>
              <w:pStyle w:val="TabelaNAPOVED"/>
              <w:rPr>
                <w:bCs/>
                <w:highlight w:val="yellow"/>
              </w:rPr>
            </w:pPr>
            <w:r w:rsidRPr="00751224">
              <w:rPr>
                <w:rFonts w:cs="Arial"/>
                <w:color w:val="000000"/>
                <w:szCs w:val="16"/>
                <w:highlight w:val="yellow"/>
              </w:rPr>
              <w:t>1,6</w:t>
            </w:r>
          </w:p>
        </w:tc>
        <w:tc>
          <w:tcPr>
            <w:tcW w:w="619" w:type="pct"/>
            <w:shd w:val="clear" w:color="auto" w:fill="E9E9E9" w:themeFill="accent3" w:themeFillTint="33"/>
            <w:vAlign w:val="center"/>
          </w:tcPr>
          <w:p w14:paraId="6E19DB56"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1,7</w:t>
            </w:r>
          </w:p>
        </w:tc>
        <w:tc>
          <w:tcPr>
            <w:tcW w:w="616" w:type="pct"/>
            <w:shd w:val="clear" w:color="auto" w:fill="E9E9E9" w:themeFill="accent3" w:themeFillTint="33"/>
            <w:vAlign w:val="center"/>
          </w:tcPr>
          <w:p w14:paraId="71006B66"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1,4</w:t>
            </w:r>
          </w:p>
        </w:tc>
      </w:tr>
      <w:tr w:rsidR="008E1A99" w:rsidRPr="00751224" w14:paraId="6D4C8A86" w14:textId="77777777" w:rsidTr="008E1A99">
        <w:trPr>
          <w:trHeight w:val="255"/>
        </w:trPr>
        <w:tc>
          <w:tcPr>
            <w:tcW w:w="1556" w:type="pct"/>
            <w:vAlign w:val="center"/>
            <w:hideMark/>
          </w:tcPr>
          <w:p w14:paraId="02E2909C" w14:textId="77777777" w:rsidR="008E1A99" w:rsidRPr="00751224" w:rsidRDefault="008E1A99" w:rsidP="008E1A99">
            <w:pPr>
              <w:pStyle w:val="TabelalevistolpecNAPOVED"/>
              <w:rPr>
                <w:highlight w:val="yellow"/>
              </w:rPr>
            </w:pPr>
            <w:r w:rsidRPr="00751224">
              <w:rPr>
                <w:highlight w:val="yellow"/>
              </w:rPr>
              <w:t>Bruto investicije v osnovna sredstva</w:t>
            </w:r>
          </w:p>
        </w:tc>
        <w:tc>
          <w:tcPr>
            <w:tcW w:w="462" w:type="pct"/>
            <w:vAlign w:val="center"/>
          </w:tcPr>
          <w:p w14:paraId="48D25E87" w14:textId="77777777" w:rsidR="008E1A99" w:rsidRPr="00751224" w:rsidRDefault="008E1A99" w:rsidP="008E1A99">
            <w:pPr>
              <w:pStyle w:val="TabelaNAPOVED"/>
              <w:rPr>
                <w:highlight w:val="yellow"/>
              </w:rPr>
            </w:pPr>
            <w:r w:rsidRPr="00751224">
              <w:rPr>
                <w:rFonts w:cs="Arial"/>
                <w:color w:val="000000"/>
                <w:szCs w:val="16"/>
                <w:highlight w:val="yellow"/>
              </w:rPr>
              <w:t>-4,1</w:t>
            </w:r>
          </w:p>
        </w:tc>
        <w:tc>
          <w:tcPr>
            <w:tcW w:w="566" w:type="pct"/>
            <w:shd w:val="clear" w:color="auto" w:fill="auto"/>
            <w:vAlign w:val="center"/>
          </w:tcPr>
          <w:p w14:paraId="4981412E" w14:textId="77777777" w:rsidR="008E1A99" w:rsidRPr="00751224" w:rsidRDefault="008E1A99" w:rsidP="008E1A99">
            <w:pPr>
              <w:pStyle w:val="TabelaNAPOVED"/>
              <w:rPr>
                <w:bCs/>
                <w:highlight w:val="yellow"/>
              </w:rPr>
            </w:pPr>
            <w:r w:rsidRPr="00751224">
              <w:rPr>
                <w:rFonts w:cs="Arial"/>
                <w:color w:val="000000"/>
                <w:szCs w:val="16"/>
                <w:highlight w:val="yellow"/>
              </w:rPr>
              <w:t>10,0</w:t>
            </w:r>
          </w:p>
        </w:tc>
        <w:tc>
          <w:tcPr>
            <w:tcW w:w="615" w:type="pct"/>
            <w:shd w:val="clear" w:color="auto" w:fill="E9E9E9" w:themeFill="accent3" w:themeFillTint="33"/>
            <w:vAlign w:val="center"/>
          </w:tcPr>
          <w:p w14:paraId="7EAE4DE9"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9,0</w:t>
            </w:r>
          </w:p>
        </w:tc>
        <w:tc>
          <w:tcPr>
            <w:tcW w:w="566" w:type="pct"/>
            <w:shd w:val="clear" w:color="auto" w:fill="auto"/>
            <w:vAlign w:val="center"/>
          </w:tcPr>
          <w:p w14:paraId="7FEFD96E" w14:textId="77777777" w:rsidR="008E1A99" w:rsidRPr="00751224" w:rsidRDefault="008E1A99" w:rsidP="008E1A99">
            <w:pPr>
              <w:pStyle w:val="TabelaNAPOVED"/>
              <w:rPr>
                <w:bCs/>
                <w:highlight w:val="yellow"/>
              </w:rPr>
            </w:pPr>
            <w:r w:rsidRPr="00751224">
              <w:rPr>
                <w:rFonts w:cs="Arial"/>
                <w:color w:val="000000"/>
                <w:szCs w:val="16"/>
                <w:highlight w:val="yellow"/>
              </w:rPr>
              <w:t>8,5</w:t>
            </w:r>
          </w:p>
        </w:tc>
        <w:tc>
          <w:tcPr>
            <w:tcW w:w="619" w:type="pct"/>
            <w:shd w:val="clear" w:color="auto" w:fill="E9E9E9" w:themeFill="accent3" w:themeFillTint="33"/>
            <w:vAlign w:val="center"/>
          </w:tcPr>
          <w:p w14:paraId="2F753F7B"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8,0</w:t>
            </w:r>
          </w:p>
        </w:tc>
        <w:tc>
          <w:tcPr>
            <w:tcW w:w="616" w:type="pct"/>
            <w:shd w:val="clear" w:color="auto" w:fill="E9E9E9" w:themeFill="accent3" w:themeFillTint="33"/>
            <w:vAlign w:val="center"/>
          </w:tcPr>
          <w:p w14:paraId="40112887" w14:textId="77777777" w:rsidR="008E1A99" w:rsidRPr="00751224" w:rsidRDefault="008E1A99" w:rsidP="008E1A99">
            <w:pPr>
              <w:pStyle w:val="TabelaNAPOVED"/>
              <w:rPr>
                <w:b/>
                <w:color w:val="9E001A"/>
                <w:highlight w:val="yellow"/>
              </w:rPr>
            </w:pPr>
            <w:r w:rsidRPr="00751224">
              <w:rPr>
                <w:rFonts w:eastAsia="Calibri" w:cs="Arial"/>
                <w:b/>
                <w:bCs/>
                <w:color w:val="9E001A"/>
                <w:szCs w:val="16"/>
                <w:highlight w:val="yellow"/>
              </w:rPr>
              <w:t>6,5</w:t>
            </w:r>
          </w:p>
        </w:tc>
      </w:tr>
      <w:tr w:rsidR="008E1A99" w:rsidRPr="00751224" w14:paraId="65C96A9D" w14:textId="77777777" w:rsidTr="008E1A99">
        <w:trPr>
          <w:trHeight w:val="375"/>
        </w:trPr>
        <w:tc>
          <w:tcPr>
            <w:tcW w:w="1556" w:type="pct"/>
            <w:vAlign w:val="center"/>
            <w:hideMark/>
          </w:tcPr>
          <w:p w14:paraId="2C6B1B76" w14:textId="77777777" w:rsidR="008E1A99" w:rsidRPr="00751224" w:rsidRDefault="008E1A99" w:rsidP="008E1A99">
            <w:pPr>
              <w:pStyle w:val="TabelalevistolpecNAPOVED"/>
              <w:rPr>
                <w:i/>
                <w:highlight w:val="yellow"/>
              </w:rPr>
            </w:pPr>
            <w:r w:rsidRPr="00751224">
              <w:rPr>
                <w:i/>
                <w:highlight w:val="yellow"/>
              </w:rPr>
              <w:t>Sprememba zalog in vrednostni predmeti (prispevek k rasti v o.t.)</w:t>
            </w:r>
          </w:p>
        </w:tc>
        <w:tc>
          <w:tcPr>
            <w:tcW w:w="462" w:type="pct"/>
            <w:vAlign w:val="center"/>
          </w:tcPr>
          <w:p w14:paraId="24093D2F" w14:textId="77777777" w:rsidR="008E1A99" w:rsidRPr="00751224" w:rsidRDefault="008E1A99" w:rsidP="008E1A99">
            <w:pPr>
              <w:pStyle w:val="TabelaNAPOVED"/>
              <w:rPr>
                <w:i/>
                <w:iCs/>
                <w:highlight w:val="yellow"/>
              </w:rPr>
            </w:pPr>
            <w:r w:rsidRPr="00751224">
              <w:rPr>
                <w:rFonts w:cs="Arial"/>
                <w:i/>
                <w:iCs/>
                <w:color w:val="000000"/>
                <w:szCs w:val="16"/>
                <w:highlight w:val="yellow"/>
              </w:rPr>
              <w:t>-0,4</w:t>
            </w:r>
          </w:p>
        </w:tc>
        <w:tc>
          <w:tcPr>
            <w:tcW w:w="566" w:type="pct"/>
            <w:shd w:val="clear" w:color="auto" w:fill="auto"/>
            <w:vAlign w:val="center"/>
          </w:tcPr>
          <w:p w14:paraId="117CFA36" w14:textId="77777777" w:rsidR="008E1A99" w:rsidRPr="00751224" w:rsidRDefault="008E1A99" w:rsidP="008E1A99">
            <w:pPr>
              <w:pStyle w:val="TabelaNAPOVED"/>
              <w:rPr>
                <w:bCs/>
                <w:i/>
                <w:iCs/>
                <w:highlight w:val="yellow"/>
              </w:rPr>
            </w:pPr>
            <w:r w:rsidRPr="00751224">
              <w:rPr>
                <w:rFonts w:cs="Arial"/>
                <w:i/>
                <w:iCs/>
                <w:color w:val="000000"/>
                <w:szCs w:val="16"/>
                <w:highlight w:val="yellow"/>
              </w:rPr>
              <w:t>0,3</w:t>
            </w:r>
          </w:p>
        </w:tc>
        <w:tc>
          <w:tcPr>
            <w:tcW w:w="615" w:type="pct"/>
            <w:shd w:val="clear" w:color="auto" w:fill="E9E9E9" w:themeFill="accent3" w:themeFillTint="33"/>
            <w:vAlign w:val="center"/>
          </w:tcPr>
          <w:p w14:paraId="02979DB2" w14:textId="407FF2C1" w:rsidR="008E1A99" w:rsidRPr="00751224" w:rsidRDefault="008E1A99" w:rsidP="008E1A99">
            <w:pPr>
              <w:pStyle w:val="TabelaNAPOVED"/>
              <w:rPr>
                <w:b/>
                <w:i/>
                <w:iCs/>
                <w:color w:val="9E001A"/>
                <w:highlight w:val="yellow"/>
              </w:rPr>
            </w:pPr>
            <w:r w:rsidRPr="00751224">
              <w:rPr>
                <w:rFonts w:eastAsia="Calibri" w:cs="Arial"/>
                <w:b/>
                <w:bCs/>
                <w:i/>
                <w:iCs/>
                <w:color w:val="9E001A"/>
                <w:szCs w:val="16"/>
                <w:highlight w:val="yellow"/>
              </w:rPr>
              <w:t>-0,</w:t>
            </w:r>
            <w:r w:rsidR="00CF1073" w:rsidRPr="00751224">
              <w:rPr>
                <w:rFonts w:eastAsia="Calibri" w:cs="Arial"/>
                <w:b/>
                <w:bCs/>
                <w:i/>
                <w:iCs/>
                <w:color w:val="9E001A"/>
                <w:szCs w:val="16"/>
                <w:highlight w:val="yellow"/>
              </w:rPr>
              <w:t>3</w:t>
            </w:r>
          </w:p>
        </w:tc>
        <w:tc>
          <w:tcPr>
            <w:tcW w:w="566" w:type="pct"/>
            <w:shd w:val="clear" w:color="auto" w:fill="auto"/>
            <w:vAlign w:val="center"/>
          </w:tcPr>
          <w:p w14:paraId="0D89725C" w14:textId="77777777" w:rsidR="008E1A99" w:rsidRPr="00751224" w:rsidRDefault="008E1A99" w:rsidP="008E1A99">
            <w:pPr>
              <w:pStyle w:val="TabelaNAPOVED"/>
              <w:rPr>
                <w:bCs/>
                <w:i/>
                <w:iCs/>
                <w:highlight w:val="yellow"/>
              </w:rPr>
            </w:pPr>
            <w:r w:rsidRPr="00751224">
              <w:rPr>
                <w:rFonts w:cs="Arial"/>
                <w:i/>
                <w:iCs/>
                <w:color w:val="000000"/>
                <w:szCs w:val="16"/>
                <w:highlight w:val="yellow"/>
              </w:rPr>
              <w:t>0,0</w:t>
            </w:r>
          </w:p>
        </w:tc>
        <w:tc>
          <w:tcPr>
            <w:tcW w:w="619" w:type="pct"/>
            <w:shd w:val="clear" w:color="auto" w:fill="E9E9E9" w:themeFill="accent3" w:themeFillTint="33"/>
            <w:vAlign w:val="center"/>
          </w:tcPr>
          <w:p w14:paraId="6CF4EBD8" w14:textId="77777777" w:rsidR="008E1A99" w:rsidRPr="00751224" w:rsidRDefault="008E1A99" w:rsidP="008E1A99">
            <w:pPr>
              <w:pStyle w:val="TabelaNAPOVED"/>
              <w:rPr>
                <w:b/>
                <w:i/>
                <w:iCs/>
                <w:color w:val="9E001A"/>
                <w:highlight w:val="yellow"/>
              </w:rPr>
            </w:pPr>
            <w:r w:rsidRPr="00751224">
              <w:rPr>
                <w:rFonts w:eastAsia="Calibri" w:cs="Arial"/>
                <w:b/>
                <w:bCs/>
                <w:i/>
                <w:iCs/>
                <w:color w:val="9E001A"/>
                <w:szCs w:val="16"/>
                <w:highlight w:val="yellow"/>
              </w:rPr>
              <w:t>0,0</w:t>
            </w:r>
          </w:p>
        </w:tc>
        <w:tc>
          <w:tcPr>
            <w:tcW w:w="616" w:type="pct"/>
            <w:shd w:val="clear" w:color="auto" w:fill="E9E9E9" w:themeFill="accent3" w:themeFillTint="33"/>
            <w:vAlign w:val="center"/>
          </w:tcPr>
          <w:p w14:paraId="0B08A5B3" w14:textId="77777777" w:rsidR="008E1A99" w:rsidRPr="00751224" w:rsidRDefault="008E1A99" w:rsidP="008E1A99">
            <w:pPr>
              <w:pStyle w:val="TabelaNAPOVED"/>
              <w:rPr>
                <w:b/>
                <w:i/>
                <w:iCs/>
                <w:color w:val="9E001A"/>
                <w:highlight w:val="yellow"/>
              </w:rPr>
            </w:pPr>
            <w:r w:rsidRPr="00751224">
              <w:rPr>
                <w:rFonts w:eastAsia="Calibri" w:cs="Arial"/>
                <w:b/>
                <w:bCs/>
                <w:i/>
                <w:iCs/>
                <w:color w:val="9E001A"/>
                <w:szCs w:val="16"/>
                <w:highlight w:val="yellow"/>
              </w:rPr>
              <w:t>0,0</w:t>
            </w:r>
          </w:p>
        </w:tc>
      </w:tr>
    </w:tbl>
    <w:p w14:paraId="7B0BF7C7" w14:textId="77777777" w:rsidR="008E1A99" w:rsidRPr="00751224" w:rsidRDefault="008E1A99" w:rsidP="008E1A99">
      <w:pPr>
        <w:pStyle w:val="VirNAPOVED"/>
        <w:rPr>
          <w:highlight w:val="yellow"/>
        </w:rPr>
      </w:pPr>
      <w:r w:rsidRPr="00751224">
        <w:rPr>
          <w:highlight w:val="yellow"/>
        </w:rPr>
        <w:t>Vir: SURS, 2021−2023 napoved UMAR.</w:t>
      </w:r>
    </w:p>
    <w:bookmarkEnd w:id="27"/>
    <w:p w14:paraId="684D1A61" w14:textId="77777777" w:rsidR="006B6CC3" w:rsidRPr="00751224" w:rsidRDefault="006B6CC3" w:rsidP="00573577">
      <w:pPr>
        <w:pStyle w:val="BesediloNAPOVED"/>
        <w:rPr>
          <w:highlight w:val="yellow"/>
        </w:rPr>
      </w:pPr>
    </w:p>
    <w:p w14:paraId="5B4D2468" w14:textId="77777777" w:rsidR="007C75E8" w:rsidRDefault="007C75E8" w:rsidP="007C75E8">
      <w:pPr>
        <w:pStyle w:val="BesediloNAPOVED"/>
        <w:rPr>
          <w:bCs/>
        </w:rPr>
      </w:pPr>
      <w:r>
        <w:rPr>
          <w:b/>
          <w:bCs/>
        </w:rPr>
        <w:t xml:space="preserve">Rast državne potrošnje se je letos nekoliko okrepila, v naslednjih letih pa se bo postopno znižala. </w:t>
      </w:r>
      <w:r>
        <w:rPr>
          <w:bCs/>
        </w:rPr>
        <w:t>Tudi v letu 2021 se državna potrošnja krepi pod vplivom izdatkov za obvladovanje epidemije, zlasti v zdravstveni dejavnosti (oprema, testi, cepiva ipd.), kar krepi  izdatke za blago in storitve, povečujejo se tudi socialni transferi v naravi, ki so se lani znižali. Rast zaposlenosti v sektorju država se ohranja podobna kot lani (1,5 %), še naprej pa je najvišja v zdravstvu in socialnem varstvu. Vpliv povečanih izdatkov, povezanih z obvladovanjem epidemije in rasti zaposlenosti v sektorju država v letih 2020 in 2021, na katero vplivajo zaposlitve zaradi epidemije in predsedovanja EU, bo prehoden, zato se bo rast državne potrošnje v letih 2022 in 2023 nekoliko znižala.</w:t>
      </w:r>
    </w:p>
    <w:p w14:paraId="34A4F229" w14:textId="36EAD33B" w:rsidR="008E0DB2" w:rsidRDefault="008E0DB2" w:rsidP="00AE57C1">
      <w:pPr>
        <w:pStyle w:val="BesediloNAPOVED"/>
        <w:rPr>
          <w:bCs/>
          <w:highlight w:val="yellow"/>
        </w:rPr>
      </w:pPr>
    </w:p>
    <w:p w14:paraId="116B5DDE" w14:textId="0546BFE5" w:rsidR="008E0DB2" w:rsidRPr="008E0DB2" w:rsidRDefault="008E0DB2" w:rsidP="008E0DB2">
      <w:pPr>
        <w:pStyle w:val="BesediloNAPOVED"/>
        <w:rPr>
          <w:rStyle w:val="BesediloNAPOVEDChar"/>
        </w:rPr>
      </w:pPr>
      <w:r w:rsidRPr="008E0DB2">
        <w:rPr>
          <w:rStyle w:val="VodilnistavekBoldpoudarekNAPOVED"/>
        </w:rPr>
        <w:t>Ob postopnem okrevanju tujega povpraševanja bo rast izvoza in uvoza v letu 2021 visoka, ugodna gibanja pa pričakujemo tudi v naslednjih letih.</w:t>
      </w:r>
      <w:r w:rsidRPr="008E0DB2">
        <w:rPr>
          <w:rStyle w:val="BesediloNAPOVEDChar"/>
        </w:rPr>
        <w:t xml:space="preserve"> Skupen izvoz in uvoz bosta v povprečju dosegla ravni izpred epidemije že letos, s tem da bo okrevanje storitvene menjave nekoliko počasnejše in bo dosegla </w:t>
      </w:r>
      <w:proofErr w:type="spellStart"/>
      <w:r w:rsidRPr="008E0DB2">
        <w:rPr>
          <w:rStyle w:val="BesediloNAPOVEDChar"/>
        </w:rPr>
        <w:t>predkrizno</w:t>
      </w:r>
      <w:proofErr w:type="spellEnd"/>
      <w:r w:rsidRPr="008E0DB2">
        <w:rPr>
          <w:rStyle w:val="BesediloNAPOVEDChar"/>
        </w:rPr>
        <w:t xml:space="preserve"> raven šele drugo leto. V celotnem napovednem obdobju pričakujemo, da bo rast izvoza še naprej presegala rast tujega povpraševanja,</w:t>
      </w:r>
      <w:r w:rsidRPr="008E0DB2">
        <w:rPr>
          <w:rStyle w:val="BesediloNAPOVEDChar"/>
          <w:vertAlign w:val="superscript"/>
        </w:rPr>
        <w:footnoteReference w:id="30"/>
      </w:r>
      <w:r w:rsidRPr="008E0DB2">
        <w:rPr>
          <w:rStyle w:val="BesediloNAPOVEDChar"/>
        </w:rPr>
        <w:t xml:space="preserve"> kar je v veliki meri povezano z proizvodno </w:t>
      </w:r>
      <w:r w:rsidRPr="008E0DB2">
        <w:rPr>
          <w:rStyle w:val="BesediloNAPOVEDChar"/>
        </w:rPr>
        <w:lastRenderedPageBreak/>
        <w:t xml:space="preserve">in geografsko strukturo izvoza. Po globokem upadu v lani spomladi je izvoz blaga do začetka letošnjega leta okreval na raven izpred epidemije. Za leto 2021 napovedujemo visoko rast, ki je povezana z okrevanjem gospodarske aktivnosti v naših glavnih trgovinskih partnericah in z visokim upadom v lanskem letu. Pričakujemo rast večine glavnih skupin proizvodov, s tem da bodo na okrevanje izvoza vozil pomembno vplivale motnje v dobavnih verigah. Okrevanje izvoza storitev bo v letu 2021 postopno, opaznejše okrevanje pa pričakujemo šele v letih 2022 in 2023. V naslednjem letu bo sicer ravni izpred epidemije dosegla in presegla večina glavnih skupin dejavnosti, razen menjave potovanj, ki je bila v času epidemije najbolj prizadeta in bo ravni izpred epidemije dosegla šele proti koncu napovednega obdobja. Uvoz proizvodov in storitev se bo v obdobju napovedi povečeval nekoliko hitreje kot izvoz, kar povezujemo s povečanim domačim trošenjem, zlasti rastjo investicij, in </w:t>
      </w:r>
      <w:r w:rsidRPr="008E0DB2">
        <w:rPr>
          <w:rStyle w:val="BesediloNAPOVEDChar"/>
          <w:lang w:eastAsia="sl-SI"/>
        </w:rPr>
        <w:t>z njegovim večjim padcem v lanskem letu</w:t>
      </w:r>
      <w:r w:rsidRPr="008E0DB2">
        <w:rPr>
          <w:rStyle w:val="BesediloNAPOVEDChar"/>
        </w:rPr>
        <w:t xml:space="preserve">. </w:t>
      </w:r>
      <w:r w:rsidRPr="008E0DB2">
        <w:rPr>
          <w:rStyle w:val="BesediloNAPOVEDChar"/>
          <w:lang w:eastAsia="sl-SI"/>
        </w:rPr>
        <w:t xml:space="preserve">Pri tem bo uvoz storitev, podobno kot njihov izvoz, močneje okreval šele leta 2022. </w:t>
      </w:r>
    </w:p>
    <w:p w14:paraId="69B64B15" w14:textId="77777777" w:rsidR="008E0DB2" w:rsidRPr="00751224" w:rsidRDefault="008E0DB2" w:rsidP="00AE57C1">
      <w:pPr>
        <w:pStyle w:val="BesediloNAPOVED"/>
        <w:rPr>
          <w:bCs/>
          <w:highlight w:val="yellow"/>
        </w:rPr>
      </w:pPr>
    </w:p>
    <w:tbl>
      <w:tblPr>
        <w:tblStyle w:val="TableGrid"/>
        <w:tblW w:w="13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gridCol w:w="4530"/>
      </w:tblGrid>
      <w:tr w:rsidR="00C54911" w:rsidRPr="00751224" w14:paraId="6FBE9FEF" w14:textId="77777777" w:rsidTr="00C54911">
        <w:tc>
          <w:tcPr>
            <w:tcW w:w="4530" w:type="dxa"/>
          </w:tcPr>
          <w:p w14:paraId="18A5EBFE" w14:textId="18C71748" w:rsidR="00C54911" w:rsidRPr="00751224" w:rsidRDefault="00A0099E" w:rsidP="00716592">
            <w:pPr>
              <w:pStyle w:val="Caption"/>
              <w:rPr>
                <w:highlight w:val="yellow"/>
              </w:rPr>
            </w:pPr>
            <w:r>
              <w:rPr>
                <w:highlight w:val="yellow"/>
              </w:rPr>
              <w:t xml:space="preserve"> </w:t>
            </w:r>
            <w:r w:rsidR="00C54911" w:rsidRPr="00751224">
              <w:rPr>
                <w:highlight w:val="yellow"/>
              </w:rPr>
              <w:t xml:space="preserve">Slika </w:t>
            </w:r>
            <w:r w:rsidR="00C54911" w:rsidRPr="00751224">
              <w:rPr>
                <w:highlight w:val="yellow"/>
              </w:rPr>
              <w:fldChar w:fldCharType="begin"/>
            </w:r>
            <w:r w:rsidR="00C54911" w:rsidRPr="00751224">
              <w:rPr>
                <w:highlight w:val="yellow"/>
              </w:rPr>
              <w:instrText xml:space="preserve"> SEQ Slika \* ARABIC </w:instrText>
            </w:r>
            <w:r w:rsidR="00C54911" w:rsidRPr="00751224">
              <w:rPr>
                <w:highlight w:val="yellow"/>
              </w:rPr>
              <w:fldChar w:fldCharType="separate"/>
            </w:r>
            <w:r w:rsidR="00D224DD">
              <w:rPr>
                <w:highlight w:val="yellow"/>
              </w:rPr>
              <w:t>14</w:t>
            </w:r>
            <w:r w:rsidR="00C54911" w:rsidRPr="00751224">
              <w:rPr>
                <w:highlight w:val="yellow"/>
              </w:rPr>
              <w:fldChar w:fldCharType="end"/>
            </w:r>
            <w:r w:rsidR="00C54911" w:rsidRPr="00751224">
              <w:rPr>
                <w:highlight w:val="yellow"/>
              </w:rPr>
              <w:t xml:space="preserve">: Prispevki </w:t>
            </w:r>
            <w:r w:rsidR="00CC1BEB" w:rsidRPr="00751224">
              <w:rPr>
                <w:highlight w:val="yellow"/>
              </w:rPr>
              <w:t>agregatov potrošnje</w:t>
            </w:r>
            <w:r w:rsidR="00C54911" w:rsidRPr="00751224">
              <w:rPr>
                <w:highlight w:val="yellow"/>
              </w:rPr>
              <w:t xml:space="preserve"> k spremembi BDP</w:t>
            </w:r>
          </w:p>
          <w:p w14:paraId="305B388E" w14:textId="3496926F" w:rsidR="00C54911" w:rsidRPr="00751224" w:rsidRDefault="00C54911" w:rsidP="00716592">
            <w:pPr>
              <w:pStyle w:val="Caption"/>
              <w:rPr>
                <w:highlight w:val="yellow"/>
              </w:rPr>
            </w:pPr>
          </w:p>
          <w:p w14:paraId="66A569B1" w14:textId="52067AA5" w:rsidR="00C54911" w:rsidRPr="00751224" w:rsidRDefault="007D0B0D" w:rsidP="00716592">
            <w:pPr>
              <w:pStyle w:val="Caption"/>
              <w:rPr>
                <w:highlight w:val="yellow"/>
              </w:rPr>
            </w:pPr>
            <w:r w:rsidRPr="00751224">
              <w:rPr>
                <w:highlight w:val="yellow"/>
                <w:lang w:eastAsia="sl-SI"/>
              </w:rPr>
              <w:drawing>
                <wp:inline distT="0" distB="0" distL="0" distR="0" wp14:anchorId="33FA9588" wp14:editId="34B9ABF4">
                  <wp:extent cx="2738755" cy="2286000"/>
                  <wp:effectExtent l="0" t="0" r="4445"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8755" cy="2286000"/>
                          </a:xfrm>
                          <a:prstGeom prst="rect">
                            <a:avLst/>
                          </a:prstGeom>
                          <a:noFill/>
                          <a:ln>
                            <a:noFill/>
                          </a:ln>
                        </pic:spPr>
                      </pic:pic>
                    </a:graphicData>
                  </a:graphic>
                </wp:inline>
              </w:drawing>
            </w:r>
          </w:p>
        </w:tc>
        <w:tc>
          <w:tcPr>
            <w:tcW w:w="4530" w:type="dxa"/>
          </w:tcPr>
          <w:p w14:paraId="10290A32" w14:textId="1EF48B8C" w:rsidR="00C54911" w:rsidRPr="00751224" w:rsidRDefault="00C54911"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15</w:t>
            </w:r>
            <w:r w:rsidRPr="00751224">
              <w:rPr>
                <w:highlight w:val="yellow"/>
              </w:rPr>
              <w:fldChar w:fldCharType="end"/>
            </w:r>
            <w:r w:rsidRPr="00751224">
              <w:rPr>
                <w:highlight w:val="yellow"/>
              </w:rPr>
              <w:t xml:space="preserve">: </w:t>
            </w:r>
            <w:r w:rsidR="00A222B1" w:rsidRPr="00751224">
              <w:rPr>
                <w:highlight w:val="yellow"/>
              </w:rPr>
              <w:t xml:space="preserve">Stopnja varčevanja se bo z visoke ravni v naslednjih letih nekoliko zmanjšala </w:t>
            </w:r>
          </w:p>
          <w:p w14:paraId="1178CD33" w14:textId="77777777" w:rsidR="00C54911" w:rsidRPr="00751224" w:rsidRDefault="00C54911" w:rsidP="00716592">
            <w:pPr>
              <w:pStyle w:val="Caption"/>
              <w:rPr>
                <w:highlight w:val="yellow"/>
              </w:rPr>
            </w:pPr>
          </w:p>
          <w:p w14:paraId="4A88D5D0" w14:textId="3EFD37AC" w:rsidR="00C54911" w:rsidRPr="00751224" w:rsidRDefault="00B05C8A" w:rsidP="00716592">
            <w:pPr>
              <w:pStyle w:val="Caption"/>
              <w:rPr>
                <w:highlight w:val="yellow"/>
              </w:rPr>
            </w:pPr>
            <w:r w:rsidRPr="00751224">
              <w:rPr>
                <w:highlight w:val="yellow"/>
                <w:lang w:eastAsia="sl-SI"/>
              </w:rPr>
              <w:drawing>
                <wp:inline distT="0" distB="0" distL="0" distR="0" wp14:anchorId="3CF6F80C" wp14:editId="7024632A">
                  <wp:extent cx="2734945" cy="2242185"/>
                  <wp:effectExtent l="0" t="0" r="8255" b="5715"/>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c>
          <w:tcPr>
            <w:tcW w:w="4530" w:type="dxa"/>
          </w:tcPr>
          <w:p w14:paraId="07E177D3" w14:textId="6FA2905B" w:rsidR="00C54911" w:rsidRPr="00751224" w:rsidRDefault="00C54911" w:rsidP="00C54911">
            <w:pPr>
              <w:pStyle w:val="BesediloNAPOVED"/>
              <w:rPr>
                <w:b/>
                <w:highlight w:val="yellow"/>
              </w:rPr>
            </w:pPr>
          </w:p>
        </w:tc>
      </w:tr>
    </w:tbl>
    <w:p w14:paraId="01D5F1A4" w14:textId="1B5795C0" w:rsidR="001D0F71" w:rsidRPr="00751224" w:rsidRDefault="001D0F71" w:rsidP="001B44DC">
      <w:pPr>
        <w:pStyle w:val="BesediloNAPOVED"/>
        <w:rPr>
          <w:bCs/>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C10B8C" w:rsidRPr="00C10B8C" w14:paraId="4D9341D6" w14:textId="77777777" w:rsidTr="008E1A99">
        <w:tc>
          <w:tcPr>
            <w:tcW w:w="4530" w:type="dxa"/>
          </w:tcPr>
          <w:p w14:paraId="6F6D72BF" w14:textId="5C133528" w:rsidR="00C10B8C" w:rsidRPr="00751224" w:rsidRDefault="00C10B8C"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16</w:t>
            </w:r>
            <w:r w:rsidRPr="00751224">
              <w:rPr>
                <w:highlight w:val="yellow"/>
              </w:rPr>
              <w:fldChar w:fldCharType="end"/>
            </w:r>
            <w:r w:rsidRPr="00751224">
              <w:rPr>
                <w:highlight w:val="yellow"/>
              </w:rPr>
              <w:t xml:space="preserve">: </w:t>
            </w:r>
            <w:r w:rsidR="00745B12" w:rsidRPr="00751224">
              <w:rPr>
                <w:highlight w:val="yellow"/>
              </w:rPr>
              <w:t xml:space="preserve">Državne investicije so ublažile lanski padec investicij, </w:t>
            </w:r>
            <w:r w:rsidR="005A4ABF" w:rsidRPr="00751224">
              <w:rPr>
                <w:highlight w:val="yellow"/>
              </w:rPr>
              <w:t>v prihodnje pa bodo prispevale k njihovemu hitrejšemu okrevanju</w:t>
            </w:r>
          </w:p>
          <w:p w14:paraId="54D80F48" w14:textId="77777777" w:rsidR="00C10B8C" w:rsidRPr="00751224" w:rsidRDefault="00C10B8C" w:rsidP="00716592">
            <w:pPr>
              <w:pStyle w:val="Caption"/>
              <w:rPr>
                <w:highlight w:val="yellow"/>
              </w:rPr>
            </w:pPr>
          </w:p>
          <w:p w14:paraId="7FCF2DC5" w14:textId="061132AE" w:rsidR="00C10B8C" w:rsidRPr="00751224" w:rsidRDefault="00745B12" w:rsidP="00716592">
            <w:pPr>
              <w:pStyle w:val="Caption"/>
              <w:rPr>
                <w:highlight w:val="yellow"/>
              </w:rPr>
            </w:pPr>
            <w:r w:rsidRPr="00751224">
              <w:rPr>
                <w:highlight w:val="yellow"/>
                <w:lang w:eastAsia="sl-SI"/>
              </w:rPr>
              <w:drawing>
                <wp:inline distT="0" distB="0" distL="0" distR="0" wp14:anchorId="40DDBE40" wp14:editId="39E44AAA">
                  <wp:extent cx="2738755" cy="2240915"/>
                  <wp:effectExtent l="0" t="0" r="4445" b="6985"/>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c>
          <w:tcPr>
            <w:tcW w:w="4530" w:type="dxa"/>
          </w:tcPr>
          <w:p w14:paraId="4A1BDEFE" w14:textId="4C56382B" w:rsidR="00C10B8C" w:rsidRPr="00751224" w:rsidRDefault="00C10B8C"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17</w:t>
            </w:r>
            <w:r w:rsidRPr="00751224">
              <w:rPr>
                <w:highlight w:val="yellow"/>
              </w:rPr>
              <w:fldChar w:fldCharType="end"/>
            </w:r>
            <w:r w:rsidRPr="00751224">
              <w:rPr>
                <w:highlight w:val="yellow"/>
              </w:rPr>
              <w:t xml:space="preserve">: </w:t>
            </w:r>
            <w:r w:rsidR="00D36D57" w:rsidRPr="00751224">
              <w:rPr>
                <w:highlight w:val="yellow"/>
              </w:rPr>
              <w:t>Rast izvoza naj bi v obdobju napovedi presegala rast tujega povpraševanja</w:t>
            </w:r>
          </w:p>
          <w:p w14:paraId="2A469D00" w14:textId="77777777" w:rsidR="00C10B8C" w:rsidRPr="00751224" w:rsidRDefault="00C10B8C" w:rsidP="00716592">
            <w:pPr>
              <w:pStyle w:val="Caption"/>
              <w:rPr>
                <w:highlight w:val="yellow"/>
              </w:rPr>
            </w:pPr>
          </w:p>
          <w:p w14:paraId="7201E3F6" w14:textId="3C60F6E5" w:rsidR="00C10B8C" w:rsidRPr="00893E66" w:rsidRDefault="00893E66" w:rsidP="00716592">
            <w:pPr>
              <w:pStyle w:val="Caption"/>
            </w:pPr>
            <w:r w:rsidRPr="00751224">
              <w:rPr>
                <w:highlight w:val="yellow"/>
                <w:lang w:eastAsia="sl-SI"/>
              </w:rPr>
              <w:drawing>
                <wp:inline distT="0" distB="0" distL="0" distR="0" wp14:anchorId="09E61529" wp14:editId="7B09A738">
                  <wp:extent cx="2734945" cy="2242185"/>
                  <wp:effectExtent l="0" t="0" r="8255" b="571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r>
    </w:tbl>
    <w:p w14:paraId="0A189D74" w14:textId="3F9CEE31" w:rsidR="00C10B8C" w:rsidRDefault="00C10B8C" w:rsidP="001B44DC">
      <w:pPr>
        <w:pStyle w:val="BesediloNAPOVED"/>
        <w:rPr>
          <w:bCs/>
          <w:highlight w:val="yellow"/>
        </w:rPr>
      </w:pPr>
    </w:p>
    <w:tbl>
      <w:tblPr>
        <w:tblStyle w:val="okvirNAPOVED"/>
        <w:tblW w:w="0" w:type="auto"/>
        <w:tblLook w:val="04A0" w:firstRow="1" w:lastRow="0" w:firstColumn="1" w:lastColumn="0" w:noHBand="0" w:noVBand="1"/>
      </w:tblPr>
      <w:tblGrid>
        <w:gridCol w:w="9060"/>
      </w:tblGrid>
      <w:tr w:rsidR="0055681F" w14:paraId="362F6DAB" w14:textId="77777777" w:rsidTr="00DC16FC">
        <w:tc>
          <w:tcPr>
            <w:tcW w:w="9060" w:type="dxa"/>
          </w:tcPr>
          <w:p w14:paraId="509CD106" w14:textId="195A5C78" w:rsidR="0055681F" w:rsidRPr="001C1618" w:rsidRDefault="00C84190" w:rsidP="00DC16FC">
            <w:pPr>
              <w:pStyle w:val="Caption"/>
            </w:pPr>
            <w:bookmarkStart w:id="28" w:name="_Ref81050585"/>
            <w:r w:rsidRPr="00EB3DB7">
              <w:lastRenderedPageBreak/>
              <w:t xml:space="preserve">Okvir </w:t>
            </w:r>
            <w:r w:rsidRPr="00EB3DB7">
              <w:fldChar w:fldCharType="begin"/>
            </w:r>
            <w:r w:rsidRPr="00EB3DB7">
              <w:instrText xml:space="preserve"> SEQ Okvir \* ARABIC </w:instrText>
            </w:r>
            <w:r w:rsidRPr="00EB3DB7">
              <w:fldChar w:fldCharType="separate"/>
            </w:r>
            <w:r w:rsidR="00D224DD">
              <w:t>2</w:t>
            </w:r>
            <w:r w:rsidRPr="00EB3DB7">
              <w:fldChar w:fldCharType="end"/>
            </w:r>
            <w:bookmarkEnd w:id="28"/>
            <w:r w:rsidR="0055681F" w:rsidRPr="001C1618">
              <w:t xml:space="preserve">: </w:t>
            </w:r>
            <w:r w:rsidR="0055681F">
              <w:t>Prelivanje</w:t>
            </w:r>
            <w:r w:rsidR="0055681F" w:rsidRPr="001C1618">
              <w:t xml:space="preserve"> varčevanj</w:t>
            </w:r>
            <w:r w:rsidR="0055681F">
              <w:t>a</w:t>
            </w:r>
            <w:r w:rsidR="0055681F" w:rsidRPr="001C1618">
              <w:t xml:space="preserve"> gospodinjstev v zasebno potrošnjo</w:t>
            </w:r>
          </w:p>
          <w:p w14:paraId="2B0BC54D" w14:textId="77777777" w:rsidR="0055681F" w:rsidRPr="001C1618" w:rsidRDefault="0055681F" w:rsidP="00DC16FC">
            <w:pPr>
              <w:pStyle w:val="BesediloNAPOVED"/>
            </w:pPr>
          </w:p>
          <w:p w14:paraId="7D9CD796" w14:textId="77777777" w:rsidR="0055681F" w:rsidRPr="001C1618" w:rsidRDefault="0055681F" w:rsidP="00DC16FC">
            <w:pPr>
              <w:pStyle w:val="BesediloNAPOVED"/>
            </w:pPr>
            <w:r w:rsidRPr="000546E2">
              <w:rPr>
                <w:rStyle w:val="VodilnistavekBoldpoudarekNAPOVED"/>
              </w:rPr>
              <w:t xml:space="preserve">Pandemija covid-19 in z njo povezani ukrepi za omejitev širjenja okužb, pa tudi negotovost glede prihodnosti, ki je vplivala na previdnejše odločitve gospodinjstev o potrošnji in odlaganju </w:t>
            </w:r>
            <w:proofErr w:type="spellStart"/>
            <w:r w:rsidRPr="000546E2">
              <w:rPr>
                <w:rStyle w:val="VodilnistavekBoldpoudarekNAPOVED"/>
              </w:rPr>
              <w:t>nenujnih</w:t>
            </w:r>
            <w:proofErr w:type="spellEnd"/>
            <w:r w:rsidRPr="000546E2">
              <w:rPr>
                <w:rStyle w:val="VodilnistavekBoldpoudarekNAPOVED"/>
              </w:rPr>
              <w:t xml:space="preserve"> nakupov, so v letu 2020 močno zmanjšali zasebno potrošnjo gospodinjstev.</w:t>
            </w:r>
            <w:r w:rsidRPr="001C1618">
              <w:t xml:space="preserve"> Ob nadaljnji rasti nominalnega razpoložljivega dohodka, na kar so pomembno vplivali vladni ukrepi za omilitev izpada dohodka zaradi posledic covid-19, in visokem upadu zasebne potrošnje</w:t>
            </w:r>
            <w:r w:rsidRPr="001C1618">
              <w:rPr>
                <w:rStyle w:val="FootnoteReference"/>
              </w:rPr>
              <w:footnoteReference w:id="31"/>
            </w:r>
            <w:r w:rsidRPr="001C1618">
              <w:t xml:space="preserve"> (realno za 9,7 %) se je močno, za 11,7 o. t., povečala stopnja varčevanja in dosegla 25,1</w:t>
            </w:r>
            <w:r>
              <w:t> </w:t>
            </w:r>
            <w:r w:rsidRPr="001C1618">
              <w:t>% (povprečje prejšnjih 20 let je 13,6 %).</w:t>
            </w:r>
          </w:p>
          <w:p w14:paraId="050793AD" w14:textId="77777777" w:rsidR="0055681F" w:rsidRPr="001C1618" w:rsidRDefault="0055681F" w:rsidP="00DC16FC">
            <w:pPr>
              <w:pStyle w:val="Caption"/>
            </w:pPr>
            <w:r w:rsidRPr="001C1618">
              <w:t xml:space="preserve"> </w:t>
            </w:r>
          </w:p>
          <w:p w14:paraId="0EB902D5" w14:textId="5CF136E5" w:rsidR="0055681F" w:rsidRDefault="0055681F" w:rsidP="00DC16FC">
            <w:pPr>
              <w:pStyle w:val="Caption"/>
            </w:pPr>
            <w:r w:rsidRPr="001C1618">
              <w:t xml:space="preserve">Slika </w:t>
            </w:r>
            <w:r w:rsidRPr="001C1618">
              <w:fldChar w:fldCharType="begin"/>
            </w:r>
            <w:r w:rsidRPr="001C1618">
              <w:instrText xml:space="preserve"> SEQ Slika \* ARABIC </w:instrText>
            </w:r>
            <w:r w:rsidRPr="001C1618">
              <w:fldChar w:fldCharType="separate"/>
            </w:r>
            <w:r w:rsidR="00D224DD">
              <w:t>18</w:t>
            </w:r>
            <w:r w:rsidRPr="001C1618">
              <w:fldChar w:fldCharType="end"/>
            </w:r>
            <w:r w:rsidRPr="001C1618">
              <w:t>: Bruto razpoložljivi dohodek, zasebna potrošnja in bruto varčevanje (vse nominalno) po četrtletjih v obdobju 2018–2021</w:t>
            </w:r>
          </w:p>
          <w:p w14:paraId="5EF8C9DD" w14:textId="77777777" w:rsidR="00A25E3C" w:rsidRPr="00A25E3C" w:rsidRDefault="00A25E3C" w:rsidP="00A25E3C">
            <w:pPr>
              <w:pStyle w:val="BesediloNAPOVED"/>
            </w:pPr>
          </w:p>
          <w:p w14:paraId="6AAE5495" w14:textId="77777777" w:rsidR="0055681F" w:rsidRPr="001C1618" w:rsidRDefault="0055681F" w:rsidP="00DC16FC">
            <w:pPr>
              <w:pStyle w:val="BesediloNAPOVED"/>
            </w:pPr>
            <w:r w:rsidRPr="00273425">
              <w:rPr>
                <w:noProof/>
              </w:rPr>
              <w:drawing>
                <wp:anchor distT="0" distB="0" distL="114300" distR="114300" simplePos="0" relativeHeight="251672576" behindDoc="0" locked="0" layoutInCell="1" allowOverlap="1" wp14:anchorId="489C1187" wp14:editId="2659366B">
                  <wp:simplePos x="0" y="0"/>
                  <wp:positionH relativeFrom="column">
                    <wp:posOffset>-86848</wp:posOffset>
                  </wp:positionH>
                  <wp:positionV relativeFrom="paragraph">
                    <wp:posOffset>1270</wp:posOffset>
                  </wp:positionV>
                  <wp:extent cx="5756275" cy="2332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6275" cy="2332990"/>
                          </a:xfrm>
                          <a:prstGeom prst="rect">
                            <a:avLst/>
                          </a:prstGeom>
                          <a:noFill/>
                          <a:ln>
                            <a:noFill/>
                          </a:ln>
                        </pic:spPr>
                      </pic:pic>
                    </a:graphicData>
                  </a:graphic>
                </wp:anchor>
              </w:drawing>
            </w:r>
          </w:p>
          <w:p w14:paraId="3CEFC29A" w14:textId="3CCB3018" w:rsidR="0055681F" w:rsidRDefault="0055681F" w:rsidP="00DC16FC">
            <w:pPr>
              <w:pStyle w:val="Caption"/>
            </w:pPr>
            <w:r w:rsidRPr="001C1618">
              <w:t xml:space="preserve">Slika </w:t>
            </w:r>
            <w:r w:rsidRPr="001C1618">
              <w:fldChar w:fldCharType="begin"/>
            </w:r>
            <w:r w:rsidRPr="001C1618">
              <w:instrText xml:space="preserve"> SEQ Slika \* ARABIC </w:instrText>
            </w:r>
            <w:r w:rsidRPr="001C1618">
              <w:fldChar w:fldCharType="separate"/>
            </w:r>
            <w:r w:rsidR="00D224DD">
              <w:t>19</w:t>
            </w:r>
            <w:r w:rsidRPr="001C1618">
              <w:fldChar w:fldCharType="end"/>
            </w:r>
            <w:r w:rsidRPr="001C1618">
              <w:t>: Stopnja varčevanja po četrtletjih v obdobju 2018–2021</w:t>
            </w:r>
          </w:p>
          <w:p w14:paraId="01E80AF5" w14:textId="77777777" w:rsidR="00A25E3C" w:rsidRPr="00A25E3C" w:rsidRDefault="00A25E3C" w:rsidP="00A25E3C">
            <w:pPr>
              <w:pStyle w:val="BesediloNAPOVED"/>
            </w:pPr>
          </w:p>
          <w:p w14:paraId="55096C0E" w14:textId="77777777" w:rsidR="0055681F" w:rsidRPr="001C1618" w:rsidRDefault="0055681F" w:rsidP="00DC16FC">
            <w:pPr>
              <w:pStyle w:val="BesediloNAPOVED"/>
            </w:pPr>
            <w:r w:rsidRPr="001C1618">
              <w:rPr>
                <w:noProof/>
              </w:rPr>
              <w:drawing>
                <wp:anchor distT="0" distB="0" distL="114300" distR="114300" simplePos="0" relativeHeight="251667456" behindDoc="0" locked="0" layoutInCell="1" allowOverlap="1" wp14:anchorId="4789808F" wp14:editId="0115D80D">
                  <wp:simplePos x="0" y="0"/>
                  <wp:positionH relativeFrom="column">
                    <wp:posOffset>-86848</wp:posOffset>
                  </wp:positionH>
                  <wp:positionV relativeFrom="paragraph">
                    <wp:posOffset>293</wp:posOffset>
                  </wp:positionV>
                  <wp:extent cx="5756275" cy="20923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6275" cy="2092325"/>
                          </a:xfrm>
                          <a:prstGeom prst="rect">
                            <a:avLst/>
                          </a:prstGeom>
                          <a:noFill/>
                          <a:ln>
                            <a:noFill/>
                          </a:ln>
                        </pic:spPr>
                      </pic:pic>
                    </a:graphicData>
                  </a:graphic>
                </wp:anchor>
              </w:drawing>
            </w:r>
          </w:p>
          <w:p w14:paraId="65833451" w14:textId="77777777" w:rsidR="0055681F" w:rsidRPr="00540F42" w:rsidRDefault="0055681F" w:rsidP="00DC16FC">
            <w:pPr>
              <w:pStyle w:val="BesediloNAPOVED"/>
            </w:pPr>
            <w:r w:rsidRPr="00273425">
              <w:rPr>
                <w:rStyle w:val="VodilnistavekBoldpoudarekNAPOVED"/>
              </w:rPr>
              <w:t>Povečana stopnja varčevanja je bila posledica močno oteženega trošenja med epidemijo (neprostovoljno oz. t. i. »prisilno« varčevanje) in previdnostnega varčevanja.</w:t>
            </w:r>
            <w:r>
              <w:rPr>
                <w:b/>
              </w:rPr>
              <w:t xml:space="preserve"> </w:t>
            </w:r>
            <w:r w:rsidRPr="001C1618">
              <w:t xml:space="preserve">Ob zaprtju </w:t>
            </w:r>
            <w:proofErr w:type="spellStart"/>
            <w:r w:rsidRPr="001C1618">
              <w:t>nenujnih</w:t>
            </w:r>
            <w:proofErr w:type="spellEnd"/>
            <w:r w:rsidRPr="001C1618">
              <w:t xml:space="preserve"> trgovin in storitev ter ostalih omejitvenih ukrepih za zajezitev epidemije je bilo trošenje gospodinjstev v pomladanskem in jesenskem ter zimskem času močno oteženo, zaradi česar so privarčevala večji del razpoložljivih sredstev kot običajno (neprostovoljno varčevanje). Višja stopnja varčevanja v Sloveniji od evrskega območja v zadnjem lanskem četrtletju je bila najbrž tudi posledica visokih omejitev pri poslovanju, ki so bila v Sloveniji med višjimi v primerjavi s  sosednjimi državami oziroma našimi najpomembnejšimi trgovinskimi partnericami</w:t>
            </w:r>
            <w:r w:rsidRPr="001C1618">
              <w:rPr>
                <w:rStyle w:val="FootnoteReference"/>
              </w:rPr>
              <w:footnoteReference w:id="32"/>
            </w:r>
            <w:r w:rsidRPr="001C1618">
              <w:t xml:space="preserve">. </w:t>
            </w:r>
            <w:r>
              <w:t>Poleg oteženega trošenja so g</w:t>
            </w:r>
            <w:r w:rsidRPr="001C1618">
              <w:t>ospodinjstva</w:t>
            </w:r>
            <w:r w:rsidRPr="001C1618" w:rsidDel="00B83111">
              <w:t xml:space="preserve"> pri svojih odločitvah o potrošnji postala previdnejša</w:t>
            </w:r>
            <w:r w:rsidRPr="001C1618">
              <w:t>, kar je bila posledica</w:t>
            </w:r>
            <w:r w:rsidRPr="001C1618" w:rsidDel="00B83111">
              <w:t xml:space="preserve"> povečan</w:t>
            </w:r>
            <w:r w:rsidRPr="001C1618">
              <w:t>e</w:t>
            </w:r>
            <w:r w:rsidRPr="001C1618" w:rsidDel="00B83111">
              <w:t xml:space="preserve"> </w:t>
            </w:r>
            <w:r w:rsidRPr="001C1618" w:rsidDel="00B83111">
              <w:lastRenderedPageBreak/>
              <w:t>negotovost</w:t>
            </w:r>
            <w:r w:rsidRPr="001C1618">
              <w:t>i</w:t>
            </w:r>
            <w:r w:rsidRPr="001C1618" w:rsidDel="00B83111">
              <w:t xml:space="preserve"> </w:t>
            </w:r>
            <w:r w:rsidRPr="001C1618">
              <w:t xml:space="preserve">glede prihodnjih epidemičnih razmer in posledično tudi nižjih pričakovanj glede </w:t>
            </w:r>
            <w:r w:rsidRPr="001C1618" w:rsidDel="00B83111">
              <w:t>prihodn</w:t>
            </w:r>
            <w:r w:rsidRPr="001C1618">
              <w:t>je gospodarske situacije in finančnega stanja v gospodinjstvih</w:t>
            </w:r>
            <w:r>
              <w:t>, kar je povečevalo previdnostno varčevanje</w:t>
            </w:r>
            <w:r w:rsidRPr="001C1618">
              <w:t xml:space="preserve">. Povečana negotovost gospodinjstev se je kazala tudi v zniževanju kazalnika zaupanja  potrošnikov. Pod vplivom epidemije se je vrednost kazalnika ob prvem valu močno zmanjšala, se čez poletje nekoliko izboljšala, ob drugem valu pa ponovno zmanjšala. Znižale so se vse komponente kazalnika, k zniževanju pa sta največ prispevala poslabšanje pričakovanj glede prihodnjega gospodarskega stanja in prihodnjega finančnega stanja v gospodinjstvu. </w:t>
            </w:r>
          </w:p>
          <w:p w14:paraId="757B0275" w14:textId="77777777" w:rsidR="0055681F" w:rsidRPr="001C1618" w:rsidRDefault="0055681F" w:rsidP="00DC16FC">
            <w:pPr>
              <w:pStyle w:val="BesediloNAPOVED"/>
            </w:pPr>
          </w:p>
          <w:p w14:paraId="0B1A2616" w14:textId="103A2E39" w:rsidR="0055681F" w:rsidRDefault="0055681F" w:rsidP="00DC16FC">
            <w:pPr>
              <w:pStyle w:val="Caption"/>
            </w:pPr>
            <w:r w:rsidRPr="001C1618">
              <w:t xml:space="preserve">Slika </w:t>
            </w:r>
            <w:bookmarkStart w:id="29" w:name="_Hlk73456888"/>
            <w:r w:rsidRPr="001C1618">
              <w:fldChar w:fldCharType="begin"/>
            </w:r>
            <w:r w:rsidRPr="001C1618">
              <w:instrText xml:space="preserve"> SEQ Slika \* ARABIC </w:instrText>
            </w:r>
            <w:r w:rsidRPr="001C1618">
              <w:fldChar w:fldCharType="separate"/>
            </w:r>
            <w:r w:rsidR="00D224DD">
              <w:t>20</w:t>
            </w:r>
            <w:r w:rsidRPr="001C1618">
              <w:fldChar w:fldCharType="end"/>
            </w:r>
            <w:bookmarkEnd w:id="29"/>
            <w:r w:rsidRPr="001C1618">
              <w:t>: Kazalnik zaupanja potrošnikov</w:t>
            </w:r>
          </w:p>
          <w:p w14:paraId="5FA5AE0C" w14:textId="6EF215A2" w:rsidR="00A25E3C" w:rsidRPr="00A25E3C" w:rsidRDefault="00A25E3C" w:rsidP="00A25E3C">
            <w:pPr>
              <w:pStyle w:val="BesediloNAPOVED"/>
            </w:pPr>
            <w:r w:rsidRPr="001C1618">
              <w:rPr>
                <w:noProof/>
              </w:rPr>
              <w:drawing>
                <wp:anchor distT="0" distB="0" distL="114300" distR="114300" simplePos="0" relativeHeight="251668480" behindDoc="0" locked="0" layoutInCell="1" allowOverlap="1" wp14:anchorId="3E0E25FE" wp14:editId="65A56C51">
                  <wp:simplePos x="0" y="0"/>
                  <wp:positionH relativeFrom="column">
                    <wp:posOffset>-86995</wp:posOffset>
                  </wp:positionH>
                  <wp:positionV relativeFrom="paragraph">
                    <wp:posOffset>179070</wp:posOffset>
                  </wp:positionV>
                  <wp:extent cx="5756275" cy="20923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6275" cy="2092325"/>
                          </a:xfrm>
                          <a:prstGeom prst="rect">
                            <a:avLst/>
                          </a:prstGeom>
                          <a:noFill/>
                          <a:ln>
                            <a:noFill/>
                          </a:ln>
                        </pic:spPr>
                      </pic:pic>
                    </a:graphicData>
                  </a:graphic>
                </wp:anchor>
              </w:drawing>
            </w:r>
          </w:p>
          <w:p w14:paraId="0533DCE8" w14:textId="77777777" w:rsidR="0055681F" w:rsidRPr="001C1618" w:rsidRDefault="0055681F" w:rsidP="00DC16FC">
            <w:pPr>
              <w:pStyle w:val="BesediloNAPOVED"/>
            </w:pPr>
          </w:p>
          <w:p w14:paraId="31AE6BA0" w14:textId="77777777" w:rsidR="0055681F" w:rsidRPr="001C1618" w:rsidRDefault="0055681F" w:rsidP="00DC16FC">
            <w:pPr>
              <w:pStyle w:val="BesediloNAPOVED"/>
            </w:pPr>
            <w:r w:rsidRPr="00273425">
              <w:rPr>
                <w:rStyle w:val="VodilnistavekBoldpoudarekNAPOVED"/>
              </w:rPr>
              <w:t xml:space="preserve">Skupaj se je v letu 2020 tekoče bruto varčevanje gospodinjstev (kot razlika med razpoložljivim dohodkom in potrošnjo v letu) skoraj podvojilo s 3,9 mrd € na 7,6 mrd </w:t>
            </w:r>
            <w:bookmarkStart w:id="30" w:name="_Hlk73518377"/>
            <w:r w:rsidRPr="00273425">
              <w:rPr>
                <w:rStyle w:val="VodilnistavekBoldpoudarekNAPOVED"/>
              </w:rPr>
              <w:t>€</w:t>
            </w:r>
            <w:bookmarkEnd w:id="30"/>
            <w:r>
              <w:t>.</w:t>
            </w:r>
            <w:r w:rsidRPr="001C1618">
              <w:t xml:space="preserve"> </w:t>
            </w:r>
            <w:r>
              <w:t>To</w:t>
            </w:r>
            <w:r w:rsidRPr="001C1618">
              <w:t xml:space="preserve"> se kaže tudi v povečanem stanju gotovine in vlog gospodinjstev, ki se je v letu 2020 okrepilo za več kot 2 mrd € in je konec leta znašalo skoraj 23 mrd €.</w:t>
            </w:r>
          </w:p>
          <w:p w14:paraId="0B63AD93" w14:textId="77777777" w:rsidR="0055681F" w:rsidRPr="001C1618" w:rsidRDefault="0055681F" w:rsidP="00DC16FC">
            <w:pPr>
              <w:pStyle w:val="BesediloNAPOVED"/>
            </w:pPr>
          </w:p>
          <w:p w14:paraId="0A0688B8" w14:textId="538AF06D" w:rsidR="0055681F" w:rsidRDefault="0055681F" w:rsidP="00DC16FC">
            <w:pPr>
              <w:pStyle w:val="Caption"/>
            </w:pPr>
            <w:r w:rsidRPr="001C1618">
              <w:t xml:space="preserve">Slika </w:t>
            </w:r>
            <w:r w:rsidRPr="001C1618">
              <w:fldChar w:fldCharType="begin"/>
            </w:r>
            <w:r w:rsidRPr="001C1618">
              <w:instrText xml:space="preserve"> SEQ Slika \* ARABIC </w:instrText>
            </w:r>
            <w:r w:rsidRPr="001C1618">
              <w:fldChar w:fldCharType="separate"/>
            </w:r>
            <w:r w:rsidR="00D224DD">
              <w:t>21</w:t>
            </w:r>
            <w:r w:rsidRPr="001C1618">
              <w:fldChar w:fldCharType="end"/>
            </w:r>
            <w:r w:rsidRPr="001C1618">
              <w:t>: Prirasti vlog gospodinjstev v obdobju 2019–2021</w:t>
            </w:r>
          </w:p>
          <w:p w14:paraId="2D620B59" w14:textId="77777777" w:rsidR="00A25E3C" w:rsidRPr="00A25E3C" w:rsidRDefault="00A25E3C" w:rsidP="00A25E3C">
            <w:pPr>
              <w:pStyle w:val="BesediloNAPOVED"/>
            </w:pPr>
          </w:p>
          <w:p w14:paraId="37B7A3AE" w14:textId="77777777" w:rsidR="0055681F" w:rsidRPr="001C1618" w:rsidRDefault="0055681F" w:rsidP="00DC16FC">
            <w:pPr>
              <w:pStyle w:val="BesediloNAPOVED"/>
            </w:pPr>
            <w:r w:rsidRPr="001C1618">
              <w:rPr>
                <w:noProof/>
              </w:rPr>
              <w:drawing>
                <wp:anchor distT="0" distB="0" distL="114300" distR="114300" simplePos="0" relativeHeight="251670528" behindDoc="0" locked="0" layoutInCell="1" allowOverlap="1" wp14:anchorId="4EDDFA02" wp14:editId="34CD0BE6">
                  <wp:simplePos x="0" y="0"/>
                  <wp:positionH relativeFrom="column">
                    <wp:posOffset>-86848</wp:posOffset>
                  </wp:positionH>
                  <wp:positionV relativeFrom="paragraph">
                    <wp:posOffset>3028</wp:posOffset>
                  </wp:positionV>
                  <wp:extent cx="5756275" cy="20923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6275" cy="2092325"/>
                          </a:xfrm>
                          <a:prstGeom prst="rect">
                            <a:avLst/>
                          </a:prstGeom>
                          <a:noFill/>
                          <a:ln>
                            <a:noFill/>
                          </a:ln>
                        </pic:spPr>
                      </pic:pic>
                    </a:graphicData>
                  </a:graphic>
                </wp:anchor>
              </w:drawing>
            </w:r>
          </w:p>
          <w:p w14:paraId="1B0F23D4" w14:textId="77777777" w:rsidR="0055681F" w:rsidRPr="001C1618" w:rsidRDefault="0055681F" w:rsidP="00DC16FC">
            <w:pPr>
              <w:pStyle w:val="BesediloNAPOVED"/>
            </w:pPr>
            <w:r w:rsidRPr="00273425">
              <w:rPr>
                <w:rStyle w:val="VodilnistavekBoldpoudarekNAPOVED"/>
              </w:rPr>
              <w:t>Akumulirana sredstva bi lahko pospešila okrevanje zasebne potrošnje v letošnjem letu, vendar ocenjujemo, da se bo relativno majhen del privarčevanih sredstev prelil v potrošnjo.</w:t>
            </w:r>
            <w:r>
              <w:t xml:space="preserve"> To je posledica spodnjih dejavnikov</w:t>
            </w:r>
            <w:r w:rsidRPr="001C1618">
              <w:t>:</w:t>
            </w:r>
          </w:p>
          <w:p w14:paraId="2EDE38C9" w14:textId="77777777" w:rsidR="0055681F" w:rsidRPr="001C1618" w:rsidRDefault="0055681F" w:rsidP="00DC16FC">
            <w:pPr>
              <w:pStyle w:val="BesediloNAPOVED"/>
            </w:pPr>
          </w:p>
          <w:p w14:paraId="1E353669" w14:textId="77777777" w:rsidR="0055681F" w:rsidRPr="001C1618" w:rsidRDefault="0055681F" w:rsidP="0055681F">
            <w:pPr>
              <w:pStyle w:val="BesediloNAPOVED"/>
              <w:numPr>
                <w:ilvl w:val="0"/>
                <w:numId w:val="26"/>
              </w:numPr>
            </w:pPr>
            <w:r w:rsidRPr="001C1618">
              <w:lastRenderedPageBreak/>
              <w:t xml:space="preserve">Kljub temu, da se je negotovost nekoliko zmanjšala, ta ostaja višja kot pred epidemijo, kar bo zadržalo nastale prihranke, poleg tega pa bo zaradi spremenjenih razmer in še vedno prisotne negotovosti v prihodnost stopnja varčevanja </w:t>
            </w:r>
            <w:r>
              <w:t xml:space="preserve">kljub znižanju glede na lani </w:t>
            </w:r>
            <w:r w:rsidRPr="001C1618">
              <w:t xml:space="preserve">tudi v letošnjem letu ostala višja kot pred epidemijo. </w:t>
            </w:r>
          </w:p>
          <w:p w14:paraId="7A75273E" w14:textId="77777777" w:rsidR="0055681F" w:rsidRPr="001C1618" w:rsidRDefault="0055681F" w:rsidP="00DC16FC">
            <w:pPr>
              <w:pStyle w:val="BesediloNAPOVED"/>
              <w:ind w:left="720"/>
            </w:pPr>
          </w:p>
          <w:p w14:paraId="7B6F7233" w14:textId="77777777" w:rsidR="0055681F" w:rsidRPr="001C1618" w:rsidRDefault="0055681F" w:rsidP="0055681F">
            <w:pPr>
              <w:pStyle w:val="BesediloNAPOVED"/>
              <w:numPr>
                <w:ilvl w:val="0"/>
                <w:numId w:val="26"/>
              </w:numPr>
            </w:pPr>
            <w:r w:rsidRPr="001C1618">
              <w:t>Velik del lanskega zmanjšanja zasebne potrošnje je bil posledica manjše potrošnje gospodinjstev za storitve, ki pa jih težko v celoti nadoknadimo (frizerji, restavracije, koncerti, izleti, potovanja…). Potrošnja za trajne dobrine se je namreč po močnem zmanjšanju v prvi polovici leta</w:t>
            </w:r>
            <w:r>
              <w:t xml:space="preserve"> 2020 lansko </w:t>
            </w:r>
            <w:r w:rsidRPr="001C1618">
              <w:t>poletje močneje okrepil</w:t>
            </w:r>
            <w:r>
              <w:t>a</w:t>
            </w:r>
            <w:r w:rsidRPr="001C1618">
              <w:t xml:space="preserve">. </w:t>
            </w:r>
          </w:p>
          <w:p w14:paraId="7D7D1851" w14:textId="77777777" w:rsidR="0055681F" w:rsidRPr="001C1618" w:rsidRDefault="0055681F" w:rsidP="00DC16FC">
            <w:pPr>
              <w:pStyle w:val="BesediloNAPOVED"/>
            </w:pPr>
          </w:p>
          <w:p w14:paraId="431ADD20" w14:textId="77777777" w:rsidR="0055681F" w:rsidRPr="001C1618" w:rsidRDefault="0055681F" w:rsidP="0055681F">
            <w:pPr>
              <w:pStyle w:val="BesediloNAPOVED"/>
              <w:numPr>
                <w:ilvl w:val="0"/>
                <w:numId w:val="26"/>
              </w:numPr>
            </w:pPr>
            <w:r w:rsidRPr="001C1618">
              <w:t>Varčevanje so lani povečevala predvsem gospodinjstva z višjimi dohodki</w:t>
            </w:r>
            <w:r w:rsidRPr="001C1618">
              <w:rPr>
                <w:rStyle w:val="FootnoteReference"/>
              </w:rPr>
              <w:footnoteReference w:id="33"/>
            </w:r>
            <w:r w:rsidRPr="001C1618">
              <w:t>, ki imajo nižjo nagnjenost k potrošnji, poleg tega lahko ta gospodinjstva visoko potrošnjo financirajo iz tekočih dohodkov.</w:t>
            </w:r>
          </w:p>
          <w:p w14:paraId="78A1FEA5" w14:textId="77777777" w:rsidR="0055681F" w:rsidRPr="001C1618" w:rsidRDefault="0055681F" w:rsidP="00DC16FC">
            <w:pPr>
              <w:pStyle w:val="BesediloNAPOVED"/>
              <w:rPr>
                <w:bCs/>
              </w:rPr>
            </w:pPr>
          </w:p>
          <w:p w14:paraId="79B300F7" w14:textId="78290E42" w:rsidR="0055681F" w:rsidRDefault="0055681F" w:rsidP="00DC16FC">
            <w:pPr>
              <w:pStyle w:val="Caption"/>
            </w:pPr>
            <w:r w:rsidRPr="001C1618">
              <w:t xml:space="preserve">Slika </w:t>
            </w:r>
            <w:r w:rsidRPr="001C1618">
              <w:fldChar w:fldCharType="begin"/>
            </w:r>
            <w:r w:rsidRPr="001C1618">
              <w:instrText xml:space="preserve"> SEQ Slika \* ARABIC </w:instrText>
            </w:r>
            <w:r w:rsidRPr="001C1618">
              <w:fldChar w:fldCharType="separate"/>
            </w:r>
            <w:r w:rsidR="00D224DD">
              <w:t>22</w:t>
            </w:r>
            <w:r w:rsidRPr="001C1618">
              <w:fldChar w:fldCharType="end"/>
            </w:r>
            <w:r w:rsidRPr="001C1618">
              <w:t>: Varčevanje gospodinjstev po kvintilih</w:t>
            </w:r>
          </w:p>
          <w:p w14:paraId="0FCD9CCA" w14:textId="77777777" w:rsidR="00A25E3C" w:rsidRPr="00A25E3C" w:rsidRDefault="00A25E3C" w:rsidP="00A25E3C">
            <w:pPr>
              <w:pStyle w:val="BesediloNAPOVED"/>
            </w:pPr>
          </w:p>
          <w:p w14:paraId="6338FBD7" w14:textId="77777777" w:rsidR="0055681F" w:rsidRPr="001C1618" w:rsidRDefault="0055681F" w:rsidP="00DC16FC">
            <w:pPr>
              <w:pStyle w:val="BesediloNAPOVED"/>
            </w:pPr>
            <w:r w:rsidRPr="001C1618">
              <w:rPr>
                <w:noProof/>
              </w:rPr>
              <w:drawing>
                <wp:anchor distT="0" distB="0" distL="114300" distR="114300" simplePos="0" relativeHeight="251669504" behindDoc="0" locked="0" layoutInCell="1" allowOverlap="1" wp14:anchorId="394E42FB" wp14:editId="0A6C7B84">
                  <wp:simplePos x="0" y="0"/>
                  <wp:positionH relativeFrom="column">
                    <wp:posOffset>-86848</wp:posOffset>
                  </wp:positionH>
                  <wp:positionV relativeFrom="paragraph">
                    <wp:posOffset>-1905</wp:posOffset>
                  </wp:positionV>
                  <wp:extent cx="5756275" cy="20923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6275" cy="2092325"/>
                          </a:xfrm>
                          <a:prstGeom prst="rect">
                            <a:avLst/>
                          </a:prstGeom>
                          <a:noFill/>
                          <a:ln>
                            <a:noFill/>
                          </a:ln>
                        </pic:spPr>
                      </pic:pic>
                    </a:graphicData>
                  </a:graphic>
                </wp:anchor>
              </w:drawing>
            </w:r>
          </w:p>
          <w:p w14:paraId="1C22478A" w14:textId="77777777" w:rsidR="0055681F" w:rsidRPr="001C1618" w:rsidRDefault="0055681F" w:rsidP="0055681F">
            <w:pPr>
              <w:pStyle w:val="BesediloNAPOVED"/>
              <w:numPr>
                <w:ilvl w:val="0"/>
                <w:numId w:val="26"/>
              </w:numPr>
            </w:pPr>
            <w:r w:rsidRPr="001C1618">
              <w:rPr>
                <w:rStyle w:val="jlqj4b"/>
              </w:rPr>
              <w:t>Podatki kažejo, da je nagnjenost k trošenju iz prihrankov (ali premoženja) nižja kot iz dodatnega dohodka</w:t>
            </w:r>
            <w:r w:rsidRPr="001C1618">
              <w:rPr>
                <w:rStyle w:val="FootnoteReference"/>
              </w:rPr>
              <w:footnoteReference w:id="34"/>
            </w:r>
            <w:r w:rsidRPr="001C1618">
              <w:t xml:space="preserve">. </w:t>
            </w:r>
          </w:p>
          <w:p w14:paraId="6A1F4A34" w14:textId="77777777" w:rsidR="0055681F" w:rsidRPr="001C1618" w:rsidRDefault="0055681F" w:rsidP="00DC16FC">
            <w:pPr>
              <w:pStyle w:val="BesediloNAPOVED"/>
              <w:ind w:left="720"/>
            </w:pPr>
          </w:p>
          <w:p w14:paraId="4D6E9B42" w14:textId="77777777" w:rsidR="0055681F" w:rsidRDefault="0055681F" w:rsidP="0055681F">
            <w:pPr>
              <w:pStyle w:val="BesediloNAPOVED"/>
              <w:numPr>
                <w:ilvl w:val="0"/>
                <w:numId w:val="26"/>
              </w:numPr>
            </w:pPr>
            <w:r w:rsidRPr="001C1618">
              <w:t>Del prihrankov bo najbrž šel v poplačilo dolgov, nakupe delnic in nepremičnin (tudi ker so banke s 1.4. oz. 1.6.2021 uvedle ležarine za fizične osebe za visoka stanja na računih). Povečano povpraševanje na nepremičninskem trgu ni zamrlo niti med epidemijo. Podatki o cenah nepremičnin kažejo na nadaljnjo rast povprečne cene stanovanjskih nepremičnin tudi v letu 2020, ki se je sicer glede na rast v letih 2018 in 2019 nekoliko umirila.</w:t>
            </w:r>
            <w:r>
              <w:t xml:space="preserve"> Tudi podatki o obetih za večje nakupe kažejo, da tudi v letošnjem letu ostajajo visoke </w:t>
            </w:r>
            <w:r w:rsidRPr="001C1618">
              <w:t>preference potrošnikov glede nakupa ali gradnje stanovanj ter izboljšav stanovanj v prihodnjih 12 mesecih, kar povečuje investicije in ne zasebn</w:t>
            </w:r>
            <w:r>
              <w:t>e</w:t>
            </w:r>
            <w:r w:rsidRPr="001C1618">
              <w:t xml:space="preserve"> potrošnj</w:t>
            </w:r>
            <w:r>
              <w:t>e.</w:t>
            </w:r>
          </w:p>
          <w:p w14:paraId="2747222C" w14:textId="77777777" w:rsidR="0055681F" w:rsidRDefault="0055681F" w:rsidP="00DC16FC">
            <w:pPr>
              <w:pStyle w:val="BesediloNAPOVED"/>
            </w:pPr>
          </w:p>
          <w:p w14:paraId="73C23741" w14:textId="390DA273" w:rsidR="00A25E3C" w:rsidRDefault="0055681F" w:rsidP="00DC16FC">
            <w:pPr>
              <w:pStyle w:val="Caption"/>
            </w:pPr>
            <w:r w:rsidRPr="001C1618">
              <w:lastRenderedPageBreak/>
              <w:t xml:space="preserve">Slika </w:t>
            </w:r>
            <w:r w:rsidRPr="001C1618">
              <w:fldChar w:fldCharType="begin"/>
            </w:r>
            <w:r w:rsidRPr="001C1618">
              <w:instrText xml:space="preserve"> SEQ Slika \* ARABIC </w:instrText>
            </w:r>
            <w:r w:rsidRPr="001C1618">
              <w:fldChar w:fldCharType="separate"/>
            </w:r>
            <w:r w:rsidR="00D224DD">
              <w:t>23</w:t>
            </w:r>
            <w:r w:rsidRPr="001C1618">
              <w:fldChar w:fldCharType="end"/>
            </w:r>
            <w:r w:rsidRPr="001C1618">
              <w:t>: Obeti za večje nakupe v prihodnjih 12 mesecih</w:t>
            </w:r>
          </w:p>
          <w:p w14:paraId="6EF6BABD" w14:textId="5E04A887" w:rsidR="0055681F" w:rsidRPr="001C1618" w:rsidRDefault="0055681F" w:rsidP="00DC16FC">
            <w:pPr>
              <w:pStyle w:val="Caption"/>
            </w:pPr>
            <w:r w:rsidRPr="001C1618">
              <w:drawing>
                <wp:anchor distT="0" distB="0" distL="114300" distR="114300" simplePos="0" relativeHeight="251671552" behindDoc="0" locked="0" layoutInCell="1" allowOverlap="1" wp14:anchorId="7ECB32BE" wp14:editId="5466A147">
                  <wp:simplePos x="0" y="0"/>
                  <wp:positionH relativeFrom="column">
                    <wp:posOffset>-86995</wp:posOffset>
                  </wp:positionH>
                  <wp:positionV relativeFrom="paragraph">
                    <wp:posOffset>158115</wp:posOffset>
                  </wp:positionV>
                  <wp:extent cx="5756275" cy="20923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6275" cy="2092325"/>
                          </a:xfrm>
                          <a:prstGeom prst="rect">
                            <a:avLst/>
                          </a:prstGeom>
                          <a:noFill/>
                          <a:ln>
                            <a:noFill/>
                          </a:ln>
                        </pic:spPr>
                      </pic:pic>
                    </a:graphicData>
                  </a:graphic>
                </wp:anchor>
              </w:drawing>
            </w:r>
          </w:p>
          <w:p w14:paraId="0A66CCD0" w14:textId="77777777" w:rsidR="0055681F" w:rsidRPr="001C1618" w:rsidRDefault="0055681F" w:rsidP="00DC16FC">
            <w:pPr>
              <w:pStyle w:val="BesediloNAPOVED"/>
            </w:pPr>
          </w:p>
          <w:p w14:paraId="24CC0D9F" w14:textId="77777777" w:rsidR="0055681F" w:rsidRDefault="0055681F" w:rsidP="0055681F">
            <w:pPr>
              <w:pStyle w:val="BesediloNAPOVED"/>
              <w:numPr>
                <w:ilvl w:val="0"/>
                <w:numId w:val="26"/>
              </w:numPr>
            </w:pPr>
            <w:r>
              <w:t xml:space="preserve">Na nižjo rast trošenja presežnih prihrankov lahko vpliva tudi učinek </w:t>
            </w:r>
            <w:proofErr w:type="spellStart"/>
            <w:r>
              <w:t>rikardijanske</w:t>
            </w:r>
            <w:proofErr w:type="spellEnd"/>
            <w:r>
              <w:t xml:space="preserve"> ekvivalence, po kateri gospodinjstva manj trošijo v sedanjosti, ker pričakujejo višje davke v prihodnosti. V</w:t>
            </w:r>
            <w:r w:rsidRPr="001C1618">
              <w:t>ladni ukrepi za omilitev izpada dohodka zaradi posledic covid-19</w:t>
            </w:r>
            <w:r>
              <w:t xml:space="preserve"> so bili namreč v večini financirani z javnim denarjem in s povečanim javnim dolgom, ki ga bo treba v prihodnosti zmanjšati</w:t>
            </w:r>
            <w:r>
              <w:rPr>
                <w:rStyle w:val="FootnoteReference"/>
              </w:rPr>
              <w:footnoteReference w:id="35"/>
            </w:r>
            <w:r>
              <w:t>.</w:t>
            </w:r>
            <w:bookmarkStart w:id="31" w:name="_Hlk73456920"/>
          </w:p>
          <w:p w14:paraId="4333603B" w14:textId="77777777" w:rsidR="0055681F" w:rsidRDefault="0055681F" w:rsidP="00DC16FC">
            <w:pPr>
              <w:pStyle w:val="BesediloNAPOVED"/>
              <w:ind w:left="720"/>
            </w:pPr>
          </w:p>
          <w:p w14:paraId="24FF9E9D" w14:textId="77777777" w:rsidR="0055681F" w:rsidRPr="00DA2F12" w:rsidRDefault="0055681F" w:rsidP="0055681F">
            <w:pPr>
              <w:pStyle w:val="BesediloNAPOVED"/>
              <w:numPr>
                <w:ilvl w:val="0"/>
                <w:numId w:val="26"/>
              </w:numPr>
            </w:pPr>
            <w:r w:rsidRPr="00EB3398">
              <w:t xml:space="preserve">Podaljšanje veljavnosti lanskih turističnih bonov in uvedba letošnjih bonov </w:t>
            </w:r>
            <w:r w:rsidRPr="00DA2F12">
              <w:t>z namenom odprave posledic epidemije v gostinstvu, turizmu, športu in kulturi</w:t>
            </w:r>
            <w:r w:rsidRPr="00EB3398">
              <w:t>, ki jih je potrebno letos potrošiti</w:t>
            </w:r>
            <w:r>
              <w:t>,</w:t>
            </w:r>
            <w:r w:rsidRPr="00EB3398">
              <w:t xml:space="preserve"> v določeni meri izpodriva</w:t>
            </w:r>
            <w:r>
              <w:t>ta</w:t>
            </w:r>
            <w:r w:rsidRPr="00EB3398">
              <w:t xml:space="preserve"> potrošnjo iz tekočih dohodkov ali </w:t>
            </w:r>
            <w:r>
              <w:t xml:space="preserve">preteklega </w:t>
            </w:r>
            <w:r w:rsidRPr="00EB3398">
              <w:t>varčevanja.</w:t>
            </w:r>
          </w:p>
          <w:p w14:paraId="7D74A514" w14:textId="77777777" w:rsidR="0055681F" w:rsidRDefault="0055681F" w:rsidP="00DC16FC">
            <w:pPr>
              <w:pStyle w:val="BesediloNAPOVED"/>
              <w:ind w:left="360"/>
            </w:pPr>
          </w:p>
          <w:p w14:paraId="7EEDEB5F" w14:textId="77777777" w:rsidR="0055681F" w:rsidRPr="00AB0F16" w:rsidRDefault="0055681F" w:rsidP="00DC16FC">
            <w:pPr>
              <w:pStyle w:val="BesediloNAPOVED"/>
              <w:ind w:left="360"/>
            </w:pPr>
          </w:p>
          <w:bookmarkEnd w:id="31"/>
          <w:p w14:paraId="086B8623" w14:textId="77777777" w:rsidR="0055681F" w:rsidRPr="001C1618" w:rsidRDefault="0055681F" w:rsidP="00DC16FC">
            <w:pPr>
              <w:pStyle w:val="BesediloNAPOVED"/>
            </w:pPr>
            <w:r w:rsidRPr="00273425">
              <w:rPr>
                <w:rStyle w:val="VodilnistavekBoldpoudarekNAPOVED"/>
              </w:rPr>
              <w:t>Kljub temu, da ne pričakujemo večjega prelitja lanskih prihrankov v letošnjo potrošnjo gospodinjstev, ocenjujemo, da bo medletna rast potrošnje letos relativno visoka (</w:t>
            </w:r>
            <w:r w:rsidRPr="00273425">
              <w:rPr>
                <w:rStyle w:val="VodilnistavekBoldpoudarekNAPOVED"/>
                <w:highlight w:val="yellow"/>
              </w:rPr>
              <w:t>x </w:t>
            </w:r>
            <w:r w:rsidRPr="00273425">
              <w:rPr>
                <w:rStyle w:val="VodilnistavekBoldpoudarekNAPOVED"/>
              </w:rPr>
              <w:t>%).</w:t>
            </w:r>
            <w:r w:rsidRPr="001C1618">
              <w:t xml:space="preserve"> Glavna razloga za večje trošenje sta izboljšanje epidemičnih razmer predvsem od maja dalje, k</w:t>
            </w:r>
            <w:r>
              <w:t>ar</w:t>
            </w:r>
            <w:r w:rsidRPr="001C1618">
              <w:t xml:space="preserve"> je vplivalo tudi na odpiranje še </w:t>
            </w:r>
            <w:r>
              <w:t>(</w:t>
            </w:r>
            <w:r w:rsidRPr="001C1618">
              <w:t>do takrat zaprtih</w:t>
            </w:r>
            <w:r>
              <w:t>)</w:t>
            </w:r>
            <w:r w:rsidRPr="001C1618">
              <w:t xml:space="preserve"> preostalih storitvenih dejavnosti</w:t>
            </w:r>
            <w:r>
              <w:t>,</w:t>
            </w:r>
            <w:r w:rsidRPr="001C1618">
              <w:rPr>
                <w:rStyle w:val="FootnoteReference"/>
              </w:rPr>
              <w:footnoteReference w:id="36"/>
            </w:r>
            <w:r w:rsidRPr="001C1618">
              <w:t xml:space="preserve"> in nadaljnj</w:t>
            </w:r>
            <w:r>
              <w:t>e</w:t>
            </w:r>
            <w:r w:rsidRPr="001C1618">
              <w:t xml:space="preserve"> izboljšanje </w:t>
            </w:r>
            <w:r>
              <w:t xml:space="preserve">razmer </w:t>
            </w:r>
            <w:r w:rsidRPr="001C1618">
              <w:t>na trgu dela</w:t>
            </w:r>
            <w:r>
              <w:t>.</w:t>
            </w:r>
            <w:r w:rsidRPr="001C1618">
              <w:t xml:space="preserve"> </w:t>
            </w:r>
            <w:r>
              <w:t>Oboje</w:t>
            </w:r>
            <w:r w:rsidRPr="001C1618">
              <w:t xml:space="preserve"> skupaj </w:t>
            </w:r>
            <w:r>
              <w:t xml:space="preserve">je </w:t>
            </w:r>
            <w:r w:rsidRPr="001C1618">
              <w:t xml:space="preserve">pripomoglo tudi k izboljšanju zaupanja potrošnikov in umirjanju negotovosti. Rast zasebne potrošnje, ki je bila v prvem četrtletju </w:t>
            </w:r>
            <w:r>
              <w:t xml:space="preserve">prvič od začetka epidemije </w:t>
            </w:r>
            <w:r w:rsidRPr="001C1618">
              <w:t xml:space="preserve">medletno </w:t>
            </w:r>
            <w:r>
              <w:t>višja</w:t>
            </w:r>
            <w:r w:rsidRPr="001C1618">
              <w:t xml:space="preserve"> </w:t>
            </w:r>
            <w:r>
              <w:t>(</w:t>
            </w:r>
            <w:r w:rsidRPr="001C1618">
              <w:t>0,4 %</w:t>
            </w:r>
            <w:r>
              <w:t>)</w:t>
            </w:r>
            <w:r w:rsidRPr="001C1618">
              <w:t xml:space="preserve">, se je v drugem četrtletju okrepila na </w:t>
            </w:r>
            <w:r w:rsidRPr="006E3AFD">
              <w:rPr>
                <w:highlight w:val="yellow"/>
              </w:rPr>
              <w:t>x</w:t>
            </w:r>
            <w:r>
              <w:rPr>
                <w:highlight w:val="yellow"/>
              </w:rPr>
              <w:t> </w:t>
            </w:r>
            <w:r w:rsidRPr="001C1618">
              <w:t>%. Še močnejše okrevanje pričakujemo v tretjem četrtletju, na kar</w:t>
            </w:r>
            <w:r w:rsidRPr="001C1618">
              <w:rPr>
                <w:rFonts w:cs="Arial"/>
                <w:szCs w:val="20"/>
              </w:rPr>
              <w:t xml:space="preserve"> bo vplivala večja usmeritev počitnic in izletov na domači trg ob hkratni možnosti unovčenja lanskih turističnih bonov, ki je bilo podaljšano do konca letošnjega leta</w:t>
            </w:r>
            <w:r>
              <w:rPr>
                <w:rFonts w:cs="Arial"/>
                <w:szCs w:val="20"/>
              </w:rPr>
              <w:t>,</w:t>
            </w:r>
            <w:r w:rsidRPr="001C1618">
              <w:rPr>
                <w:rFonts w:cs="Arial"/>
                <w:szCs w:val="20"/>
              </w:rPr>
              <w:t xml:space="preserve"> in </w:t>
            </w:r>
            <w:r>
              <w:rPr>
                <w:rFonts w:cs="Arial"/>
                <w:szCs w:val="20"/>
              </w:rPr>
              <w:t>letos sprejetih</w:t>
            </w:r>
            <w:r w:rsidRPr="001C1618">
              <w:rPr>
                <w:rFonts w:cs="Arial"/>
                <w:szCs w:val="20"/>
              </w:rPr>
              <w:t xml:space="preserve"> bonov</w:t>
            </w:r>
            <w:r w:rsidRPr="001C1618">
              <w:t xml:space="preserve"> z namenom odprave posledic epidemije v gostinstvu, turizmu, športu in kulturi</w:t>
            </w:r>
            <w:r w:rsidRPr="001C1618">
              <w:rPr>
                <w:rFonts w:cs="Arial"/>
                <w:szCs w:val="20"/>
              </w:rPr>
              <w:t xml:space="preserve">. Pričakujemo, da se bo ob nadaljnji rasti razpoložljivega prihodka </w:t>
            </w:r>
            <w:r w:rsidRPr="001C1618">
              <w:t>stopnja varčevanja</w:t>
            </w:r>
            <w:r>
              <w:t xml:space="preserve"> (</w:t>
            </w:r>
            <w:r w:rsidRPr="001C1618">
              <w:t>ki se je v prvem četrtletju glede na zadnje lansko nekoliko zmanjšala, a ostala precej višja kot pred letom</w:t>
            </w:r>
            <w:r>
              <w:t>)</w:t>
            </w:r>
            <w:r w:rsidRPr="001C1618">
              <w:t xml:space="preserve"> v naslednjih četrtletjih zmanjšala, a ostala višja kot pred epidemijo.</w:t>
            </w:r>
          </w:p>
          <w:p w14:paraId="2005B27A" w14:textId="77777777" w:rsidR="0055681F" w:rsidRPr="001C1618" w:rsidRDefault="0055681F" w:rsidP="00DC16FC">
            <w:pPr>
              <w:pStyle w:val="BesediloNAPOVED"/>
              <w:rPr>
                <w:rFonts w:cs="Arial"/>
                <w:szCs w:val="20"/>
              </w:rPr>
            </w:pPr>
          </w:p>
          <w:p w14:paraId="159CA9EC" w14:textId="77777777" w:rsidR="0055681F" w:rsidRPr="006E3AFD" w:rsidRDefault="0055681F" w:rsidP="00DC16FC">
            <w:pPr>
              <w:pStyle w:val="BesediloNAPOVED"/>
              <w:rPr>
                <w:rFonts w:cs="Arial"/>
                <w:szCs w:val="20"/>
              </w:rPr>
            </w:pPr>
            <w:r w:rsidRPr="00F808BE">
              <w:rPr>
                <w:rFonts w:cs="Arial"/>
                <w:szCs w:val="20"/>
                <w:highlight w:val="yellow"/>
              </w:rPr>
              <w:t xml:space="preserve">Kljub dobrim obetom ostajajo razmere zaradi nižje </w:t>
            </w:r>
            <w:proofErr w:type="spellStart"/>
            <w:r w:rsidRPr="00F808BE">
              <w:rPr>
                <w:rFonts w:cs="Arial"/>
                <w:szCs w:val="20"/>
                <w:highlight w:val="yellow"/>
              </w:rPr>
              <w:t>precepljenosti</w:t>
            </w:r>
            <w:proofErr w:type="spellEnd"/>
            <w:r w:rsidRPr="00F808BE">
              <w:rPr>
                <w:rFonts w:cs="Arial"/>
                <w:szCs w:val="20"/>
                <w:highlight w:val="yellow"/>
              </w:rPr>
              <w:t xml:space="preserve"> od načrtovane in s tem negotovosti razvoja zdravstvenih razmer v jeseni in čez zimo negotove, kar lahko vpliva na poslabšanje zaupanja potrošnikov in bolj omejeno trošenje gospodinjstev.</w:t>
            </w:r>
          </w:p>
        </w:tc>
      </w:tr>
    </w:tbl>
    <w:p w14:paraId="548F1608" w14:textId="77777777" w:rsidR="0055681F" w:rsidRDefault="0055681F" w:rsidP="0055681F">
      <w:pPr>
        <w:pStyle w:val="BesediloNAPOVED"/>
      </w:pPr>
    </w:p>
    <w:p w14:paraId="104D13BD" w14:textId="77777777" w:rsidR="0055681F" w:rsidRDefault="0055681F" w:rsidP="0055681F">
      <w:pPr>
        <w:pStyle w:val="BesediloNAPOVED"/>
      </w:pPr>
    </w:p>
    <w:p w14:paraId="77FB0389" w14:textId="77777777" w:rsidR="0055681F" w:rsidRDefault="0055681F" w:rsidP="0055681F">
      <w:pPr>
        <w:pStyle w:val="BesediloNAPOVED"/>
      </w:pPr>
    </w:p>
    <w:p w14:paraId="73C3A2B7" w14:textId="77777777" w:rsidR="0055681F" w:rsidRDefault="0055681F" w:rsidP="0055681F">
      <w:pPr>
        <w:pStyle w:val="BesediloNAPOVED"/>
      </w:pPr>
    </w:p>
    <w:p w14:paraId="334641BD" w14:textId="77777777" w:rsidR="0055681F" w:rsidRDefault="0055681F" w:rsidP="0055681F">
      <w:pPr>
        <w:pStyle w:val="BesediloNAPOVED"/>
      </w:pPr>
    </w:p>
    <w:p w14:paraId="2954C1DC" w14:textId="77777777" w:rsidR="0055681F" w:rsidRDefault="0055681F" w:rsidP="0055681F">
      <w:pPr>
        <w:pStyle w:val="BesediloNAPOVED"/>
      </w:pPr>
      <w:r>
        <w:t> </w:t>
      </w:r>
    </w:p>
    <w:p w14:paraId="339DD25D" w14:textId="77777777" w:rsidR="0055681F" w:rsidRPr="00945E50" w:rsidRDefault="0055681F" w:rsidP="0055681F">
      <w:pPr>
        <w:spacing w:after="0" w:line="240" w:lineRule="auto"/>
        <w:rPr>
          <w:rFonts w:ascii="Myriad Pro" w:hAnsi="Myriad Pro"/>
          <w:sz w:val="20"/>
        </w:rPr>
      </w:pPr>
      <w:r>
        <w:t> </w:t>
      </w:r>
    </w:p>
    <w:p w14:paraId="5986975A" w14:textId="6B6F549D" w:rsidR="00FF2851" w:rsidRPr="00767446" w:rsidRDefault="00FF2851" w:rsidP="00FF2851">
      <w:pPr>
        <w:pStyle w:val="Heading2"/>
      </w:pPr>
      <w:bookmarkStart w:id="32" w:name="_Toc81050597"/>
      <w:bookmarkStart w:id="33" w:name="_Hlk51831803"/>
      <w:r>
        <w:lastRenderedPageBreak/>
        <w:t>Dodana vrednost po dejavnostih</w:t>
      </w:r>
      <w:bookmarkEnd w:id="32"/>
      <w:r>
        <w:t xml:space="preserve"> </w:t>
      </w:r>
    </w:p>
    <w:bookmarkEnd w:id="33"/>
    <w:p w14:paraId="5B547326" w14:textId="1436360F" w:rsidR="009C03AC" w:rsidRPr="00DD66AE" w:rsidRDefault="00C41816" w:rsidP="00C41816">
      <w:pPr>
        <w:pStyle w:val="BesediloNAPOVED"/>
      </w:pPr>
      <w:r w:rsidRPr="006337F3">
        <w:rPr>
          <w:b/>
        </w:rPr>
        <w:t xml:space="preserve">Predelovalne dejavnosti in gradbeništvo ter z njimi povezane storitve, ki jih je drugi val epidemije relativno manj prizadel, bodo letos nadaljevale svoje okrevanje in večinoma že dosegle </w:t>
      </w:r>
      <w:proofErr w:type="spellStart"/>
      <w:r w:rsidRPr="006337F3">
        <w:rPr>
          <w:b/>
        </w:rPr>
        <w:t>predkrizno</w:t>
      </w:r>
      <w:proofErr w:type="spellEnd"/>
      <w:r w:rsidRPr="006337F3">
        <w:rPr>
          <w:b/>
        </w:rPr>
        <w:t xml:space="preserve"> raven iz leta 2019. </w:t>
      </w:r>
      <w:bookmarkStart w:id="34" w:name="_Hlk81063833"/>
      <w:r w:rsidR="007B5C18">
        <w:t>P</w:t>
      </w:r>
      <w:r w:rsidR="006337F3" w:rsidRPr="005609CA">
        <w:t>redelovaln</w:t>
      </w:r>
      <w:r w:rsidR="007B5C18">
        <w:t>e</w:t>
      </w:r>
      <w:r w:rsidR="006337F3" w:rsidRPr="005609CA">
        <w:t xml:space="preserve"> dejavnosti, </w:t>
      </w:r>
      <w:r w:rsidR="007E6793" w:rsidRPr="005609CA">
        <w:t xml:space="preserve">ki so že konec lanskega leta presegle </w:t>
      </w:r>
      <w:proofErr w:type="spellStart"/>
      <w:r w:rsidR="007E6793" w:rsidRPr="005609CA">
        <w:t>predkrizne</w:t>
      </w:r>
      <w:proofErr w:type="spellEnd"/>
      <w:r w:rsidR="007E6793" w:rsidRPr="005609CA">
        <w:t xml:space="preserve"> ravni</w:t>
      </w:r>
      <w:r w:rsidR="007B5C18">
        <w:t>, so v</w:t>
      </w:r>
      <w:r w:rsidR="007E6793" w:rsidRPr="005609CA">
        <w:t xml:space="preserve"> prvi polovici leta nadalje</w:t>
      </w:r>
      <w:r w:rsidR="007B5C18">
        <w:t xml:space="preserve"> rasle</w:t>
      </w:r>
      <w:r w:rsidR="007E6793" w:rsidRPr="005609CA">
        <w:t xml:space="preserve"> in podobno pr</w:t>
      </w:r>
      <w:r w:rsidR="007B5C18">
        <w:t>edvidevamo</w:t>
      </w:r>
      <w:r w:rsidR="007E6793" w:rsidRPr="005609CA">
        <w:t xml:space="preserve"> za drugo polletje, ko naj bi se rast postopno umirjala zaradi omejitev na strani ponudbe, </w:t>
      </w:r>
      <w:r w:rsidR="007E6793" w:rsidRPr="005609CA">
        <w:rPr>
          <w:rFonts w:cs="Arial"/>
        </w:rPr>
        <w:t>in</w:t>
      </w:r>
      <w:r w:rsidR="007E6793" w:rsidRPr="007142F8">
        <w:rPr>
          <w:rFonts w:cs="Arial"/>
        </w:rPr>
        <w:t xml:space="preserve"> sicer pomanjkanj</w:t>
      </w:r>
      <w:r w:rsidR="007E6793">
        <w:rPr>
          <w:rFonts w:cs="Arial"/>
        </w:rPr>
        <w:t>a</w:t>
      </w:r>
      <w:r w:rsidR="007E6793" w:rsidRPr="007142F8">
        <w:rPr>
          <w:rFonts w:cs="Arial"/>
        </w:rPr>
        <w:t xml:space="preserve"> usposobljenih delavcev ter težav pri dobavi surovin in polizdelkov.</w:t>
      </w:r>
      <w:r w:rsidR="005609CA">
        <w:rPr>
          <w:rFonts w:cs="Arial"/>
        </w:rPr>
        <w:t xml:space="preserve"> </w:t>
      </w:r>
      <w:bookmarkStart w:id="35" w:name="_Hlk66007809"/>
      <w:r w:rsidR="007E6793" w:rsidRPr="00E82480">
        <w:t xml:space="preserve">S tem bo večina panog raven iz leta 2019 v povprečju dosegla že letos. Izjema bo proizvodnja motornih vozil, ki bo ta nivo dosegla šele </w:t>
      </w:r>
      <w:r w:rsidR="00E82480" w:rsidRPr="00E82480">
        <w:t>v naslednjih letih</w:t>
      </w:r>
      <w:r w:rsidR="007E6793" w:rsidRPr="00E82480">
        <w:t xml:space="preserve">, </w:t>
      </w:r>
      <w:r w:rsidR="00803D14" w:rsidRPr="00E82480">
        <w:t xml:space="preserve">saj njeno okrevanje hromi pomanjkanje polprevodnikov. </w:t>
      </w:r>
      <w:r w:rsidR="007D3513" w:rsidRPr="00E82480">
        <w:t>V naslednjih</w:t>
      </w:r>
      <w:r w:rsidR="007D3513" w:rsidRPr="000309F9">
        <w:t xml:space="preserve"> dveh letih s</w:t>
      </w:r>
      <w:r w:rsidR="00C5575A" w:rsidRPr="000309F9">
        <w:t xml:space="preserve">e bo visoka rast v predelovalnih dejavnostih ob umiritvi </w:t>
      </w:r>
      <w:r w:rsidR="00E82480">
        <w:t xml:space="preserve">rasti tujega povpraševanja </w:t>
      </w:r>
      <w:r w:rsidR="00C5575A" w:rsidRPr="000309F9">
        <w:t xml:space="preserve">postopno </w:t>
      </w:r>
      <w:r w:rsidR="00C5575A" w:rsidRPr="000309F9">
        <w:rPr>
          <w:highlight w:val="yellow"/>
        </w:rPr>
        <w:t>približala dolgoročnemu povprečju</w:t>
      </w:r>
      <w:r w:rsidR="00C5575A" w:rsidRPr="000309F9">
        <w:t>.</w:t>
      </w:r>
      <w:r w:rsidR="00C5575A">
        <w:t xml:space="preserve"> </w:t>
      </w:r>
      <w:bookmarkEnd w:id="34"/>
      <w:r w:rsidR="00022E33">
        <w:t xml:space="preserve">Težave </w:t>
      </w:r>
      <w:r w:rsidR="00022E33" w:rsidRPr="00396D9B">
        <w:rPr>
          <w:bCs/>
        </w:rPr>
        <w:t>z dobavo materialov</w:t>
      </w:r>
      <w:r w:rsidR="00022E33">
        <w:rPr>
          <w:bCs/>
        </w:rPr>
        <w:t xml:space="preserve"> pa naj bi postopno izzvenele.</w:t>
      </w:r>
      <w:r w:rsidR="00022E33">
        <w:t xml:space="preserve"> </w:t>
      </w:r>
      <w:r w:rsidR="00D92479">
        <w:t xml:space="preserve">Aktivnost v gradbeništvu, ki je okrevala v drugi polovici lanskega leta in presegla ravni pred epidemijo, se je v letošnjem prvem polletju četrtletno zniževala predvsem </w:t>
      </w:r>
      <w:r w:rsidR="00D92479" w:rsidRPr="00D92479">
        <w:t xml:space="preserve">zaradi manjše gradnje </w:t>
      </w:r>
      <w:proofErr w:type="spellStart"/>
      <w:r w:rsidR="00D92479" w:rsidRPr="00D92479">
        <w:t>nestanovanjskih</w:t>
      </w:r>
      <w:proofErr w:type="spellEnd"/>
      <w:r w:rsidR="00D92479" w:rsidRPr="00D92479">
        <w:t xml:space="preserve"> stavb </w:t>
      </w:r>
      <w:r w:rsidR="00D92479">
        <w:t xml:space="preserve">in </w:t>
      </w:r>
      <w:r w:rsidR="00D92479" w:rsidRPr="00D92479">
        <w:t>tudi težav pri dobavi in s cenami materialov.</w:t>
      </w:r>
      <w:bookmarkEnd w:id="35"/>
      <w:r w:rsidR="006379CB">
        <w:t xml:space="preserve"> </w:t>
      </w:r>
      <w:r w:rsidR="00D92479">
        <w:t>V drugi polovici leta pričakujemo ponovno rast gradbeništva</w:t>
      </w:r>
      <w:r w:rsidR="006379CB">
        <w:t xml:space="preserve">. </w:t>
      </w:r>
      <w:r w:rsidRPr="00751224">
        <w:rPr>
          <w:highlight w:val="yellow"/>
        </w:rPr>
        <w:t xml:space="preserve">Po podatkih o novih pogodbah najbolje kaže gradnji inženirskih objektov (spodbujeni z državnimi sredstvi), napovedujemo tudi rast gradnje stanovanj (glej tudi odstavek o napovedi investicij), slabši pa so izgledi v gradnji </w:t>
      </w:r>
      <w:proofErr w:type="spellStart"/>
      <w:r w:rsidRPr="00751224">
        <w:rPr>
          <w:highlight w:val="yellow"/>
        </w:rPr>
        <w:t>nestanovanjskih</w:t>
      </w:r>
      <w:proofErr w:type="spellEnd"/>
      <w:r w:rsidRPr="00751224">
        <w:rPr>
          <w:highlight w:val="yellow"/>
        </w:rPr>
        <w:t xml:space="preserve"> stavb. Slednje je povezano tudi s slabšimi razmerami v storitvenih dejavnostih, ki jih je epidemija najbolj prizadela in so relativno pomembni investitorji v ta del gradbeništva. Hitrejše okrevanje njihovih investicij pričakujemo šele v naslednjih letih. Podobno bo spodbudno na gradbeno aktivnost delovala država s predvidenimi visokimi zneski investicij, ki so povezani tudi z EU sredstvi mehanizma za okrevanje in odpornost in zaključevanjem finančne perspektive 2014–2020. </w:t>
      </w:r>
      <w:r w:rsidRPr="004F705E">
        <w:t xml:space="preserve">Tudi storitve, ki so bolj vezane na gradbeništvo, predelovalne dejavnosti oziroma okrevanje gospodarske aktivnosti na splošno (npr. arhitekturno-projektantske in svetovalne storitve ter promet), bodo okrevale hitreje in nekatere dosegle </w:t>
      </w:r>
      <w:proofErr w:type="spellStart"/>
      <w:r w:rsidRPr="004F705E">
        <w:t>predkrizno</w:t>
      </w:r>
      <w:proofErr w:type="spellEnd"/>
      <w:r w:rsidRPr="004F705E">
        <w:t xml:space="preserve"> raven že letos ali pa zaradi predvidenih nadaljnjih omejitev v javnem prometu naslednje leto. </w:t>
      </w:r>
      <w:r w:rsidR="00DD66AE">
        <w:t>Z okrevanjem p</w:t>
      </w:r>
      <w:r w:rsidR="009C03AC" w:rsidRPr="00F30835">
        <w:t>redelovalnih dejavnosti in promet</w:t>
      </w:r>
      <w:r w:rsidR="00DD66AE">
        <w:t>a</w:t>
      </w:r>
      <w:r w:rsidR="009C03AC">
        <w:t xml:space="preserve"> ter</w:t>
      </w:r>
      <w:r w:rsidR="00DD66AE">
        <w:t xml:space="preserve"> panog</w:t>
      </w:r>
      <w:r w:rsidR="009C03AC">
        <w:t>, ki dobavljajo farmacevtske izdelke in medicinske potrebščine ter materiale</w:t>
      </w:r>
      <w:r w:rsidR="00DD66AE">
        <w:t xml:space="preserve">, je povezano tudi dobro poslovanje v trgovini na debelo. To bo poleg </w:t>
      </w:r>
      <w:r w:rsidR="00DD66AE">
        <w:rPr>
          <w:rFonts w:cs="Helv"/>
          <w:bCs/>
          <w:szCs w:val="21"/>
        </w:rPr>
        <w:t xml:space="preserve">sproščanja omejitvenih ukrepov </w:t>
      </w:r>
      <w:r w:rsidR="00246433">
        <w:rPr>
          <w:rFonts w:cs="Helv"/>
          <w:bCs/>
          <w:szCs w:val="21"/>
        </w:rPr>
        <w:t xml:space="preserve">in </w:t>
      </w:r>
      <w:r w:rsidR="00246433">
        <w:t xml:space="preserve">rasti </w:t>
      </w:r>
      <w:r w:rsidR="00246433">
        <w:rPr>
          <w:rFonts w:cs="Helv"/>
          <w:bCs/>
          <w:szCs w:val="21"/>
        </w:rPr>
        <w:t xml:space="preserve">zasebne potrošnje </w:t>
      </w:r>
      <w:r w:rsidR="00DD66AE">
        <w:rPr>
          <w:rFonts w:cs="Helv"/>
          <w:bCs/>
          <w:szCs w:val="21"/>
        </w:rPr>
        <w:t>prispevalo k letošnjemu hitremu okrevanju trgovine,</w:t>
      </w:r>
      <w:r w:rsidR="00DD66AE" w:rsidRPr="00DD66AE">
        <w:rPr>
          <w:rFonts w:cs="Helv"/>
          <w:bCs/>
          <w:szCs w:val="21"/>
        </w:rPr>
        <w:t xml:space="preserve"> </w:t>
      </w:r>
      <w:r w:rsidR="00DD66AE">
        <w:rPr>
          <w:rFonts w:cs="Helv"/>
          <w:bCs/>
          <w:szCs w:val="21"/>
        </w:rPr>
        <w:t>ki naj bi v povprečju celega leta presegla raven iz leta 2019</w:t>
      </w:r>
      <w:r w:rsidR="00DD66AE">
        <w:t xml:space="preserve">. </w:t>
      </w:r>
      <w:r w:rsidR="004F705E" w:rsidRPr="004F705E">
        <w:t>Tudi rast</w:t>
      </w:r>
      <w:r w:rsidR="00DD66AE">
        <w:t xml:space="preserve"> omenjenih storitev in trgovine</w:t>
      </w:r>
      <w:r w:rsidR="004F705E" w:rsidRPr="004F705E">
        <w:t xml:space="preserve"> se bo po letošnjem odboju v naslednjih dveh letih postopno umirila.</w:t>
      </w:r>
    </w:p>
    <w:p w14:paraId="0E294510" w14:textId="77777777" w:rsidR="009C03AC" w:rsidRPr="00751224" w:rsidRDefault="009C03AC" w:rsidP="00C41816">
      <w:pPr>
        <w:pStyle w:val="BesediloNAPOVED"/>
        <w:rPr>
          <w:highlight w:val="yellow"/>
        </w:rPr>
      </w:pPr>
    </w:p>
    <w:p w14:paraId="4609A894" w14:textId="48049B27" w:rsidR="00D24EE0" w:rsidRPr="003F56E7" w:rsidRDefault="00C41816" w:rsidP="00D24EE0">
      <w:pPr>
        <w:pStyle w:val="BesediloNAPOVED"/>
        <w:rPr>
          <w:b/>
        </w:rPr>
      </w:pPr>
      <w:r w:rsidRPr="008C5A05">
        <w:rPr>
          <w:b/>
        </w:rPr>
        <w:t xml:space="preserve">Storitve, ki jih je epidemija bolj prizadela, bodo začele okrevati letos in večinoma svojo </w:t>
      </w:r>
      <w:proofErr w:type="spellStart"/>
      <w:r w:rsidRPr="008C5A05">
        <w:rPr>
          <w:b/>
        </w:rPr>
        <w:t>predkrizno</w:t>
      </w:r>
      <w:proofErr w:type="spellEnd"/>
      <w:r w:rsidRPr="008C5A05">
        <w:rPr>
          <w:b/>
        </w:rPr>
        <w:t xml:space="preserve"> raven dosegle </w:t>
      </w:r>
      <w:r w:rsidR="00631CA3" w:rsidRPr="008C5A05">
        <w:rPr>
          <w:b/>
        </w:rPr>
        <w:t>naslednje leto</w:t>
      </w:r>
      <w:r w:rsidRPr="008C5A05">
        <w:rPr>
          <w:b/>
        </w:rPr>
        <w:t xml:space="preserve">. </w:t>
      </w:r>
      <w:r w:rsidR="00D24EE0" w:rsidRPr="008C5A05">
        <w:t>Ob postopnem sproščanju omejitev poslovanja se je v drugi polovici drugega četrtletja izboljšalo poslovanje v gostinskih in nastanitvenih storitvah, igralništvu ter v športnih, kulturnih, razvedrilnih in osebnih dejavnosti, rast pa naj bi se v poletnih mesecih še okrepila. Na to bo, podobno kot lani, vplivala tudi večja usmeritev počitnic in izletov na domači trg ob hkratni možnosti unovčenja lanskih in letošnjih bonov. Prav tako predvsem čez poletje in jesen pričakujemo delno vračanje tujih turistov, predvsem iz sosednjih držav</w:t>
      </w:r>
      <w:r w:rsidR="0092101B">
        <w:t xml:space="preserve">. </w:t>
      </w:r>
      <w:r w:rsidR="007D2C71" w:rsidRPr="002C449E">
        <w:t xml:space="preserve">Še višjo rast bodo nekoliko </w:t>
      </w:r>
      <w:r w:rsidR="007D2C71">
        <w:t>zavrle</w:t>
      </w:r>
      <w:r w:rsidR="007D2C71" w:rsidRPr="002C449E">
        <w:t xml:space="preserve"> nekatere omejitve pri poslovanju </w:t>
      </w:r>
      <w:r w:rsidR="007D2C71">
        <w:t xml:space="preserve">teh </w:t>
      </w:r>
      <w:r w:rsidR="007D2C71" w:rsidRPr="002C449E">
        <w:t>dejavnosti</w:t>
      </w:r>
      <w:r w:rsidR="007D2C71">
        <w:t>, ki ostajajo tudi po odpravi razglasitve epidemije (npr. pogoj PCT)</w:t>
      </w:r>
      <w:r w:rsidR="007D2C71" w:rsidRPr="002C449E">
        <w:t xml:space="preserve">, ob morebitnem </w:t>
      </w:r>
      <w:r w:rsidR="007D2C71">
        <w:t xml:space="preserve">izrazitejšem </w:t>
      </w:r>
      <w:r w:rsidR="007D2C71" w:rsidRPr="002C449E">
        <w:t xml:space="preserve">porastu okužb pa tudi previdnejše </w:t>
      </w:r>
      <w:r w:rsidR="007D2C71">
        <w:t>(</w:t>
      </w:r>
      <w:proofErr w:type="spellStart"/>
      <w:r w:rsidR="007D2C71">
        <w:t>samoomejitveno</w:t>
      </w:r>
      <w:proofErr w:type="spellEnd"/>
      <w:r w:rsidR="007D2C71">
        <w:t xml:space="preserve">) </w:t>
      </w:r>
      <w:r w:rsidR="007D2C71" w:rsidRPr="002C449E">
        <w:t>vedenje prebivalstva</w:t>
      </w:r>
      <w:r w:rsidR="007D2C71">
        <w:t xml:space="preserve">. </w:t>
      </w:r>
      <w:r w:rsidR="0092101B">
        <w:t xml:space="preserve">Vpliv slednjega na aktivnost se sicer od začetka </w:t>
      </w:r>
      <w:proofErr w:type="spellStart"/>
      <w:r w:rsidR="0092101B">
        <w:t>koronakrize</w:t>
      </w:r>
      <w:proofErr w:type="spellEnd"/>
      <w:r w:rsidR="0092101B">
        <w:t xml:space="preserve"> postopoma zmanjšuje, </w:t>
      </w:r>
      <w:r w:rsidR="007D2C71">
        <w:t xml:space="preserve">saj </w:t>
      </w:r>
      <w:r w:rsidR="007D2C71" w:rsidRPr="00967A7F">
        <w:t xml:space="preserve">se potrošniki in podjetja </w:t>
      </w:r>
      <w:r w:rsidR="007D2C71">
        <w:t>nadalje</w:t>
      </w:r>
      <w:r w:rsidR="0092101B">
        <w:t xml:space="preserve"> </w:t>
      </w:r>
      <w:r w:rsidR="007D2C71">
        <w:t>prilagajajo</w:t>
      </w:r>
      <w:r w:rsidR="007D2C71" w:rsidRPr="00967A7F">
        <w:t xml:space="preserve"> nov</w:t>
      </w:r>
      <w:r w:rsidR="007D2C71">
        <w:t>im</w:t>
      </w:r>
      <w:r w:rsidR="007D2C71" w:rsidRPr="00967A7F">
        <w:t xml:space="preserve"> razmer</w:t>
      </w:r>
      <w:r w:rsidR="007D2C71">
        <w:t>am</w:t>
      </w:r>
      <w:r w:rsidR="0092101B">
        <w:t xml:space="preserve">. </w:t>
      </w:r>
      <w:r w:rsidR="00D24EE0" w:rsidRPr="008C5A05">
        <w:t>Pričakujemo, da se bo rast v vseh omenjenih storitvah s povečanjem obiska tujih turistov v letu 2022 še okrepila, v letu 2023 pa prepolovila, a ostala relativno visoka.</w:t>
      </w:r>
    </w:p>
    <w:p w14:paraId="3D15FCA5" w14:textId="77777777" w:rsidR="009C03AC" w:rsidRDefault="009C03AC" w:rsidP="00C41816">
      <w:pPr>
        <w:pStyle w:val="BesediloNAPOVED"/>
        <w:rPr>
          <w:rFonts w:cs="Helv"/>
          <w:bCs/>
          <w:szCs w:val="21"/>
        </w:rPr>
      </w:pPr>
    </w:p>
    <w:p w14:paraId="32EEF180" w14:textId="6E61C088" w:rsidR="00C41816" w:rsidRPr="00C41816" w:rsidRDefault="00C41816" w:rsidP="00C41816">
      <w:pPr>
        <w:pStyle w:val="BesediloNAPOVED"/>
      </w:pPr>
      <w:bookmarkStart w:id="36" w:name="_Hlk66014774"/>
      <w:bookmarkStart w:id="37" w:name="_Hlk81060687"/>
      <w:r w:rsidRPr="0018624C">
        <w:rPr>
          <w:b/>
          <w:bCs/>
        </w:rPr>
        <w:t>Dodana vrednost v javnih storitvah naj bi letos zrasla za dobra 2</w:t>
      </w:r>
      <w:r w:rsidRPr="0018624C">
        <w:t> </w:t>
      </w:r>
      <w:r w:rsidRPr="0018624C">
        <w:rPr>
          <w:b/>
          <w:bCs/>
        </w:rPr>
        <w:t>%, nato pa se bo v obdobju napovedi njena rast postopno zmanjševala</w:t>
      </w:r>
      <w:r w:rsidRPr="00E35F73">
        <w:rPr>
          <w:b/>
          <w:bCs/>
        </w:rPr>
        <w:t>.</w:t>
      </w:r>
      <w:r w:rsidRPr="00E35F73">
        <w:t xml:space="preserve"> To bo predvsem posledica letošnje visoke rasti v </w:t>
      </w:r>
      <w:r w:rsidR="0043463A" w:rsidRPr="00E35F73">
        <w:t xml:space="preserve">zdravstvu in socialnem varstvu, ki </w:t>
      </w:r>
      <w:r w:rsidR="00C70F59">
        <w:t>se bo v naslednjih letih le malo zmanjšala</w:t>
      </w:r>
      <w:r w:rsidR="0043463A" w:rsidRPr="00E35F73">
        <w:t>.</w:t>
      </w:r>
      <w:r w:rsidR="0043463A" w:rsidRPr="00E35F73">
        <w:rPr>
          <w:vertAlign w:val="superscript"/>
        </w:rPr>
        <w:footnoteReference w:id="37"/>
      </w:r>
      <w:r w:rsidR="0043463A" w:rsidRPr="00E35F73">
        <w:t xml:space="preserve"> </w:t>
      </w:r>
      <w:r w:rsidR="00C70F59">
        <w:t>Prav tako bo r</w:t>
      </w:r>
      <w:r w:rsidR="0043463A" w:rsidRPr="00E35F73">
        <w:t xml:space="preserve">ast </w:t>
      </w:r>
      <w:r w:rsidR="00C70F59">
        <w:t>letos in drugo leto</w:t>
      </w:r>
      <w:r w:rsidR="0043463A" w:rsidRPr="00E35F73">
        <w:t xml:space="preserve"> solidna v </w:t>
      </w:r>
      <w:r w:rsidRPr="00E35F73">
        <w:t>izobraževanju,</w:t>
      </w:r>
      <w:r w:rsidRPr="00E35F73">
        <w:rPr>
          <w:vertAlign w:val="superscript"/>
        </w:rPr>
        <w:footnoteReference w:id="38"/>
      </w:r>
      <w:r w:rsidRPr="00E35F73">
        <w:t xml:space="preserve"> </w:t>
      </w:r>
      <w:r w:rsidR="00C70F59">
        <w:t>kasneje pa se bo umirila</w:t>
      </w:r>
      <w:r w:rsidRPr="00E35F73">
        <w:t xml:space="preserve">. </w:t>
      </w:r>
      <w:bookmarkEnd w:id="36"/>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5801E1" w:rsidRPr="00687025" w14:paraId="2135DF77" w14:textId="47CCA4CA" w:rsidTr="005801E1">
        <w:tc>
          <w:tcPr>
            <w:tcW w:w="4530" w:type="dxa"/>
          </w:tcPr>
          <w:bookmarkEnd w:id="37"/>
          <w:p w14:paraId="76516EAE" w14:textId="591E7126" w:rsidR="005801E1" w:rsidRPr="00751224" w:rsidRDefault="005801E1" w:rsidP="00716592">
            <w:pPr>
              <w:pStyle w:val="Caption"/>
              <w:rPr>
                <w:highlight w:val="yellow"/>
              </w:rPr>
            </w:pPr>
            <w:r w:rsidRPr="00751224">
              <w:rPr>
                <w:highlight w:val="yellow"/>
              </w:rPr>
              <w:lastRenderedPageBreak/>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24</w:t>
            </w:r>
            <w:r w:rsidRPr="00751224">
              <w:rPr>
                <w:highlight w:val="yellow"/>
              </w:rPr>
              <w:fldChar w:fldCharType="end"/>
            </w:r>
            <w:r w:rsidRPr="00751224">
              <w:rPr>
                <w:highlight w:val="yellow"/>
              </w:rPr>
              <w:t xml:space="preserve">: Lani se je obseg proizvodnje znižal v vseh </w:t>
            </w:r>
            <w:r w:rsidR="00B53537" w:rsidRPr="00751224">
              <w:rPr>
                <w:highlight w:val="yellow"/>
              </w:rPr>
              <w:t xml:space="preserve">panogah </w:t>
            </w:r>
            <w:r w:rsidRPr="00751224">
              <w:rPr>
                <w:highlight w:val="yellow"/>
              </w:rPr>
              <w:t>predelovalnih dejavnostih z izjemo visoko tehnološko zahtevnih</w:t>
            </w:r>
          </w:p>
          <w:p w14:paraId="5BECB1C1" w14:textId="77777777" w:rsidR="005801E1" w:rsidRPr="00751224" w:rsidRDefault="005801E1" w:rsidP="00716592">
            <w:pPr>
              <w:pStyle w:val="Caption"/>
              <w:rPr>
                <w:highlight w:val="yellow"/>
              </w:rPr>
            </w:pPr>
          </w:p>
          <w:p w14:paraId="226C10A2" w14:textId="03EA279B" w:rsidR="005801E1" w:rsidRPr="00751224" w:rsidRDefault="005801E1" w:rsidP="00716592">
            <w:pPr>
              <w:pStyle w:val="Caption"/>
              <w:rPr>
                <w:highlight w:val="yellow"/>
              </w:rPr>
            </w:pPr>
            <w:r w:rsidRPr="00751224">
              <w:rPr>
                <w:highlight w:val="yellow"/>
                <w:lang w:eastAsia="sl-SI"/>
              </w:rPr>
              <w:drawing>
                <wp:inline distT="0" distB="0" distL="0" distR="0" wp14:anchorId="5F458D21" wp14:editId="23580CA7">
                  <wp:extent cx="2738755" cy="2226945"/>
                  <wp:effectExtent l="0" t="0" r="4445" b="1905"/>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8755" cy="2226945"/>
                          </a:xfrm>
                          <a:prstGeom prst="rect">
                            <a:avLst/>
                          </a:prstGeom>
                          <a:noFill/>
                          <a:ln>
                            <a:noFill/>
                          </a:ln>
                        </pic:spPr>
                      </pic:pic>
                    </a:graphicData>
                  </a:graphic>
                </wp:inline>
              </w:drawing>
            </w:r>
          </w:p>
        </w:tc>
        <w:tc>
          <w:tcPr>
            <w:tcW w:w="4530" w:type="dxa"/>
          </w:tcPr>
          <w:p w14:paraId="3A66AE4D" w14:textId="32F0BB9E" w:rsidR="005801E1" w:rsidRPr="00751224" w:rsidRDefault="005801E1" w:rsidP="00716592">
            <w:pPr>
              <w:pStyle w:val="Caption"/>
              <w:rPr>
                <w:highlight w:val="yellow"/>
              </w:rPr>
            </w:pPr>
            <w:r w:rsidRPr="00751224">
              <w:rPr>
                <w:highlight w:val="yellow"/>
              </w:rPr>
              <w:t xml:space="preserve">Slika </w:t>
            </w:r>
            <w:r w:rsidRPr="00751224">
              <w:rPr>
                <w:highlight w:val="yellow"/>
              </w:rPr>
              <w:fldChar w:fldCharType="begin"/>
            </w:r>
            <w:r w:rsidRPr="00751224">
              <w:rPr>
                <w:highlight w:val="yellow"/>
              </w:rPr>
              <w:instrText xml:space="preserve"> SEQ Slika \* ARABIC </w:instrText>
            </w:r>
            <w:r w:rsidRPr="00751224">
              <w:rPr>
                <w:highlight w:val="yellow"/>
              </w:rPr>
              <w:fldChar w:fldCharType="separate"/>
            </w:r>
            <w:r w:rsidR="00D224DD">
              <w:rPr>
                <w:highlight w:val="yellow"/>
              </w:rPr>
              <w:t>25</w:t>
            </w:r>
            <w:r w:rsidRPr="00751224">
              <w:rPr>
                <w:highlight w:val="yellow"/>
              </w:rPr>
              <w:fldChar w:fldCharType="end"/>
            </w:r>
            <w:r w:rsidRPr="00751224">
              <w:rPr>
                <w:highlight w:val="yellow"/>
              </w:rPr>
              <w:t>: Prispevki rasti dodane vrednosti posameznih dejavnosti k spremembi BDP</w:t>
            </w:r>
          </w:p>
          <w:p w14:paraId="103994A5" w14:textId="64E3850C" w:rsidR="005801E1" w:rsidRPr="00751224" w:rsidRDefault="005801E1" w:rsidP="00716592">
            <w:pPr>
              <w:pStyle w:val="Caption"/>
              <w:rPr>
                <w:highlight w:val="yellow"/>
              </w:rPr>
            </w:pPr>
          </w:p>
          <w:p w14:paraId="27FF84BD" w14:textId="77777777" w:rsidR="00FC25BC" w:rsidRPr="00751224" w:rsidRDefault="00FC25BC" w:rsidP="00716592">
            <w:pPr>
              <w:pStyle w:val="Caption"/>
              <w:rPr>
                <w:highlight w:val="yellow"/>
              </w:rPr>
            </w:pPr>
          </w:p>
          <w:p w14:paraId="10DAB134" w14:textId="0241E05C" w:rsidR="005801E1" w:rsidRPr="00751224" w:rsidRDefault="00687025" w:rsidP="00716592">
            <w:pPr>
              <w:pStyle w:val="Caption"/>
              <w:rPr>
                <w:highlight w:val="yellow"/>
              </w:rPr>
            </w:pPr>
            <w:r w:rsidRPr="00751224">
              <w:rPr>
                <w:highlight w:val="yellow"/>
                <w:lang w:eastAsia="sl-SI"/>
              </w:rPr>
              <w:drawing>
                <wp:inline distT="0" distB="0" distL="0" distR="0" wp14:anchorId="1E619ADF" wp14:editId="7EDD137F">
                  <wp:extent cx="2734945" cy="2273935"/>
                  <wp:effectExtent l="0" t="0" r="8255"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34945" cy="2273935"/>
                          </a:xfrm>
                          <a:prstGeom prst="rect">
                            <a:avLst/>
                          </a:prstGeom>
                          <a:noFill/>
                          <a:ln>
                            <a:noFill/>
                          </a:ln>
                        </pic:spPr>
                      </pic:pic>
                    </a:graphicData>
                  </a:graphic>
                </wp:inline>
              </w:drawing>
            </w:r>
          </w:p>
        </w:tc>
      </w:tr>
    </w:tbl>
    <w:p w14:paraId="1EB59E9A" w14:textId="3FDB1045" w:rsidR="00405D6D" w:rsidRPr="00687025" w:rsidRDefault="006D58AB" w:rsidP="00405D6D">
      <w:pPr>
        <w:pStyle w:val="Heading2"/>
      </w:pPr>
      <w:bookmarkStart w:id="38" w:name="_Toc81050598"/>
      <w:r w:rsidRPr="00687025">
        <w:t>Zaposlenost in brezposelnost</w:t>
      </w:r>
      <w:bookmarkEnd w:id="38"/>
    </w:p>
    <w:p w14:paraId="085967B1" w14:textId="59F1F004" w:rsidR="00814665" w:rsidRPr="003B7E42" w:rsidRDefault="00814665" w:rsidP="00814665">
      <w:pPr>
        <w:pStyle w:val="BesediloNAPOVED"/>
      </w:pPr>
      <w:r>
        <w:rPr>
          <w:b/>
        </w:rPr>
        <w:t xml:space="preserve">Po nagli prekinitvi večletnih ugodnih gibanj na trgu dela v prvem valu epidemije lani se zaposlenost od takrat vztrajno povečuje, brezposelnost pa zmanjšuje. </w:t>
      </w:r>
      <w:r w:rsidRPr="00B4778F">
        <w:rPr>
          <w:bCs/>
        </w:rPr>
        <w:t xml:space="preserve">Zaposlenost je bila še ob koncu leta 2019 zgodovinsko visoka, brezposelnost pa se je približevala rekordno nizkim ravnem. </w:t>
      </w:r>
      <w:r>
        <w:rPr>
          <w:bCs/>
        </w:rPr>
        <w:t>O</w:t>
      </w:r>
      <w:r w:rsidRPr="00B4778F">
        <w:rPr>
          <w:bCs/>
        </w:rPr>
        <w:t>d sredine marca</w:t>
      </w:r>
      <w:r>
        <w:rPr>
          <w:bCs/>
        </w:rPr>
        <w:t xml:space="preserve"> lani so se</w:t>
      </w:r>
      <w:r w:rsidRPr="00B4778F">
        <w:rPr>
          <w:bCs/>
        </w:rPr>
        <w:t xml:space="preserve"> s sprejetjem ukrepov za zajezitev epidemije </w:t>
      </w:r>
      <w:proofErr w:type="spellStart"/>
      <w:r w:rsidRPr="00B4778F">
        <w:rPr>
          <w:bCs/>
        </w:rPr>
        <w:t>koronavirusa</w:t>
      </w:r>
      <w:proofErr w:type="spellEnd"/>
      <w:r w:rsidRPr="00B4778F">
        <w:rPr>
          <w:bCs/>
        </w:rPr>
        <w:t xml:space="preserve"> razmere na trgu dela naglo poslabšale</w:t>
      </w:r>
      <w:r>
        <w:rPr>
          <w:bCs/>
        </w:rPr>
        <w:t>, pri čemer je zlasti aprila š</w:t>
      </w:r>
      <w:r w:rsidRPr="00B4778F">
        <w:rPr>
          <w:bCs/>
        </w:rPr>
        <w:t>tevil</w:t>
      </w:r>
      <w:r>
        <w:rPr>
          <w:bCs/>
        </w:rPr>
        <w:t>o</w:t>
      </w:r>
      <w:r w:rsidRPr="00B4778F">
        <w:rPr>
          <w:bCs/>
        </w:rPr>
        <w:t xml:space="preserve"> delovno aktivnih</w:t>
      </w:r>
      <w:r>
        <w:rPr>
          <w:bCs/>
        </w:rPr>
        <w:t xml:space="preserve"> močno padlo</w:t>
      </w:r>
      <w:r w:rsidRPr="00B4778F">
        <w:rPr>
          <w:bCs/>
        </w:rPr>
        <w:t xml:space="preserve"> (za 0,9 %)</w:t>
      </w:r>
      <w:r>
        <w:rPr>
          <w:bCs/>
        </w:rPr>
        <w:t xml:space="preserve">, število </w:t>
      </w:r>
      <w:r w:rsidRPr="00B4778F">
        <w:rPr>
          <w:bCs/>
        </w:rPr>
        <w:t>registriranih brezposelnih</w:t>
      </w:r>
      <w:r>
        <w:rPr>
          <w:bCs/>
        </w:rPr>
        <w:t xml:space="preserve"> pa poraslo</w:t>
      </w:r>
      <w:r w:rsidRPr="00B4778F">
        <w:rPr>
          <w:bCs/>
        </w:rPr>
        <w:t xml:space="preserve"> (za 19,9 %)</w:t>
      </w:r>
      <w:r>
        <w:rPr>
          <w:bCs/>
        </w:rPr>
        <w:t>. Hitro s</w:t>
      </w:r>
      <w:r w:rsidRPr="00CE5C6B">
        <w:rPr>
          <w:bCs/>
        </w:rPr>
        <w:t xml:space="preserve">prejetje interventne zakonodaje za ohranjanje delovnih mest in blažitev posledic epidemije je pomembno vplivalo na to, da je bil padec zaposlenosti v primerjavi s padcem BDP precej manjši </w:t>
      </w:r>
      <w:r>
        <w:rPr>
          <w:bCs/>
        </w:rPr>
        <w:t xml:space="preserve">in </w:t>
      </w:r>
      <w:r w:rsidRPr="00CE5C6B">
        <w:rPr>
          <w:bCs/>
        </w:rPr>
        <w:t>da se je prilagoditev na trgu dela v večji meri zgodila preko števila opravljenih</w:t>
      </w:r>
      <w:r>
        <w:rPr>
          <w:bCs/>
        </w:rPr>
        <w:t xml:space="preserve"> delovnih</w:t>
      </w:r>
      <w:r w:rsidRPr="00CE5C6B">
        <w:rPr>
          <w:bCs/>
        </w:rPr>
        <w:t xml:space="preserve"> ur</w:t>
      </w:r>
      <w:r>
        <w:rPr>
          <w:bCs/>
        </w:rPr>
        <w:t xml:space="preserve"> (</w:t>
      </w:r>
      <w:r w:rsidR="004E08B5">
        <w:rPr>
          <w:bCs/>
        </w:rPr>
        <w:fldChar w:fldCharType="begin"/>
      </w:r>
      <w:r w:rsidR="004E08B5">
        <w:rPr>
          <w:bCs/>
        </w:rPr>
        <w:instrText xml:space="preserve"> REF _Ref81038511 \h </w:instrText>
      </w:r>
      <w:r w:rsidR="004E08B5">
        <w:rPr>
          <w:bCs/>
        </w:rPr>
      </w:r>
      <w:r w:rsidR="004E08B5">
        <w:rPr>
          <w:bCs/>
        </w:rPr>
        <w:fldChar w:fldCharType="separate"/>
      </w:r>
      <w:r w:rsidR="00D224DD" w:rsidRPr="003B7E42">
        <w:t xml:space="preserve">Slika </w:t>
      </w:r>
      <w:r w:rsidR="00D224DD">
        <w:rPr>
          <w:noProof/>
        </w:rPr>
        <w:t>27</w:t>
      </w:r>
      <w:r w:rsidR="004E08B5">
        <w:rPr>
          <w:bCs/>
        </w:rPr>
        <w:fldChar w:fldCharType="end"/>
      </w:r>
      <w:r>
        <w:rPr>
          <w:bCs/>
        </w:rPr>
        <w:t>).</w:t>
      </w:r>
      <w:r>
        <w:rPr>
          <w:rStyle w:val="FootnoteReference"/>
          <w:bCs/>
        </w:rPr>
        <w:footnoteReference w:id="39"/>
      </w:r>
      <w:r w:rsidRPr="00CE5C6B">
        <w:rPr>
          <w:bCs/>
        </w:rPr>
        <w:t xml:space="preserve"> </w:t>
      </w:r>
      <w:r>
        <w:rPr>
          <w:bCs/>
        </w:rPr>
        <w:t xml:space="preserve">S </w:t>
      </w:r>
      <w:r w:rsidRPr="00B4778F">
        <w:rPr>
          <w:bCs/>
        </w:rPr>
        <w:t>ponovnim zagonom večine dejavnosti</w:t>
      </w:r>
      <w:r>
        <w:rPr>
          <w:bCs/>
        </w:rPr>
        <w:t xml:space="preserve"> so se</w:t>
      </w:r>
      <w:r w:rsidRPr="00B4778F">
        <w:rPr>
          <w:bCs/>
        </w:rPr>
        <w:t xml:space="preserve"> razmere</w:t>
      </w:r>
      <w:r>
        <w:rPr>
          <w:bCs/>
        </w:rPr>
        <w:t xml:space="preserve"> na trgu dela začele</w:t>
      </w:r>
      <w:r w:rsidRPr="00B4778F">
        <w:rPr>
          <w:bCs/>
        </w:rPr>
        <w:t xml:space="preserve"> </w:t>
      </w:r>
      <w:r>
        <w:rPr>
          <w:bCs/>
        </w:rPr>
        <w:t>postopno izboljševati</w:t>
      </w:r>
      <w:r w:rsidRPr="00B4778F">
        <w:rPr>
          <w:bCs/>
        </w:rPr>
        <w:t>.</w:t>
      </w:r>
      <w:r>
        <w:rPr>
          <w:bCs/>
        </w:rPr>
        <w:t xml:space="preserve"> Okrevanje, ki se je sicer pospešeno nadaljevalo tudi v prvi polovici letošnjega leta, je bilo po dejavnostih precej različno, na kar je vplivala prisotnost omejevalnih ukrepov v nekaterih. Zaposlenost je bila v drugem četrtletju medletno višja za </w:t>
      </w:r>
      <w:r w:rsidRPr="00292E77">
        <w:rPr>
          <w:bCs/>
          <w:highlight w:val="yellow"/>
        </w:rPr>
        <w:t>1,7</w:t>
      </w:r>
      <w:r>
        <w:rPr>
          <w:bCs/>
        </w:rPr>
        <w:t> %, pri čemer je v</w:t>
      </w:r>
      <w:r w:rsidRPr="00B4778F">
        <w:rPr>
          <w:bCs/>
        </w:rPr>
        <w:t xml:space="preserve"> zasebnem sektorju vidneje okrevala zlasti v </w:t>
      </w:r>
      <w:r>
        <w:rPr>
          <w:bCs/>
        </w:rPr>
        <w:t>gradbeništvu, predelovalnih dejavnostih, v trgovini ter v strokovnih, znanstvenih in tehničnih dejavnostih.</w:t>
      </w:r>
      <w:r>
        <w:rPr>
          <w:rStyle w:val="FootnoteReference"/>
          <w:bCs/>
        </w:rPr>
        <w:footnoteReference w:id="40"/>
      </w:r>
      <w:r>
        <w:rPr>
          <w:bCs/>
        </w:rPr>
        <w:t xml:space="preserve"> Po drugi strani pa je bila še vedno nižja v gostinstvu (za </w:t>
      </w:r>
      <w:r w:rsidRPr="004E08B5">
        <w:rPr>
          <w:bCs/>
          <w:highlight w:val="yellow"/>
        </w:rPr>
        <w:t>X</w:t>
      </w:r>
      <w:r>
        <w:rPr>
          <w:bCs/>
        </w:rPr>
        <w:t xml:space="preserve"> %) in v kulturnih in razvedrilnih dejavnostih (za </w:t>
      </w:r>
      <w:r w:rsidRPr="004E08B5">
        <w:rPr>
          <w:bCs/>
          <w:highlight w:val="yellow"/>
        </w:rPr>
        <w:t>X</w:t>
      </w:r>
      <w:r>
        <w:rPr>
          <w:bCs/>
        </w:rPr>
        <w:t> %)</w:t>
      </w:r>
      <w:r>
        <w:t>.</w:t>
      </w:r>
      <w:r w:rsidRPr="00B4778F">
        <w:rPr>
          <w:bCs/>
        </w:rPr>
        <w:t xml:space="preserve"> V javnem sektorju se je zaposlenost</w:t>
      </w:r>
      <w:r>
        <w:rPr>
          <w:bCs/>
        </w:rPr>
        <w:t xml:space="preserve"> tako lani kot</w:t>
      </w:r>
      <w:r w:rsidRPr="00B4778F">
        <w:rPr>
          <w:bCs/>
        </w:rPr>
        <w:t xml:space="preserve"> </w:t>
      </w:r>
      <w:r>
        <w:rPr>
          <w:bCs/>
        </w:rPr>
        <w:t xml:space="preserve">letos še okrepila, </w:t>
      </w:r>
      <w:r w:rsidRPr="00B4778F">
        <w:rPr>
          <w:bCs/>
        </w:rPr>
        <w:t>zaradi močno povečanih potreb najbolj v zdravstvu</w:t>
      </w:r>
      <w:r>
        <w:rPr>
          <w:bCs/>
        </w:rPr>
        <w:t xml:space="preserve"> (</w:t>
      </w:r>
      <w:r w:rsidRPr="004E08B5">
        <w:rPr>
          <w:bCs/>
          <w:highlight w:val="yellow"/>
        </w:rPr>
        <w:t>X</w:t>
      </w:r>
      <w:r>
        <w:rPr>
          <w:bCs/>
        </w:rPr>
        <w:t> %)</w:t>
      </w:r>
      <w:r w:rsidRPr="00B4778F">
        <w:rPr>
          <w:bCs/>
        </w:rPr>
        <w:t>.</w:t>
      </w:r>
      <w:r>
        <w:rPr>
          <w:bCs/>
        </w:rPr>
        <w:t xml:space="preserve"> Ob </w:t>
      </w:r>
      <w:r w:rsidRPr="006801FB">
        <w:rPr>
          <w:bCs/>
        </w:rPr>
        <w:t>naraščajočem povpraševanju po delovni sili</w:t>
      </w:r>
      <w:r>
        <w:rPr>
          <w:bCs/>
        </w:rPr>
        <w:t xml:space="preserve"> se je nadaljevalo tudi u</w:t>
      </w:r>
      <w:r w:rsidRPr="006801FB">
        <w:rPr>
          <w:bCs/>
        </w:rPr>
        <w:t>padanje števila brezposelnih. Konec julija je bilo brezposelnih 70.655 oseb, kar je 21 % manj kot pred letom</w:t>
      </w:r>
      <w:r>
        <w:rPr>
          <w:bCs/>
        </w:rPr>
        <w:t xml:space="preserve"> in</w:t>
      </w:r>
      <w:r w:rsidRPr="006801FB">
        <w:rPr>
          <w:bCs/>
        </w:rPr>
        <w:t xml:space="preserve"> 1,7 % manj v primerjavi s koncem julija </w:t>
      </w:r>
      <w:r w:rsidRPr="003B7E42">
        <w:rPr>
          <w:bCs/>
        </w:rPr>
        <w:t>leta 2019.</w:t>
      </w:r>
    </w:p>
    <w:p w14:paraId="68EBA406" w14:textId="53F07177" w:rsidR="00814665" w:rsidRDefault="00814665" w:rsidP="00814665">
      <w:pPr>
        <w:pStyle w:val="BesediloNAPOVED"/>
        <w:rPr>
          <w:bCs/>
        </w:rPr>
      </w:pPr>
    </w:p>
    <w:p w14:paraId="3BD28AC8" w14:textId="77777777" w:rsidR="00A42264" w:rsidRPr="003B7E42" w:rsidRDefault="00A42264" w:rsidP="00814665">
      <w:pPr>
        <w:pStyle w:val="BesediloNAPOVED"/>
        <w:rPr>
          <w:bCs/>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814665" w:rsidRPr="00767446" w14:paraId="6F281CBC" w14:textId="77777777" w:rsidTr="00A6502A">
        <w:tc>
          <w:tcPr>
            <w:tcW w:w="4530" w:type="dxa"/>
          </w:tcPr>
          <w:p w14:paraId="33007942" w14:textId="360AFB3D" w:rsidR="00814665" w:rsidRPr="003B7E42" w:rsidRDefault="004B4BCF" w:rsidP="00A6502A">
            <w:pPr>
              <w:pStyle w:val="Caption"/>
            </w:pPr>
            <w:r w:rsidRPr="003B7E42">
              <w:lastRenderedPageBreak/>
              <w:t xml:space="preserve">Slika </w:t>
            </w:r>
            <w:r w:rsidRPr="003B7E42">
              <w:fldChar w:fldCharType="begin"/>
            </w:r>
            <w:r w:rsidRPr="003B7E42">
              <w:instrText xml:space="preserve"> SEQ Slika \* ARABIC </w:instrText>
            </w:r>
            <w:r w:rsidRPr="003B7E42">
              <w:fldChar w:fldCharType="separate"/>
            </w:r>
            <w:r w:rsidR="00D224DD">
              <w:t>26</w:t>
            </w:r>
            <w:r w:rsidRPr="003B7E42">
              <w:fldChar w:fldCharType="end"/>
            </w:r>
            <w:r w:rsidRPr="003B7E42">
              <w:t>:</w:t>
            </w:r>
            <w:r w:rsidR="00814665" w:rsidRPr="003B7E42">
              <w:t xml:space="preserve"> Padec zaposlenosti in rast brezposelnost so lani in tudi letos močno omilili interventni ukrepi</w:t>
            </w:r>
          </w:p>
          <w:p w14:paraId="3438B537" w14:textId="77777777" w:rsidR="00814665" w:rsidRPr="003B7E42" w:rsidRDefault="00814665" w:rsidP="00A6502A">
            <w:pPr>
              <w:pStyle w:val="Caption"/>
            </w:pPr>
          </w:p>
          <w:p w14:paraId="7E8CC975" w14:textId="77777777" w:rsidR="00814665" w:rsidRPr="003B7E42" w:rsidRDefault="00814665" w:rsidP="00A6502A">
            <w:pPr>
              <w:pStyle w:val="Caption"/>
            </w:pPr>
            <w:r w:rsidRPr="003B7E42">
              <w:drawing>
                <wp:inline distT="0" distB="0" distL="0" distR="0" wp14:anchorId="70E3458A" wp14:editId="59EFB90A">
                  <wp:extent cx="2740273" cy="2242800"/>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0273" cy="2242800"/>
                          </a:xfrm>
                          <a:prstGeom prst="rect">
                            <a:avLst/>
                          </a:prstGeom>
                          <a:noFill/>
                        </pic:spPr>
                      </pic:pic>
                    </a:graphicData>
                  </a:graphic>
                </wp:inline>
              </w:drawing>
            </w:r>
          </w:p>
          <w:p w14:paraId="7A197C78" w14:textId="77777777" w:rsidR="00814665" w:rsidRPr="003B7E42" w:rsidRDefault="00814665" w:rsidP="00A6502A">
            <w:pPr>
              <w:pStyle w:val="Caption"/>
            </w:pPr>
          </w:p>
        </w:tc>
        <w:tc>
          <w:tcPr>
            <w:tcW w:w="4530" w:type="dxa"/>
          </w:tcPr>
          <w:p w14:paraId="3EC9083F" w14:textId="7EC6BA12" w:rsidR="00814665" w:rsidRPr="003B7E42" w:rsidRDefault="00271EBD" w:rsidP="00A6502A">
            <w:pPr>
              <w:pStyle w:val="Caption"/>
            </w:pPr>
            <w:bookmarkStart w:id="39" w:name="_Ref81038511"/>
            <w:r w:rsidRPr="003B7E42">
              <w:t xml:space="preserve">Slika </w:t>
            </w:r>
            <w:r w:rsidRPr="003B7E42">
              <w:fldChar w:fldCharType="begin"/>
            </w:r>
            <w:r w:rsidRPr="003B7E42">
              <w:instrText xml:space="preserve"> SEQ Slika \* ARABIC </w:instrText>
            </w:r>
            <w:r w:rsidRPr="003B7E42">
              <w:fldChar w:fldCharType="separate"/>
            </w:r>
            <w:r w:rsidR="00D224DD">
              <w:t>27</w:t>
            </w:r>
            <w:r w:rsidRPr="003B7E42">
              <w:fldChar w:fldCharType="end"/>
            </w:r>
            <w:bookmarkEnd w:id="39"/>
            <w:r w:rsidR="00814665" w:rsidRPr="003B7E42">
              <w:t xml:space="preserve">: Trg dela se je na padec BDP v večji meri prilagodil preko števila opravljenih delovnih ur, </w:t>
            </w:r>
            <w:r w:rsidR="004B4BCF" w:rsidRPr="003B7E42">
              <w:t>in manj</w:t>
            </w:r>
            <w:r w:rsidR="00814665" w:rsidRPr="003B7E42">
              <w:t xml:space="preserve"> preko števila zaposlenih</w:t>
            </w:r>
          </w:p>
          <w:p w14:paraId="414E2E15" w14:textId="77777777" w:rsidR="00814665" w:rsidRPr="003B7E42" w:rsidRDefault="00814665" w:rsidP="00A6502A">
            <w:pPr>
              <w:pStyle w:val="Caption"/>
            </w:pPr>
          </w:p>
          <w:p w14:paraId="6F4AA342" w14:textId="77777777" w:rsidR="00814665" w:rsidRPr="00767446" w:rsidRDefault="00814665" w:rsidP="00A6502A">
            <w:pPr>
              <w:pStyle w:val="Caption"/>
            </w:pPr>
            <w:r w:rsidRPr="00D87164">
              <w:rPr>
                <w:highlight w:val="yellow"/>
              </w:rPr>
              <w:drawing>
                <wp:inline distT="0" distB="0" distL="0" distR="0" wp14:anchorId="5C9AA2DA" wp14:editId="33666674">
                  <wp:extent cx="2735882" cy="2242800"/>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5882" cy="2242800"/>
                          </a:xfrm>
                          <a:prstGeom prst="rect">
                            <a:avLst/>
                          </a:prstGeom>
                          <a:noFill/>
                        </pic:spPr>
                      </pic:pic>
                    </a:graphicData>
                  </a:graphic>
                </wp:inline>
              </w:drawing>
            </w:r>
          </w:p>
          <w:p w14:paraId="1D660DB2" w14:textId="77777777" w:rsidR="00814665" w:rsidRPr="00767446" w:rsidRDefault="00814665" w:rsidP="00A6502A">
            <w:pPr>
              <w:pStyle w:val="Caption"/>
            </w:pPr>
          </w:p>
        </w:tc>
      </w:tr>
    </w:tbl>
    <w:p w14:paraId="4D596AF9" w14:textId="10619262" w:rsidR="004C6615" w:rsidRDefault="004C6615" w:rsidP="004C6615">
      <w:pPr>
        <w:pStyle w:val="BesediloNAPOVED"/>
        <w:rPr>
          <w:bCs/>
        </w:rPr>
      </w:pPr>
      <w:r>
        <w:rPr>
          <w:b/>
        </w:rPr>
        <w:t>Ob krepitvi povpraševanja po delovni sili se v nekaterih dejavnostih v zadnjih mesecih znova pojavljajo pritiski zaradi pomanjkanja ustrezne delovne sile.</w:t>
      </w:r>
      <w:r w:rsidRPr="00E73293">
        <w:rPr>
          <w:bCs/>
        </w:rPr>
        <w:t xml:space="preserve"> </w:t>
      </w:r>
      <w:r>
        <w:rPr>
          <w:bCs/>
        </w:rPr>
        <w:t>Na visoko povpraševanje po delovni sili in na njeno premajhno ponudbo kaže tudi stopnja prostih delovnih mest</w:t>
      </w:r>
      <w:r>
        <w:rPr>
          <w:rStyle w:val="FootnoteReference"/>
          <w:bCs/>
        </w:rPr>
        <w:footnoteReference w:id="41"/>
      </w:r>
      <w:r>
        <w:rPr>
          <w:bCs/>
        </w:rPr>
        <w:t xml:space="preserve">, ki je v drugem četrtletju dosegla najvišjo raven (2,6 %), pri čemer je bilo po podatkih SURS objavljenih 20,5 tisoč prostih delovnih mest. V nekaterih dejavnostih pomanjkanje delovne sile vpliva tudi na obseg proizvodnje. Presežno povpraševanje je sicer po dejavnostih različno; v drugem četrtletju je preseglo svoj predhodni vrh v predelovalnih dejavnostih, vrhu pa se je približalo v gradbeništvu, prometu in v nekaterih drugih dejavnostih. Ob ponovnem odprtju dejavnosti se je presežno povpraševanje še posebej močno povečalo v gostinstvu, kar bi lahko bil običajni odziv, ko odprtih delovnih mest v kratkem času še ni bilo možno zapolniti, lahko pa nakazuje, da je zaradi dolgotrajnega zaprtja del delovne sile prešel v druge dejavnosti. </w:t>
      </w:r>
      <w:proofErr w:type="spellStart"/>
      <w:r>
        <w:rPr>
          <w:bCs/>
        </w:rPr>
        <w:t>Realokacije</w:t>
      </w:r>
      <w:proofErr w:type="spellEnd"/>
      <w:r>
        <w:rPr>
          <w:bCs/>
        </w:rPr>
        <w:t xml:space="preserve"> delovne sile razpoložljivi kazalniki sicer do sedaj še ne potrjujejo (glej Okvir X). </w:t>
      </w:r>
    </w:p>
    <w:p w14:paraId="7A699FA1" w14:textId="77777777" w:rsidR="004C6615" w:rsidRDefault="004C6615" w:rsidP="004C6615">
      <w:pPr>
        <w:pStyle w:val="BesediloNAPOVED"/>
        <w:rPr>
          <w:bCs/>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4C6615" w:rsidRPr="00767446" w14:paraId="709D0031" w14:textId="77777777" w:rsidTr="00A6502A">
        <w:tc>
          <w:tcPr>
            <w:tcW w:w="4530" w:type="dxa"/>
          </w:tcPr>
          <w:p w14:paraId="411DE723" w14:textId="6F44CF91" w:rsidR="004C6615" w:rsidRPr="003B7E42" w:rsidRDefault="003B7E42" w:rsidP="00A6502A">
            <w:pPr>
              <w:pStyle w:val="Caption"/>
            </w:pPr>
            <w:r w:rsidRPr="003B7E42">
              <w:t xml:space="preserve">Slika </w:t>
            </w:r>
            <w:r w:rsidRPr="003B7E42">
              <w:fldChar w:fldCharType="begin"/>
            </w:r>
            <w:r w:rsidRPr="003B7E42">
              <w:instrText xml:space="preserve"> SEQ Slika \* ARABIC </w:instrText>
            </w:r>
            <w:r w:rsidRPr="003B7E42">
              <w:fldChar w:fldCharType="separate"/>
            </w:r>
            <w:r w:rsidR="00D224DD">
              <w:t>28</w:t>
            </w:r>
            <w:r w:rsidRPr="003B7E42">
              <w:fldChar w:fldCharType="end"/>
            </w:r>
            <w:r w:rsidR="004C6615" w:rsidRPr="003B7E42">
              <w:t>: Stopnja prostih delovnih mest se je v nekaterih dejavnosti v zadnjih mesecih močno povišala</w:t>
            </w:r>
          </w:p>
          <w:p w14:paraId="3339091A" w14:textId="77777777" w:rsidR="004C6615" w:rsidRPr="003B7E42" w:rsidRDefault="004C6615" w:rsidP="00A6502A">
            <w:pPr>
              <w:pStyle w:val="Caption"/>
            </w:pPr>
          </w:p>
          <w:p w14:paraId="2E1EE6B0" w14:textId="77777777" w:rsidR="004C6615" w:rsidRPr="003B7E42" w:rsidRDefault="004C6615" w:rsidP="00A6502A">
            <w:pPr>
              <w:pStyle w:val="Caption"/>
            </w:pPr>
            <w:r w:rsidRPr="00D87164">
              <w:rPr>
                <w:highlight w:val="yellow"/>
              </w:rPr>
              <w:drawing>
                <wp:inline distT="0" distB="0" distL="0" distR="0" wp14:anchorId="521D50A9" wp14:editId="49AC3CC9">
                  <wp:extent cx="2740273" cy="2242800"/>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0273" cy="2242800"/>
                          </a:xfrm>
                          <a:prstGeom prst="rect">
                            <a:avLst/>
                          </a:prstGeom>
                          <a:noFill/>
                        </pic:spPr>
                      </pic:pic>
                    </a:graphicData>
                  </a:graphic>
                </wp:inline>
              </w:drawing>
            </w:r>
          </w:p>
          <w:p w14:paraId="7284C946" w14:textId="77777777" w:rsidR="004C6615" w:rsidRPr="003B7E42" w:rsidRDefault="004C6615" w:rsidP="00A6502A">
            <w:pPr>
              <w:pStyle w:val="Caption"/>
            </w:pPr>
          </w:p>
        </w:tc>
        <w:tc>
          <w:tcPr>
            <w:tcW w:w="4530" w:type="dxa"/>
          </w:tcPr>
          <w:p w14:paraId="6B2A6C60" w14:textId="0FC6D8A0" w:rsidR="004C6615" w:rsidRPr="003B7E42" w:rsidRDefault="003B7E42" w:rsidP="00A6502A">
            <w:pPr>
              <w:pStyle w:val="Caption"/>
            </w:pPr>
            <w:r w:rsidRPr="003B7E42">
              <w:t xml:space="preserve">Slika </w:t>
            </w:r>
            <w:r w:rsidRPr="003B7E42">
              <w:fldChar w:fldCharType="begin"/>
            </w:r>
            <w:r w:rsidRPr="003B7E42">
              <w:instrText xml:space="preserve"> SEQ Slika \* ARABIC </w:instrText>
            </w:r>
            <w:r w:rsidRPr="003B7E42">
              <w:fldChar w:fldCharType="separate"/>
            </w:r>
            <w:r w:rsidR="00D224DD">
              <w:t>29</w:t>
            </w:r>
            <w:r w:rsidRPr="003B7E42">
              <w:fldChar w:fldCharType="end"/>
            </w:r>
            <w:r w:rsidRPr="003B7E42">
              <w:t>:</w:t>
            </w:r>
            <w:r w:rsidR="004C6615" w:rsidRPr="003B7E42">
              <w:t xml:space="preserve"> Pomanjkanje delovne sile ponekod predstavlja omejitev pri običajnem poslovanju</w:t>
            </w:r>
          </w:p>
          <w:p w14:paraId="2965E6D3" w14:textId="77777777" w:rsidR="004C6615" w:rsidRPr="003B7E42" w:rsidRDefault="004C6615" w:rsidP="004C6615">
            <w:pPr>
              <w:pStyle w:val="BesediloNAPOVED"/>
            </w:pPr>
          </w:p>
          <w:p w14:paraId="558C9915" w14:textId="77777777" w:rsidR="004C6615" w:rsidRPr="003B7E42" w:rsidRDefault="004C6615" w:rsidP="00A6502A">
            <w:pPr>
              <w:pStyle w:val="Caption"/>
            </w:pPr>
            <w:r w:rsidRPr="003B7E42">
              <w:drawing>
                <wp:inline distT="0" distB="0" distL="0" distR="0" wp14:anchorId="6FA4B93E" wp14:editId="1D6371A4">
                  <wp:extent cx="2741249" cy="2242800"/>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1249" cy="2242800"/>
                          </a:xfrm>
                          <a:prstGeom prst="rect">
                            <a:avLst/>
                          </a:prstGeom>
                          <a:noFill/>
                        </pic:spPr>
                      </pic:pic>
                    </a:graphicData>
                  </a:graphic>
                </wp:inline>
              </w:drawing>
            </w:r>
          </w:p>
          <w:p w14:paraId="0DD99E5D" w14:textId="77777777" w:rsidR="004C6615" w:rsidRPr="003B7E42" w:rsidRDefault="004C6615" w:rsidP="00A6502A">
            <w:pPr>
              <w:pStyle w:val="Caption"/>
            </w:pPr>
          </w:p>
        </w:tc>
      </w:tr>
    </w:tbl>
    <w:p w14:paraId="58357772" w14:textId="7D97C1B0" w:rsidR="00DC0171" w:rsidRDefault="00DC0171" w:rsidP="00DC0171">
      <w:pPr>
        <w:pStyle w:val="BesediloNAPOVED"/>
      </w:pPr>
      <w:r w:rsidRPr="00B4778F">
        <w:rPr>
          <w:b/>
        </w:rPr>
        <w:t xml:space="preserve">Zaposlenost </w:t>
      </w:r>
      <w:r>
        <w:rPr>
          <w:b/>
        </w:rPr>
        <w:t xml:space="preserve">bo nadalje postopoma okrevala, brezposelnost pa se zniževala, pri čemer so razvoj dogodkov močno odvisen od epidemiološke slike. V prihodnjih dveh letih se bodo ugodna </w:t>
      </w:r>
      <w:r>
        <w:rPr>
          <w:b/>
        </w:rPr>
        <w:lastRenderedPageBreak/>
        <w:t>gibanja nadaljevala, a bodo v ospredje prišle vedno večje omejitve, povezane z razpoložljivostjo delovne sile</w:t>
      </w:r>
      <w:r w:rsidRPr="00B4778F">
        <w:rPr>
          <w:b/>
        </w:rPr>
        <w:t xml:space="preserve">. </w:t>
      </w:r>
      <w:r w:rsidRPr="00B4778F">
        <w:t>V</w:t>
      </w:r>
      <w:r>
        <w:t xml:space="preserve"> drugi polovici leta </w:t>
      </w:r>
      <w:r w:rsidRPr="00B4778F">
        <w:t>pričakujemo</w:t>
      </w:r>
      <w:r>
        <w:t xml:space="preserve"> nadaljnjo zmerno rast zaposlenosti in postopno upadanje števila registriranih brezposelnih, kar nakazuje tudi višja raven kratkoročnega kazalnika pričakovanj o prihodnjem zaposlovanju. Pričakujemo tudi, da se bo z okrevanjem zaposlovanja krepil obseg opravljenih delovnih ur. Okrevanje na trgu dela bo sicer še naprej močno odvisno od razvoja epidemiološke slike in morebitnega ponovnega zapiranja posameznih dejavnosti, ki bi lahko okrevanje, zlasti v storitvah, ki zahtevajo več stikov in na katere imajo omejitveni ukrepi večji vpliv, upočasnilo.</w:t>
      </w:r>
      <w:r w:rsidRPr="00B4778F">
        <w:t xml:space="preserve"> </w:t>
      </w:r>
      <w:bookmarkStart w:id="40" w:name="_Hlk81125536"/>
      <w:r w:rsidR="005C768C">
        <w:t xml:space="preserve">Vladni ukrepi tudi letos blažijo negativne posledice </w:t>
      </w:r>
      <w:proofErr w:type="spellStart"/>
      <w:r w:rsidR="005C768C">
        <w:t>koronakrize</w:t>
      </w:r>
      <w:proofErr w:type="spellEnd"/>
      <w:r w:rsidR="005C768C">
        <w:t xml:space="preserve"> na trgu dela in pričakujemo, da se bodo tudi nadalje prilagajali </w:t>
      </w:r>
      <w:r w:rsidR="005C768C" w:rsidRPr="005C768C">
        <w:t>epidemiološk</w:t>
      </w:r>
      <w:r w:rsidR="005C768C">
        <w:t>i</w:t>
      </w:r>
      <w:r w:rsidR="005C768C" w:rsidRPr="005C768C">
        <w:t xml:space="preserve"> in gospodarsk</w:t>
      </w:r>
      <w:r w:rsidR="005C768C">
        <w:t>i</w:t>
      </w:r>
      <w:r w:rsidR="005C768C" w:rsidRPr="005C768C">
        <w:t xml:space="preserve"> situacij</w:t>
      </w:r>
      <w:r w:rsidR="005C768C">
        <w:t>i. Za 2021 pričakujemo 0,8-odstotno rast zaposlenosti in medletno znižanje števila brezposelnih za 11</w:t>
      </w:r>
      <w:r w:rsidR="005C768C">
        <w:rPr>
          <w:bCs/>
        </w:rPr>
        <w:t> </w:t>
      </w:r>
      <w:r w:rsidR="005C768C">
        <w:t>%, kar bo le še 2</w:t>
      </w:r>
      <w:r w:rsidR="005C768C">
        <w:rPr>
          <w:bCs/>
        </w:rPr>
        <w:t> </w:t>
      </w:r>
      <w:r w:rsidR="005C768C">
        <w:t xml:space="preserve">% več kot leta 2019. </w:t>
      </w:r>
      <w:bookmarkEnd w:id="40"/>
      <w:r>
        <w:t>V</w:t>
      </w:r>
      <w:r w:rsidRPr="00B4778F">
        <w:t xml:space="preserve"> prihodnjih dveh letih</w:t>
      </w:r>
      <w:r>
        <w:t xml:space="preserve"> naj bi se</w:t>
      </w:r>
      <w:r w:rsidRPr="00B4778F">
        <w:t xml:space="preserve"> okrevanje na trgu dela</w:t>
      </w:r>
      <w:r>
        <w:t xml:space="preserve"> postopno</w:t>
      </w:r>
      <w:r w:rsidRPr="00B4778F">
        <w:t xml:space="preserve"> nadaljevalo, </w:t>
      </w:r>
      <w:r>
        <w:t xml:space="preserve">pri čemer bo ob koncu obdobja napovedi število zaposlenih naraslo nad </w:t>
      </w:r>
      <w:r w:rsidRPr="00292E77">
        <w:rPr>
          <w:highlight w:val="yellow"/>
        </w:rPr>
        <w:t>x?</w:t>
      </w:r>
      <w:r>
        <w:t>, število b</w:t>
      </w:r>
      <w:r w:rsidRPr="00B4778F">
        <w:t xml:space="preserve">rezposelnih </w:t>
      </w:r>
      <w:r>
        <w:t xml:space="preserve">pa padlo </w:t>
      </w:r>
      <w:r w:rsidR="00A61D9F" w:rsidRPr="00153ABF">
        <w:rPr>
          <w:highlight w:val="yellow"/>
        </w:rPr>
        <w:t>na zgodovinsko nizko raven</w:t>
      </w:r>
      <w:r>
        <w:t xml:space="preserve">. </w:t>
      </w:r>
      <w:r w:rsidRPr="00B4778F">
        <w:t>Ocenjujemo, da se bodo na trg dela postopoma znova vključevale tudi osebe, ki so zlasti na začetku lanskega leta (začasno) prestopile v neaktivnost, kar se bo odrazilo v nadaljnjem povečevanju stopnje aktivnosti</w:t>
      </w:r>
      <w:r>
        <w:t>.</w:t>
      </w:r>
      <w:r>
        <w:rPr>
          <w:rStyle w:val="FootnoteReference"/>
        </w:rPr>
        <w:footnoteReference w:id="42"/>
      </w:r>
      <w:r>
        <w:t xml:space="preserve"> Povpraševanje po delu bo še naprej delovalo kot dejavnik privabljanja tujih delavcev, s čimer se bo neto selitveni priliv, ki je ob koncu lanskega in v začetku letošnjega leta sicer vidno upadel, postopno povečeval.</w:t>
      </w:r>
      <w:r>
        <w:rPr>
          <w:rStyle w:val="FootnoteReference"/>
        </w:rPr>
        <w:footnoteReference w:id="43"/>
      </w:r>
      <w:r>
        <w:t xml:space="preserve"> V prihodnjih letih bodo na gibanja na trgu dela vedno bolj vplivale omejite, povezane z razpoložljivostjo delovne sile, kar je bilo značilno tudi za obdobje pred </w:t>
      </w:r>
      <w:proofErr w:type="spellStart"/>
      <w:r>
        <w:t>koronakrizo</w:t>
      </w:r>
      <w:proofErr w:type="spellEnd"/>
      <w:r>
        <w:t>.</w:t>
      </w:r>
      <w:r w:rsidRPr="0068508D">
        <w:t xml:space="preserve"> </w:t>
      </w:r>
      <w:r>
        <w:t>Razmere na trgu dela bi zaradi tega lahko znova predstavljale vedno večjo omejitev za rast dodane vrednosti.</w:t>
      </w:r>
    </w:p>
    <w:p w14:paraId="3A06BE58" w14:textId="2FC110A2" w:rsidR="000E5A3B" w:rsidRDefault="000E5A3B" w:rsidP="00DC0171">
      <w:pPr>
        <w:pStyle w:val="BesediloNAPOVED"/>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2614D2" w:rsidRPr="00767446" w14:paraId="38A259E4" w14:textId="77777777" w:rsidTr="002614D2">
        <w:tc>
          <w:tcPr>
            <w:tcW w:w="4530" w:type="dxa"/>
          </w:tcPr>
          <w:p w14:paraId="15108065" w14:textId="77777777" w:rsidR="002614D2" w:rsidRDefault="002614D2" w:rsidP="002614D2">
            <w:pPr>
              <w:pStyle w:val="Caption"/>
            </w:pPr>
            <w:r w:rsidRPr="00767446">
              <w:t xml:space="preserve">Slika: </w:t>
            </w:r>
            <w:r w:rsidRPr="00CD44D7">
              <w:t>Kratkoročna pričakovanja o zaposlovanju nakazujejo na nadaljnj</w:t>
            </w:r>
            <w:r>
              <w:t>e</w:t>
            </w:r>
            <w:r w:rsidRPr="00CD44D7">
              <w:t>, a zmernješo, zaposlovanje</w:t>
            </w:r>
          </w:p>
          <w:p w14:paraId="351A5618" w14:textId="77777777" w:rsidR="002614D2" w:rsidRPr="008031E0" w:rsidRDefault="002614D2" w:rsidP="002614D2">
            <w:pPr>
              <w:pStyle w:val="Caption"/>
            </w:pPr>
          </w:p>
          <w:p w14:paraId="4E65A16C" w14:textId="77777777" w:rsidR="002614D2" w:rsidRPr="00767446" w:rsidRDefault="002614D2" w:rsidP="002614D2">
            <w:pPr>
              <w:pStyle w:val="Caption"/>
            </w:pPr>
            <w:r>
              <w:t xml:space="preserve"> </w:t>
            </w:r>
            <w:r>
              <w:drawing>
                <wp:inline distT="0" distB="0" distL="0" distR="0" wp14:anchorId="2BEE89BF" wp14:editId="7927323C">
                  <wp:extent cx="2740273" cy="2242800"/>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0273" cy="2242800"/>
                          </a:xfrm>
                          <a:prstGeom prst="rect">
                            <a:avLst/>
                          </a:prstGeom>
                          <a:noFill/>
                        </pic:spPr>
                      </pic:pic>
                    </a:graphicData>
                  </a:graphic>
                </wp:inline>
              </w:drawing>
            </w:r>
          </w:p>
          <w:p w14:paraId="3D19E9E4" w14:textId="77777777" w:rsidR="002614D2" w:rsidRPr="00767446" w:rsidRDefault="002614D2" w:rsidP="002614D2">
            <w:pPr>
              <w:pStyle w:val="Caption"/>
            </w:pPr>
          </w:p>
        </w:tc>
        <w:tc>
          <w:tcPr>
            <w:tcW w:w="4530" w:type="dxa"/>
          </w:tcPr>
          <w:p w14:paraId="6A40118B" w14:textId="098B3917" w:rsidR="002614D2" w:rsidRPr="00767446" w:rsidRDefault="002614D2" w:rsidP="002614D2">
            <w:pPr>
              <w:pStyle w:val="Caption"/>
            </w:pPr>
          </w:p>
          <w:p w14:paraId="36EDE321" w14:textId="77777777" w:rsidR="002614D2" w:rsidRPr="00767446" w:rsidRDefault="002614D2" w:rsidP="002614D2">
            <w:pPr>
              <w:pStyle w:val="Caption"/>
            </w:pPr>
          </w:p>
        </w:tc>
      </w:tr>
    </w:tbl>
    <w:p w14:paraId="64F75BB9" w14:textId="77777777" w:rsidR="00814665" w:rsidRDefault="00814665" w:rsidP="00B4778F">
      <w:pPr>
        <w:pStyle w:val="BesediloNAPOVED"/>
        <w:rPr>
          <w:b/>
          <w:highlight w:val="yellow"/>
        </w:rPr>
      </w:pPr>
    </w:p>
    <w:p w14:paraId="0AE6543F" w14:textId="3A3E07A1" w:rsidR="00060547" w:rsidRPr="00095135" w:rsidRDefault="00060547" w:rsidP="00060547">
      <w:pPr>
        <w:pStyle w:val="Caption"/>
        <w:rPr>
          <w:noProof w:val="0"/>
          <w:highlight w:val="yellow"/>
        </w:rPr>
      </w:pPr>
      <w:bookmarkStart w:id="41" w:name="_Hlk66860493"/>
      <w:r w:rsidRPr="00095135">
        <w:rPr>
          <w:noProof w:val="0"/>
          <w:highlight w:val="yellow"/>
        </w:rPr>
        <w:t xml:space="preserve">Tabela </w:t>
      </w:r>
      <w:r w:rsidRPr="00095135">
        <w:rPr>
          <w:noProof w:val="0"/>
          <w:highlight w:val="yellow"/>
        </w:rPr>
        <w:fldChar w:fldCharType="begin"/>
      </w:r>
      <w:r w:rsidRPr="00095135">
        <w:rPr>
          <w:noProof w:val="0"/>
          <w:highlight w:val="yellow"/>
        </w:rPr>
        <w:instrText xml:space="preserve"> SEQ Tabela \* ARABIC </w:instrText>
      </w:r>
      <w:r w:rsidRPr="00095135">
        <w:rPr>
          <w:noProof w:val="0"/>
          <w:highlight w:val="yellow"/>
        </w:rPr>
        <w:fldChar w:fldCharType="separate"/>
      </w:r>
      <w:r w:rsidR="00D224DD">
        <w:rPr>
          <w:highlight w:val="yellow"/>
        </w:rPr>
        <w:t>4</w:t>
      </w:r>
      <w:r w:rsidRPr="00095135">
        <w:rPr>
          <w:noProof w:val="0"/>
          <w:highlight w:val="yellow"/>
        </w:rPr>
        <w:fldChar w:fldCharType="end"/>
      </w:r>
      <w:r w:rsidRPr="00095135">
        <w:rPr>
          <w:noProof w:val="0"/>
          <w:highlight w:val="yellow"/>
        </w:rPr>
        <w:t>: Napoved zaposlenosti in brezposelnosti</w:t>
      </w:r>
    </w:p>
    <w:tbl>
      <w:tblPr>
        <w:tblW w:w="5000" w:type="pct"/>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9"/>
        <w:gridCol w:w="851"/>
        <w:gridCol w:w="994"/>
        <w:gridCol w:w="992"/>
        <w:gridCol w:w="990"/>
        <w:gridCol w:w="994"/>
        <w:gridCol w:w="1130"/>
      </w:tblGrid>
      <w:tr w:rsidR="00494CCD" w:rsidRPr="00095135" w14:paraId="1B2D4BED" w14:textId="77777777" w:rsidTr="00494CCD">
        <w:trPr>
          <w:trHeight w:val="255"/>
        </w:trPr>
        <w:tc>
          <w:tcPr>
            <w:tcW w:w="1719" w:type="pct"/>
            <w:vMerge w:val="restart"/>
            <w:vAlign w:val="center"/>
            <w:hideMark/>
          </w:tcPr>
          <w:p w14:paraId="413A9974" w14:textId="77777777" w:rsidR="00494CCD" w:rsidRPr="00095135" w:rsidRDefault="00494CCD" w:rsidP="00494CCD">
            <w:pPr>
              <w:pStyle w:val="TabelalevistolpecglavaNAPOVED"/>
              <w:rPr>
                <w:highlight w:val="yellow"/>
              </w:rPr>
            </w:pPr>
            <w:r w:rsidRPr="00095135">
              <w:rPr>
                <w:highlight w:val="yellow"/>
              </w:rPr>
              <w:t>v %</w:t>
            </w:r>
          </w:p>
        </w:tc>
        <w:tc>
          <w:tcPr>
            <w:tcW w:w="469" w:type="pct"/>
            <w:vMerge w:val="restart"/>
            <w:vAlign w:val="center"/>
            <w:hideMark/>
          </w:tcPr>
          <w:p w14:paraId="001DC332" w14:textId="3D82C30D" w:rsidR="00494CCD" w:rsidRPr="00095135" w:rsidRDefault="00494CCD" w:rsidP="004A2E84">
            <w:pPr>
              <w:pStyle w:val="TabelaglavaNAPOVED"/>
              <w:rPr>
                <w:highlight w:val="yellow"/>
              </w:rPr>
            </w:pPr>
            <w:r w:rsidRPr="00095135">
              <w:rPr>
                <w:rFonts w:cs="Arial"/>
                <w:color w:val="000000"/>
                <w:szCs w:val="16"/>
                <w:highlight w:val="yellow"/>
              </w:rPr>
              <w:t>2020</w:t>
            </w:r>
          </w:p>
        </w:tc>
        <w:tc>
          <w:tcPr>
            <w:tcW w:w="1095" w:type="pct"/>
            <w:gridSpan w:val="2"/>
            <w:vAlign w:val="center"/>
            <w:hideMark/>
          </w:tcPr>
          <w:p w14:paraId="10D616A8" w14:textId="75837070" w:rsidR="00494CCD" w:rsidRPr="00095135" w:rsidRDefault="00494CCD" w:rsidP="00494CCD">
            <w:pPr>
              <w:pStyle w:val="TabelaglavaNAPOVED"/>
              <w:jc w:val="center"/>
              <w:rPr>
                <w:highlight w:val="yellow"/>
              </w:rPr>
            </w:pPr>
            <w:r w:rsidRPr="00095135">
              <w:rPr>
                <w:rFonts w:cs="Arial"/>
                <w:color w:val="000000"/>
                <w:szCs w:val="16"/>
                <w:highlight w:val="yellow"/>
              </w:rPr>
              <w:t>2021</w:t>
            </w:r>
          </w:p>
        </w:tc>
        <w:tc>
          <w:tcPr>
            <w:tcW w:w="1094" w:type="pct"/>
            <w:gridSpan w:val="2"/>
            <w:vAlign w:val="center"/>
            <w:hideMark/>
          </w:tcPr>
          <w:p w14:paraId="002FD512" w14:textId="3C18513B" w:rsidR="00494CCD" w:rsidRPr="00095135" w:rsidRDefault="00494CCD" w:rsidP="00494CCD">
            <w:pPr>
              <w:pStyle w:val="TabelaglavaNAPOVED"/>
              <w:jc w:val="center"/>
              <w:rPr>
                <w:highlight w:val="yellow"/>
              </w:rPr>
            </w:pPr>
            <w:r w:rsidRPr="00095135">
              <w:rPr>
                <w:rFonts w:cs="Arial"/>
                <w:color w:val="000000"/>
                <w:szCs w:val="16"/>
                <w:highlight w:val="yellow"/>
              </w:rPr>
              <w:t>2022</w:t>
            </w:r>
          </w:p>
        </w:tc>
        <w:tc>
          <w:tcPr>
            <w:tcW w:w="623" w:type="pct"/>
            <w:vAlign w:val="center"/>
          </w:tcPr>
          <w:p w14:paraId="460DD190" w14:textId="3CAA4F06" w:rsidR="00494CCD" w:rsidRPr="00095135" w:rsidRDefault="00494CCD" w:rsidP="004A2E84">
            <w:pPr>
              <w:pStyle w:val="TabelaglavaNAPOVED"/>
              <w:rPr>
                <w:highlight w:val="yellow"/>
              </w:rPr>
            </w:pPr>
            <w:r w:rsidRPr="00095135">
              <w:rPr>
                <w:rFonts w:cs="Arial"/>
                <w:color w:val="000000"/>
                <w:szCs w:val="16"/>
                <w:highlight w:val="yellow"/>
              </w:rPr>
              <w:t>2023</w:t>
            </w:r>
          </w:p>
        </w:tc>
      </w:tr>
      <w:tr w:rsidR="00494CCD" w:rsidRPr="00095135" w14:paraId="5ACD2A03" w14:textId="77777777" w:rsidTr="00321599">
        <w:trPr>
          <w:trHeight w:val="255"/>
        </w:trPr>
        <w:tc>
          <w:tcPr>
            <w:tcW w:w="1719" w:type="pct"/>
            <w:vMerge/>
            <w:hideMark/>
          </w:tcPr>
          <w:p w14:paraId="33C68988" w14:textId="77777777" w:rsidR="00494CCD" w:rsidRPr="00095135" w:rsidRDefault="00494CCD" w:rsidP="00494CCD">
            <w:pPr>
              <w:pStyle w:val="BesediloNAPOVED"/>
              <w:rPr>
                <w:bCs/>
                <w:highlight w:val="yellow"/>
              </w:rPr>
            </w:pPr>
          </w:p>
        </w:tc>
        <w:tc>
          <w:tcPr>
            <w:tcW w:w="469" w:type="pct"/>
            <w:vMerge/>
            <w:vAlign w:val="center"/>
            <w:hideMark/>
          </w:tcPr>
          <w:p w14:paraId="6296F65A" w14:textId="77777777" w:rsidR="00494CCD" w:rsidRPr="00095135" w:rsidRDefault="00494CCD" w:rsidP="00494CCD">
            <w:pPr>
              <w:pStyle w:val="TabelaglavaNAPOVED"/>
              <w:jc w:val="center"/>
              <w:rPr>
                <w:highlight w:val="yellow"/>
              </w:rPr>
            </w:pPr>
          </w:p>
        </w:tc>
        <w:tc>
          <w:tcPr>
            <w:tcW w:w="548" w:type="pct"/>
            <w:tcBorders>
              <w:bottom w:val="single" w:sz="4" w:space="0" w:color="000000"/>
            </w:tcBorders>
            <w:vAlign w:val="center"/>
            <w:hideMark/>
          </w:tcPr>
          <w:p w14:paraId="5475D3A1" w14:textId="1BFB8C1A" w:rsidR="00494CCD" w:rsidRPr="00095135" w:rsidRDefault="00494CCD" w:rsidP="004A2E84">
            <w:pPr>
              <w:pStyle w:val="TabelaglavaNAPOVED"/>
              <w:rPr>
                <w:highlight w:val="yellow"/>
              </w:rPr>
            </w:pPr>
            <w:r w:rsidRPr="00095135">
              <w:rPr>
                <w:rFonts w:eastAsia="Calibri" w:cs="Arial"/>
                <w:szCs w:val="16"/>
                <w:highlight w:val="yellow"/>
              </w:rPr>
              <w:t>december 2020</w:t>
            </w:r>
          </w:p>
        </w:tc>
        <w:tc>
          <w:tcPr>
            <w:tcW w:w="547" w:type="pct"/>
            <w:shd w:val="clear" w:color="auto" w:fill="E9E9E9" w:themeFill="accent3" w:themeFillTint="33"/>
            <w:vAlign w:val="center"/>
          </w:tcPr>
          <w:p w14:paraId="4744A7C5" w14:textId="0E10E075" w:rsidR="00494CCD" w:rsidRPr="00095135" w:rsidRDefault="00494CCD" w:rsidP="004A2E84">
            <w:pPr>
              <w:pStyle w:val="TabelaglavaNAPOVED"/>
              <w:rPr>
                <w:color w:val="9E001A" w:themeColor="accent1"/>
                <w:highlight w:val="yellow"/>
              </w:rPr>
            </w:pPr>
            <w:r w:rsidRPr="00095135">
              <w:rPr>
                <w:rFonts w:eastAsia="Calibri" w:cs="Arial"/>
                <w:color w:val="9E001A"/>
                <w:szCs w:val="16"/>
                <w:highlight w:val="yellow"/>
              </w:rPr>
              <w:t>marec     2021</w:t>
            </w:r>
          </w:p>
        </w:tc>
        <w:tc>
          <w:tcPr>
            <w:tcW w:w="546" w:type="pct"/>
            <w:tcBorders>
              <w:bottom w:val="single" w:sz="4" w:space="0" w:color="000000"/>
            </w:tcBorders>
            <w:vAlign w:val="center"/>
          </w:tcPr>
          <w:p w14:paraId="2FE51A11" w14:textId="10A1541A" w:rsidR="00494CCD" w:rsidRPr="00095135" w:rsidRDefault="00494CCD" w:rsidP="004A2E84">
            <w:pPr>
              <w:pStyle w:val="TabelaglavaNAPOVED"/>
              <w:rPr>
                <w:highlight w:val="yellow"/>
              </w:rPr>
            </w:pPr>
            <w:r w:rsidRPr="00095135">
              <w:rPr>
                <w:rFonts w:eastAsia="Calibri" w:cs="Arial"/>
                <w:szCs w:val="16"/>
                <w:highlight w:val="yellow"/>
              </w:rPr>
              <w:t>december 2020</w:t>
            </w:r>
          </w:p>
        </w:tc>
        <w:tc>
          <w:tcPr>
            <w:tcW w:w="548" w:type="pct"/>
            <w:shd w:val="clear" w:color="auto" w:fill="E9E9E9" w:themeFill="accent3" w:themeFillTint="33"/>
          </w:tcPr>
          <w:p w14:paraId="0325CE6E" w14:textId="3F227CA1" w:rsidR="00494CCD" w:rsidRPr="00095135" w:rsidRDefault="00494CCD" w:rsidP="004A2E84">
            <w:pPr>
              <w:pStyle w:val="TabelaglavaNAPOVED"/>
              <w:rPr>
                <w:color w:val="9E001A" w:themeColor="accent1"/>
                <w:highlight w:val="yellow"/>
              </w:rPr>
            </w:pPr>
            <w:r w:rsidRPr="00095135">
              <w:rPr>
                <w:rFonts w:eastAsia="Calibri" w:cs="Arial"/>
                <w:color w:val="9E001A"/>
                <w:szCs w:val="16"/>
                <w:highlight w:val="yellow"/>
              </w:rPr>
              <w:t>marec       2021</w:t>
            </w:r>
          </w:p>
        </w:tc>
        <w:tc>
          <w:tcPr>
            <w:tcW w:w="623" w:type="pct"/>
            <w:tcBorders>
              <w:bottom w:val="single" w:sz="4" w:space="0" w:color="000000"/>
            </w:tcBorders>
            <w:shd w:val="clear" w:color="auto" w:fill="E9E9E9" w:themeFill="accent3" w:themeFillTint="33"/>
          </w:tcPr>
          <w:p w14:paraId="5C6CF3AD" w14:textId="7CF0BC77" w:rsidR="00494CCD" w:rsidRPr="00095135" w:rsidRDefault="00494CCD" w:rsidP="004A2E84">
            <w:pPr>
              <w:pStyle w:val="TabelaglavaNAPOVED"/>
              <w:rPr>
                <w:color w:val="9E001A" w:themeColor="accent1"/>
                <w:highlight w:val="yellow"/>
              </w:rPr>
            </w:pPr>
            <w:r w:rsidRPr="00095135">
              <w:rPr>
                <w:rFonts w:eastAsia="Calibri" w:cs="Arial"/>
                <w:color w:val="9E001A"/>
                <w:szCs w:val="16"/>
                <w:highlight w:val="yellow"/>
              </w:rPr>
              <w:t>marec               2021</w:t>
            </w:r>
          </w:p>
        </w:tc>
      </w:tr>
      <w:tr w:rsidR="00321599" w:rsidRPr="00095135" w14:paraId="179CCE50" w14:textId="77777777" w:rsidTr="00321599">
        <w:trPr>
          <w:trHeight w:val="255"/>
        </w:trPr>
        <w:tc>
          <w:tcPr>
            <w:tcW w:w="1719" w:type="pct"/>
            <w:vAlign w:val="center"/>
            <w:hideMark/>
          </w:tcPr>
          <w:p w14:paraId="0BD190BB" w14:textId="77777777" w:rsidR="00044F48" w:rsidRPr="00095135" w:rsidRDefault="00044F48" w:rsidP="00044F48">
            <w:pPr>
              <w:pStyle w:val="TabelalevistolpecNAPOVED"/>
              <w:rPr>
                <w:highlight w:val="yellow"/>
              </w:rPr>
            </w:pPr>
            <w:r w:rsidRPr="00095135">
              <w:rPr>
                <w:highlight w:val="yellow"/>
              </w:rPr>
              <w:t>Zaposlenost po SNA, rast</w:t>
            </w:r>
          </w:p>
        </w:tc>
        <w:tc>
          <w:tcPr>
            <w:tcW w:w="469" w:type="pct"/>
            <w:vAlign w:val="center"/>
          </w:tcPr>
          <w:p w14:paraId="01AA0F08" w14:textId="7AAD681A" w:rsidR="00044F48" w:rsidRPr="00095135" w:rsidRDefault="00044F48" w:rsidP="004A2E84">
            <w:pPr>
              <w:pStyle w:val="TabelaNAPOVED"/>
              <w:rPr>
                <w:highlight w:val="yellow"/>
              </w:rPr>
            </w:pPr>
            <w:r w:rsidRPr="00095135">
              <w:rPr>
                <w:rFonts w:cs="Arial"/>
                <w:color w:val="000000"/>
                <w:szCs w:val="16"/>
                <w:highlight w:val="yellow"/>
              </w:rPr>
              <w:t>-1,0</w:t>
            </w:r>
          </w:p>
        </w:tc>
        <w:tc>
          <w:tcPr>
            <w:tcW w:w="548" w:type="pct"/>
            <w:shd w:val="clear" w:color="auto" w:fill="auto"/>
            <w:vAlign w:val="center"/>
          </w:tcPr>
          <w:p w14:paraId="740F691D" w14:textId="63383F69" w:rsidR="00044F48" w:rsidRPr="00095135" w:rsidRDefault="00044F48" w:rsidP="004A2E84">
            <w:pPr>
              <w:pStyle w:val="TabelaNAPOVED"/>
              <w:rPr>
                <w:highlight w:val="yellow"/>
              </w:rPr>
            </w:pPr>
            <w:r w:rsidRPr="00095135">
              <w:rPr>
                <w:rFonts w:cs="Arial"/>
                <w:color w:val="000000"/>
                <w:szCs w:val="16"/>
                <w:highlight w:val="yellow"/>
              </w:rPr>
              <w:t>-0,1</w:t>
            </w:r>
          </w:p>
        </w:tc>
        <w:tc>
          <w:tcPr>
            <w:tcW w:w="547" w:type="pct"/>
            <w:shd w:val="clear" w:color="auto" w:fill="E9E9E9" w:themeFill="accent3" w:themeFillTint="33"/>
            <w:vAlign w:val="center"/>
          </w:tcPr>
          <w:p w14:paraId="0E407B1F" w14:textId="2441EBFC"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0,8</w:t>
            </w:r>
          </w:p>
        </w:tc>
        <w:tc>
          <w:tcPr>
            <w:tcW w:w="546" w:type="pct"/>
            <w:shd w:val="clear" w:color="auto" w:fill="auto"/>
            <w:vAlign w:val="center"/>
          </w:tcPr>
          <w:p w14:paraId="5ABFFD65" w14:textId="7380DC80" w:rsidR="00044F48" w:rsidRPr="00095135" w:rsidRDefault="00044F48" w:rsidP="004A2E84">
            <w:pPr>
              <w:pStyle w:val="TabelaNAPOVED"/>
              <w:rPr>
                <w:highlight w:val="yellow"/>
              </w:rPr>
            </w:pPr>
            <w:r w:rsidRPr="00095135">
              <w:rPr>
                <w:rFonts w:cs="Arial"/>
                <w:color w:val="000000"/>
                <w:szCs w:val="16"/>
                <w:highlight w:val="yellow"/>
              </w:rPr>
              <w:t>1,0</w:t>
            </w:r>
          </w:p>
        </w:tc>
        <w:tc>
          <w:tcPr>
            <w:tcW w:w="548" w:type="pct"/>
            <w:shd w:val="clear" w:color="auto" w:fill="E9E9E9" w:themeFill="accent3" w:themeFillTint="33"/>
            <w:vAlign w:val="center"/>
          </w:tcPr>
          <w:p w14:paraId="1269012F" w14:textId="32E38189"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1,5</w:t>
            </w:r>
          </w:p>
        </w:tc>
        <w:tc>
          <w:tcPr>
            <w:tcW w:w="623" w:type="pct"/>
            <w:shd w:val="clear" w:color="auto" w:fill="E9E9E9" w:themeFill="accent3" w:themeFillTint="33"/>
            <w:vAlign w:val="center"/>
          </w:tcPr>
          <w:p w14:paraId="615F145B" w14:textId="1382241E"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1,5</w:t>
            </w:r>
          </w:p>
        </w:tc>
      </w:tr>
      <w:tr w:rsidR="00321599" w:rsidRPr="00095135" w14:paraId="7D4CD2E1" w14:textId="77777777" w:rsidTr="00321599">
        <w:trPr>
          <w:trHeight w:val="255"/>
        </w:trPr>
        <w:tc>
          <w:tcPr>
            <w:tcW w:w="1719" w:type="pct"/>
            <w:vAlign w:val="center"/>
            <w:hideMark/>
          </w:tcPr>
          <w:p w14:paraId="75A39213" w14:textId="77777777" w:rsidR="00044F48" w:rsidRPr="00095135" w:rsidRDefault="00044F48" w:rsidP="00044F48">
            <w:pPr>
              <w:pStyle w:val="TabelalevistolpecNAPOVED"/>
              <w:rPr>
                <w:highlight w:val="yellow"/>
              </w:rPr>
            </w:pPr>
            <w:r w:rsidRPr="00095135">
              <w:rPr>
                <w:highlight w:val="yellow"/>
              </w:rPr>
              <w:t>Število registriranih brezposelnih, povprečje v letu</w:t>
            </w:r>
          </w:p>
        </w:tc>
        <w:tc>
          <w:tcPr>
            <w:tcW w:w="469" w:type="pct"/>
            <w:vAlign w:val="center"/>
          </w:tcPr>
          <w:p w14:paraId="1F27D9E4" w14:textId="3E2CD232" w:rsidR="00044F48" w:rsidRPr="00095135" w:rsidRDefault="00044F48" w:rsidP="004A2E84">
            <w:pPr>
              <w:pStyle w:val="TabelaNAPOVED"/>
              <w:rPr>
                <w:highlight w:val="yellow"/>
              </w:rPr>
            </w:pPr>
            <w:r w:rsidRPr="00095135">
              <w:rPr>
                <w:rFonts w:cs="Arial"/>
                <w:color w:val="000000"/>
                <w:szCs w:val="16"/>
                <w:highlight w:val="yellow"/>
              </w:rPr>
              <w:t>85,0</w:t>
            </w:r>
          </w:p>
        </w:tc>
        <w:tc>
          <w:tcPr>
            <w:tcW w:w="548" w:type="pct"/>
            <w:shd w:val="clear" w:color="auto" w:fill="auto"/>
            <w:vAlign w:val="center"/>
          </w:tcPr>
          <w:p w14:paraId="56DEC463" w14:textId="0CA7C9F2" w:rsidR="00044F48" w:rsidRPr="00095135" w:rsidRDefault="00044F48" w:rsidP="004A2E84">
            <w:pPr>
              <w:pStyle w:val="TabelaNAPOVED"/>
              <w:rPr>
                <w:highlight w:val="yellow"/>
              </w:rPr>
            </w:pPr>
            <w:r w:rsidRPr="00095135">
              <w:rPr>
                <w:rFonts w:cs="Arial"/>
                <w:color w:val="000000"/>
                <w:szCs w:val="16"/>
                <w:highlight w:val="yellow"/>
              </w:rPr>
              <w:t>90,2</w:t>
            </w:r>
          </w:p>
        </w:tc>
        <w:tc>
          <w:tcPr>
            <w:tcW w:w="547" w:type="pct"/>
            <w:shd w:val="clear" w:color="auto" w:fill="E9E9E9" w:themeFill="accent3" w:themeFillTint="33"/>
            <w:vAlign w:val="center"/>
          </w:tcPr>
          <w:p w14:paraId="3B20EB86" w14:textId="0996F8A3"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83,1</w:t>
            </w:r>
          </w:p>
        </w:tc>
        <w:tc>
          <w:tcPr>
            <w:tcW w:w="546" w:type="pct"/>
            <w:shd w:val="clear" w:color="auto" w:fill="auto"/>
            <w:vAlign w:val="center"/>
          </w:tcPr>
          <w:p w14:paraId="78F83A2F" w14:textId="00971DDF" w:rsidR="00044F48" w:rsidRPr="00095135" w:rsidRDefault="00044F48" w:rsidP="004A2E84">
            <w:pPr>
              <w:pStyle w:val="TabelaNAPOVED"/>
              <w:rPr>
                <w:highlight w:val="yellow"/>
              </w:rPr>
            </w:pPr>
            <w:r w:rsidRPr="00095135">
              <w:rPr>
                <w:rFonts w:cs="Arial"/>
                <w:color w:val="000000"/>
                <w:szCs w:val="16"/>
                <w:highlight w:val="yellow"/>
              </w:rPr>
              <w:t>81,9</w:t>
            </w:r>
          </w:p>
        </w:tc>
        <w:tc>
          <w:tcPr>
            <w:tcW w:w="548" w:type="pct"/>
            <w:shd w:val="clear" w:color="auto" w:fill="E9E9E9" w:themeFill="accent3" w:themeFillTint="33"/>
            <w:vAlign w:val="center"/>
          </w:tcPr>
          <w:p w14:paraId="65DD1A5A" w14:textId="7D1E3B2F"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80,7</w:t>
            </w:r>
          </w:p>
        </w:tc>
        <w:tc>
          <w:tcPr>
            <w:tcW w:w="623" w:type="pct"/>
            <w:shd w:val="clear" w:color="auto" w:fill="E9E9E9" w:themeFill="accent3" w:themeFillTint="33"/>
            <w:vAlign w:val="center"/>
          </w:tcPr>
          <w:p w14:paraId="6E48E382" w14:textId="7D867089"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76,5</w:t>
            </w:r>
          </w:p>
        </w:tc>
      </w:tr>
      <w:tr w:rsidR="00321599" w:rsidRPr="00095135" w14:paraId="42A83CB8" w14:textId="77777777" w:rsidTr="00321599">
        <w:trPr>
          <w:trHeight w:val="255"/>
        </w:trPr>
        <w:tc>
          <w:tcPr>
            <w:tcW w:w="1719" w:type="pct"/>
            <w:vAlign w:val="center"/>
            <w:hideMark/>
          </w:tcPr>
          <w:p w14:paraId="07430E3C" w14:textId="77777777" w:rsidR="00044F48" w:rsidRPr="00095135" w:rsidRDefault="00044F48" w:rsidP="00044F48">
            <w:pPr>
              <w:pStyle w:val="TabelalevistolpecNAPOVED"/>
              <w:rPr>
                <w:highlight w:val="yellow"/>
              </w:rPr>
            </w:pPr>
            <w:r w:rsidRPr="00095135">
              <w:rPr>
                <w:highlight w:val="yellow"/>
              </w:rPr>
              <w:t>Stopnja registrirane brezposelnosti</w:t>
            </w:r>
          </w:p>
        </w:tc>
        <w:tc>
          <w:tcPr>
            <w:tcW w:w="469" w:type="pct"/>
            <w:vAlign w:val="center"/>
          </w:tcPr>
          <w:p w14:paraId="3285B717" w14:textId="4E4C4CED" w:rsidR="00044F48" w:rsidRPr="00095135" w:rsidRDefault="00044F48" w:rsidP="004A2E84">
            <w:pPr>
              <w:pStyle w:val="TabelaNAPOVED"/>
              <w:rPr>
                <w:highlight w:val="yellow"/>
              </w:rPr>
            </w:pPr>
            <w:r w:rsidRPr="00095135">
              <w:rPr>
                <w:rFonts w:cs="Arial"/>
                <w:color w:val="000000"/>
                <w:szCs w:val="16"/>
                <w:highlight w:val="yellow"/>
              </w:rPr>
              <w:t>8,7</w:t>
            </w:r>
          </w:p>
        </w:tc>
        <w:tc>
          <w:tcPr>
            <w:tcW w:w="548" w:type="pct"/>
            <w:shd w:val="clear" w:color="auto" w:fill="auto"/>
            <w:vAlign w:val="center"/>
          </w:tcPr>
          <w:p w14:paraId="4ECDB609" w14:textId="2D96C6B6" w:rsidR="00044F48" w:rsidRPr="00095135" w:rsidRDefault="00044F48" w:rsidP="004A2E84">
            <w:pPr>
              <w:pStyle w:val="TabelaNAPOVED"/>
              <w:rPr>
                <w:highlight w:val="yellow"/>
              </w:rPr>
            </w:pPr>
            <w:r w:rsidRPr="00095135">
              <w:rPr>
                <w:rFonts w:cs="Arial"/>
                <w:color w:val="000000"/>
                <w:szCs w:val="16"/>
                <w:highlight w:val="yellow"/>
              </w:rPr>
              <w:t>9,2</w:t>
            </w:r>
          </w:p>
        </w:tc>
        <w:tc>
          <w:tcPr>
            <w:tcW w:w="547" w:type="pct"/>
            <w:shd w:val="clear" w:color="auto" w:fill="E9E9E9" w:themeFill="accent3" w:themeFillTint="33"/>
            <w:vAlign w:val="center"/>
          </w:tcPr>
          <w:p w14:paraId="44CD5874" w14:textId="418CB195"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8,5</w:t>
            </w:r>
          </w:p>
        </w:tc>
        <w:tc>
          <w:tcPr>
            <w:tcW w:w="546" w:type="pct"/>
            <w:shd w:val="clear" w:color="auto" w:fill="auto"/>
            <w:vAlign w:val="center"/>
          </w:tcPr>
          <w:p w14:paraId="14C7242C" w14:textId="15F36073" w:rsidR="00044F48" w:rsidRPr="00095135" w:rsidRDefault="00044F48" w:rsidP="004A2E84">
            <w:pPr>
              <w:pStyle w:val="TabelaNAPOVED"/>
              <w:rPr>
                <w:highlight w:val="yellow"/>
              </w:rPr>
            </w:pPr>
            <w:r w:rsidRPr="00095135">
              <w:rPr>
                <w:rFonts w:cs="Arial"/>
                <w:color w:val="000000"/>
                <w:szCs w:val="16"/>
                <w:highlight w:val="yellow"/>
              </w:rPr>
              <w:t>8,4</w:t>
            </w:r>
          </w:p>
        </w:tc>
        <w:tc>
          <w:tcPr>
            <w:tcW w:w="548" w:type="pct"/>
            <w:shd w:val="clear" w:color="auto" w:fill="E9E9E9" w:themeFill="accent3" w:themeFillTint="33"/>
            <w:vAlign w:val="center"/>
          </w:tcPr>
          <w:p w14:paraId="36C37125" w14:textId="6FF6A754"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8,1</w:t>
            </w:r>
          </w:p>
        </w:tc>
        <w:tc>
          <w:tcPr>
            <w:tcW w:w="623" w:type="pct"/>
            <w:shd w:val="clear" w:color="auto" w:fill="E9E9E9" w:themeFill="accent3" w:themeFillTint="33"/>
            <w:vAlign w:val="center"/>
          </w:tcPr>
          <w:p w14:paraId="02D86506" w14:textId="55F1D81C"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7,6</w:t>
            </w:r>
          </w:p>
        </w:tc>
      </w:tr>
      <w:tr w:rsidR="00321599" w:rsidRPr="00095135" w14:paraId="0BAAF11B" w14:textId="77777777" w:rsidTr="00321599">
        <w:trPr>
          <w:trHeight w:val="255"/>
        </w:trPr>
        <w:tc>
          <w:tcPr>
            <w:tcW w:w="1719" w:type="pct"/>
            <w:vAlign w:val="center"/>
            <w:hideMark/>
          </w:tcPr>
          <w:p w14:paraId="4B2E38C2" w14:textId="77777777" w:rsidR="00044F48" w:rsidRPr="00095135" w:rsidRDefault="00044F48" w:rsidP="00044F48">
            <w:pPr>
              <w:pStyle w:val="TabelalevistolpecNAPOVED"/>
              <w:rPr>
                <w:highlight w:val="yellow"/>
              </w:rPr>
            </w:pPr>
            <w:r w:rsidRPr="00095135">
              <w:rPr>
                <w:highlight w:val="yellow"/>
              </w:rPr>
              <w:t>Stopnja brezposelnosti po anketi o delovni sili</w:t>
            </w:r>
          </w:p>
        </w:tc>
        <w:tc>
          <w:tcPr>
            <w:tcW w:w="469" w:type="pct"/>
            <w:vAlign w:val="center"/>
          </w:tcPr>
          <w:p w14:paraId="47445A1F" w14:textId="2AB1329D" w:rsidR="00044F48" w:rsidRPr="00095135" w:rsidRDefault="00044F48" w:rsidP="004A2E84">
            <w:pPr>
              <w:pStyle w:val="TabelaNAPOVED"/>
              <w:rPr>
                <w:highlight w:val="yellow"/>
              </w:rPr>
            </w:pPr>
            <w:r w:rsidRPr="00095135">
              <w:rPr>
                <w:rFonts w:cs="Arial"/>
                <w:color w:val="000000"/>
                <w:szCs w:val="16"/>
                <w:highlight w:val="yellow"/>
              </w:rPr>
              <w:t>5,0</w:t>
            </w:r>
          </w:p>
        </w:tc>
        <w:tc>
          <w:tcPr>
            <w:tcW w:w="548" w:type="pct"/>
            <w:shd w:val="clear" w:color="auto" w:fill="auto"/>
            <w:vAlign w:val="center"/>
          </w:tcPr>
          <w:p w14:paraId="24422377" w14:textId="7EA79379" w:rsidR="00044F48" w:rsidRPr="00095135" w:rsidRDefault="00044F48" w:rsidP="004A2E84">
            <w:pPr>
              <w:pStyle w:val="TabelaNAPOVED"/>
              <w:rPr>
                <w:highlight w:val="yellow"/>
              </w:rPr>
            </w:pPr>
            <w:r w:rsidRPr="00095135">
              <w:rPr>
                <w:rFonts w:cs="Arial"/>
                <w:color w:val="000000"/>
                <w:szCs w:val="16"/>
                <w:highlight w:val="yellow"/>
              </w:rPr>
              <w:t>5,4</w:t>
            </w:r>
          </w:p>
        </w:tc>
        <w:tc>
          <w:tcPr>
            <w:tcW w:w="547" w:type="pct"/>
            <w:shd w:val="clear" w:color="auto" w:fill="E9E9E9" w:themeFill="accent3" w:themeFillTint="33"/>
            <w:vAlign w:val="center"/>
          </w:tcPr>
          <w:p w14:paraId="18575BA8" w14:textId="67F85920"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5,0</w:t>
            </w:r>
          </w:p>
        </w:tc>
        <w:tc>
          <w:tcPr>
            <w:tcW w:w="546" w:type="pct"/>
            <w:shd w:val="clear" w:color="auto" w:fill="auto"/>
            <w:vAlign w:val="center"/>
          </w:tcPr>
          <w:p w14:paraId="6A64042F" w14:textId="7589CCEE" w:rsidR="00044F48" w:rsidRPr="00095135" w:rsidRDefault="00044F48" w:rsidP="004A2E84">
            <w:pPr>
              <w:pStyle w:val="TabelaNAPOVED"/>
              <w:rPr>
                <w:highlight w:val="yellow"/>
              </w:rPr>
            </w:pPr>
            <w:r w:rsidRPr="00095135">
              <w:rPr>
                <w:rFonts w:cs="Arial"/>
                <w:color w:val="000000"/>
                <w:szCs w:val="16"/>
                <w:highlight w:val="yellow"/>
              </w:rPr>
              <w:t>4,9</w:t>
            </w:r>
          </w:p>
        </w:tc>
        <w:tc>
          <w:tcPr>
            <w:tcW w:w="548" w:type="pct"/>
            <w:shd w:val="clear" w:color="auto" w:fill="E9E9E9" w:themeFill="accent3" w:themeFillTint="33"/>
            <w:vAlign w:val="center"/>
          </w:tcPr>
          <w:p w14:paraId="1A017C35" w14:textId="6AC99CF0"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4,8</w:t>
            </w:r>
          </w:p>
        </w:tc>
        <w:tc>
          <w:tcPr>
            <w:tcW w:w="623" w:type="pct"/>
            <w:shd w:val="clear" w:color="auto" w:fill="E9E9E9" w:themeFill="accent3" w:themeFillTint="33"/>
            <w:vAlign w:val="center"/>
          </w:tcPr>
          <w:p w14:paraId="4606BDC4" w14:textId="52BF7F41" w:rsidR="00044F48" w:rsidRPr="00095135" w:rsidRDefault="00044F48" w:rsidP="004A2E84">
            <w:pPr>
              <w:pStyle w:val="TabelaNAPOVED"/>
              <w:rPr>
                <w:b/>
                <w:color w:val="9E001A" w:themeColor="accent1"/>
                <w:highlight w:val="yellow"/>
              </w:rPr>
            </w:pPr>
            <w:r w:rsidRPr="00095135">
              <w:rPr>
                <w:rFonts w:eastAsia="Calibri" w:cs="Arial"/>
                <w:b/>
                <w:bCs/>
                <w:color w:val="9E001A"/>
                <w:szCs w:val="16"/>
                <w:highlight w:val="yellow"/>
              </w:rPr>
              <w:t>4,5</w:t>
            </w:r>
          </w:p>
        </w:tc>
      </w:tr>
    </w:tbl>
    <w:p w14:paraId="37F057AD" w14:textId="5ECD6376" w:rsidR="00060547" w:rsidRDefault="00060547" w:rsidP="00060547">
      <w:pPr>
        <w:pStyle w:val="VirNAPOVED"/>
        <w:rPr>
          <w:highlight w:val="yellow"/>
        </w:rPr>
      </w:pPr>
      <w:r w:rsidRPr="00095135">
        <w:rPr>
          <w:highlight w:val="yellow"/>
        </w:rPr>
        <w:t>Vir: SURS, 202</w:t>
      </w:r>
      <w:r w:rsidR="00044F48" w:rsidRPr="00095135">
        <w:rPr>
          <w:highlight w:val="yellow"/>
        </w:rPr>
        <w:t>1</w:t>
      </w:r>
      <w:r w:rsidRPr="00095135">
        <w:rPr>
          <w:highlight w:val="yellow"/>
        </w:rPr>
        <w:t>−202</w:t>
      </w:r>
      <w:r w:rsidR="00044F48" w:rsidRPr="00095135">
        <w:rPr>
          <w:highlight w:val="yellow"/>
        </w:rPr>
        <w:t>3</w:t>
      </w:r>
      <w:r w:rsidRPr="00095135">
        <w:rPr>
          <w:highlight w:val="yellow"/>
        </w:rPr>
        <w:t xml:space="preserve"> napoved UMAR.</w:t>
      </w:r>
    </w:p>
    <w:tbl>
      <w:tblPr>
        <w:tblStyle w:val="okvirNAPOVED"/>
        <w:tblW w:w="0" w:type="auto"/>
        <w:tblLook w:val="04A0" w:firstRow="1" w:lastRow="0" w:firstColumn="1" w:lastColumn="0" w:noHBand="0" w:noVBand="1"/>
      </w:tblPr>
      <w:tblGrid>
        <w:gridCol w:w="9060"/>
      </w:tblGrid>
      <w:tr w:rsidR="00E067D5" w14:paraId="4AB1F5D1" w14:textId="77777777" w:rsidTr="00A6502A">
        <w:tc>
          <w:tcPr>
            <w:tcW w:w="9060" w:type="dxa"/>
          </w:tcPr>
          <w:p w14:paraId="449E1C86" w14:textId="53FB35E8" w:rsidR="00E067D5" w:rsidRPr="009B7E00" w:rsidRDefault="00C84190" w:rsidP="00A6502A">
            <w:pPr>
              <w:pStyle w:val="Caption"/>
            </w:pPr>
            <w:r w:rsidRPr="00EB3DB7">
              <w:lastRenderedPageBreak/>
              <w:t xml:space="preserve">Okvir </w:t>
            </w:r>
            <w:r w:rsidRPr="00EB3DB7">
              <w:fldChar w:fldCharType="begin"/>
            </w:r>
            <w:r w:rsidRPr="00EB3DB7">
              <w:instrText xml:space="preserve"> SEQ Okvir \* ARABIC </w:instrText>
            </w:r>
            <w:r w:rsidRPr="00EB3DB7">
              <w:fldChar w:fldCharType="separate"/>
            </w:r>
            <w:r w:rsidR="00D224DD">
              <w:t>3</w:t>
            </w:r>
            <w:r w:rsidRPr="00EB3DB7">
              <w:fldChar w:fldCharType="end"/>
            </w:r>
            <w:r w:rsidR="00E067D5">
              <w:t>: Ali je v času koronakrize prišlo do realokacije delovne sile?</w:t>
            </w:r>
          </w:p>
          <w:p w14:paraId="00B90D8F" w14:textId="77777777" w:rsidR="00E067D5" w:rsidRDefault="00E067D5" w:rsidP="00A6502A">
            <w:pPr>
              <w:pStyle w:val="BesediloNAPOVED"/>
            </w:pPr>
          </w:p>
          <w:p w14:paraId="5649E85C" w14:textId="54DDBB97" w:rsidR="00E067D5" w:rsidRDefault="00E067D5" w:rsidP="00A6502A">
            <w:pPr>
              <w:pStyle w:val="BesediloNAPOVED"/>
            </w:pPr>
            <w:r w:rsidRPr="005400C9">
              <w:rPr>
                <w:rStyle w:val="VodilnistavekBoldpoudarekNAPOVED"/>
              </w:rPr>
              <w:t>Zaradi</w:t>
            </w:r>
            <w:r>
              <w:rPr>
                <w:rStyle w:val="VodilnistavekBoldpoudarekNAPOVED"/>
              </w:rPr>
              <w:t xml:space="preserve"> velikih razlik v prizadetosti dejavnosti se lahko poveča možnost prehajanja delovne sile iz prizadetih v manj prizadete dejavnosti.</w:t>
            </w:r>
            <w:r w:rsidRPr="005400C9">
              <w:rPr>
                <w:rStyle w:val="VodilnistavekBoldpoudarekNAPOVED"/>
              </w:rPr>
              <w:t xml:space="preserve"> </w:t>
            </w:r>
            <w:r w:rsidRPr="007F5C03">
              <w:t>M</w:t>
            </w:r>
            <w:r>
              <w:t xml:space="preserve">edtem ko so bile nekatere dejavnosti zaradi svoje narave ob padcu gospodarske aktivnosti in zaprtja manj prizadete in so si tudi hitro opomogle, so bile druge, zlasti gostinstvo, kulturne in razvedrilne dejavnosti ter sprva deloma tudi trgovina, zaradi dlje časa trajajočih omejitvenih ukrepov pri svojem poslovanju prizadete precej bolj. Dlje časa kot je posamezna dejavnost prizadeta, večja je verjetnost </w:t>
            </w:r>
            <w:proofErr w:type="spellStart"/>
            <w:r>
              <w:t>realokacije</w:t>
            </w:r>
            <w:proofErr w:type="spellEnd"/>
            <w:r>
              <w:t xml:space="preserve"> zaposlenih od prizadetih dejavnosti k manj prizadetim, kjer je več možnosti za zaposlitev (</w:t>
            </w:r>
            <w:proofErr w:type="spellStart"/>
            <w:r>
              <w:t>Aaronson</w:t>
            </w:r>
            <w:proofErr w:type="spellEnd"/>
            <w:r>
              <w:t xml:space="preserve"> in drugi, 2021).</w:t>
            </w:r>
            <w:r>
              <w:rPr>
                <w:rStyle w:val="FootnoteReference"/>
              </w:rPr>
              <w:footnoteReference w:id="44"/>
            </w:r>
            <w:r>
              <w:t xml:space="preserve"> Takšna </w:t>
            </w:r>
            <w:proofErr w:type="spellStart"/>
            <w:r>
              <w:t>realokacija</w:t>
            </w:r>
            <w:proofErr w:type="spellEnd"/>
            <w:r>
              <w:t xml:space="preserve"> lahko vpliva tudi na izboljšanje agregatne produktivnosti, saj običajno proizvodni dejavniki prehajajo od manj produktivnih k bolj produktivnim dejavnostim.</w:t>
            </w:r>
          </w:p>
          <w:p w14:paraId="6C640137" w14:textId="77777777" w:rsidR="00E067D5" w:rsidRDefault="00E067D5" w:rsidP="00A6502A">
            <w:pPr>
              <w:pStyle w:val="BesediloNAPOVED"/>
            </w:pPr>
          </w:p>
          <w:p w14:paraId="1B05A7DA" w14:textId="6523DEC3" w:rsidR="00C57EB2" w:rsidRPr="00D27162" w:rsidRDefault="00E067D5" w:rsidP="00C57EB2">
            <w:pPr>
              <w:pStyle w:val="BesediloNAPOVED"/>
            </w:pPr>
            <w:r>
              <w:rPr>
                <w:rStyle w:val="VodilnistavekBoldpoudarekNAPOVED"/>
              </w:rPr>
              <w:t xml:space="preserve">Vpogled v obseg </w:t>
            </w:r>
            <w:proofErr w:type="spellStart"/>
            <w:r>
              <w:rPr>
                <w:rStyle w:val="VodilnistavekBoldpoudarekNAPOVED"/>
              </w:rPr>
              <w:t>realokacije</w:t>
            </w:r>
            <w:proofErr w:type="spellEnd"/>
            <w:r>
              <w:rPr>
                <w:rStyle w:val="VodilnistavekBoldpoudarekNAPOVED"/>
              </w:rPr>
              <w:t xml:space="preserve"> delovne sile omogoča analiza prehodov in tokov zaposlenih med dejavnostmi.</w:t>
            </w:r>
            <w:r w:rsidRPr="005400C9">
              <w:rPr>
                <w:rStyle w:val="VodilnistavekBoldpoudarekNAPOVED"/>
              </w:rPr>
              <w:t xml:space="preserve"> </w:t>
            </w:r>
            <w:r>
              <w:t>Po vzoru analize IMF (2021)</w:t>
            </w:r>
            <w:r>
              <w:rPr>
                <w:rStyle w:val="FootnoteReference"/>
              </w:rPr>
              <w:footnoteReference w:id="45"/>
            </w:r>
            <w:r>
              <w:t xml:space="preserve"> smo analizirali prehode zaposlenih iz ene dejavnosti v drugo na podlagi anketnih </w:t>
            </w:r>
            <w:r w:rsidR="00B07640">
              <w:t xml:space="preserve">individualnih </w:t>
            </w:r>
            <w:r>
              <w:t>podatkov Raziskovanja o aktivnem in neaktivnem prebivalstvu (ANP) ter podatkov Statističnega registra delovno aktivnega prebivalstva (SRDAP). Anketni podatki omogočajo vpogled v tranzicije</w:t>
            </w:r>
            <w:r w:rsidR="00B07640">
              <w:t xml:space="preserve"> posameznika</w:t>
            </w:r>
            <w:r>
              <w:t xml:space="preserve"> v in iz zaposlitve, podatki SRDAP pa vpogled v agregatni obseg prehodov med dejavnostmi. Anketni podatki kažejo (</w:t>
            </w:r>
            <w:r w:rsidR="00396876">
              <w:fldChar w:fldCharType="begin"/>
            </w:r>
            <w:r w:rsidR="00396876">
              <w:instrText xml:space="preserve"> REF _Ref81044114 \h </w:instrText>
            </w:r>
            <w:r w:rsidR="00396876">
              <w:fldChar w:fldCharType="separate"/>
            </w:r>
            <w:r w:rsidR="00D224DD" w:rsidRPr="00C77B9A">
              <w:t xml:space="preserve">Slika </w:t>
            </w:r>
            <w:r w:rsidR="00D224DD">
              <w:rPr>
                <w:noProof/>
              </w:rPr>
              <w:t>30</w:t>
            </w:r>
            <w:r w:rsidR="00396876">
              <w:fldChar w:fldCharType="end"/>
            </w:r>
            <w:r>
              <w:t>), da se je verjetnost, da povprečen posamezni</w:t>
            </w:r>
            <w:r w:rsidR="006A4456">
              <w:t>k</w:t>
            </w:r>
            <w:r>
              <w:t xml:space="preserve"> preide iz brezposelnosti v zaposlitev v letu 2020 zmanjšala in bila podobna tisti iz obdobja 2009-2013, verjetnost za izgubo zaposlitve pa je bila </w:t>
            </w:r>
            <w:r w:rsidR="006A4456">
              <w:t>malo</w:t>
            </w:r>
            <w:r>
              <w:t xml:space="preserve"> večja, na kar so vplivali že omenjeni sprejeti interventni ukrepi za ohranjanje delovnih mest. Medtem se verjetnost menjave sektorja zaposlitve na agregatni ravni ni bistveno spremenila. Registrski podatki sicer kažejo (</w:t>
            </w:r>
            <w:r w:rsidR="006A4456">
              <w:fldChar w:fldCharType="begin"/>
            </w:r>
            <w:r w:rsidR="006A4456">
              <w:instrText xml:space="preserve"> REF _Ref81044217 \h </w:instrText>
            </w:r>
            <w:r w:rsidR="006A4456">
              <w:fldChar w:fldCharType="separate"/>
            </w:r>
            <w:r w:rsidR="00D224DD" w:rsidRPr="00C77B9A">
              <w:t xml:space="preserve">Slika </w:t>
            </w:r>
            <w:r w:rsidR="00D224DD">
              <w:rPr>
                <w:noProof/>
              </w:rPr>
              <w:t>31</w:t>
            </w:r>
            <w:r w:rsidR="006A4456">
              <w:fldChar w:fldCharType="end"/>
            </w:r>
            <w:r>
              <w:t>), da je do nekoliko več</w:t>
            </w:r>
            <w:r w:rsidR="006A4456">
              <w:t xml:space="preserve"> menjav zaposlitev</w:t>
            </w:r>
            <w:r>
              <w:t xml:space="preserve"> za kratek čas prišlo zgolj v gostinstvu in kulturnih, razvedrilnih in rekreacijskih dejavnostih, ki so jih omejevalni ukrepi najbolj prizdeli. </w:t>
            </w:r>
            <w:r w:rsidR="00C57EB2">
              <w:t xml:space="preserve">Opisana gibanja lahko pomenijo, da zaposleni in podjetja pričakujejo, da omejitve in nižja aktivnost, ki jih je prinesla </w:t>
            </w:r>
            <w:proofErr w:type="spellStart"/>
            <w:r w:rsidR="00C57EB2">
              <w:t>koronakriza</w:t>
            </w:r>
            <w:proofErr w:type="spellEnd"/>
            <w:r w:rsidR="00C57EB2">
              <w:t>, ne bodo dolgotrajne.</w:t>
            </w:r>
          </w:p>
          <w:p w14:paraId="130A5A84" w14:textId="7870D0C2" w:rsidR="00637604" w:rsidRPr="00C77B9A" w:rsidRDefault="00637604" w:rsidP="00637604">
            <w:pPr>
              <w:pStyle w:val="BesediloNAPOVED"/>
              <w:rPr>
                <w:bCs/>
              </w:rPr>
            </w:pPr>
          </w:p>
          <w:tbl>
            <w:tblPr>
              <w:tblStyle w:val="TableGrid"/>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8"/>
            </w:tblGrid>
            <w:tr w:rsidR="00637604" w:rsidRPr="00C77B9A" w14:paraId="2FBB5033" w14:textId="77777777" w:rsidTr="00A6502A">
              <w:tc>
                <w:tcPr>
                  <w:tcW w:w="4391" w:type="dxa"/>
                </w:tcPr>
                <w:p w14:paraId="0F3F2BB5" w14:textId="6A961B68" w:rsidR="00637604" w:rsidRPr="00C77B9A" w:rsidRDefault="00637604" w:rsidP="00637604">
                  <w:pPr>
                    <w:pStyle w:val="Caption"/>
                  </w:pPr>
                  <w:bookmarkStart w:id="42" w:name="_Ref81044114"/>
                  <w:r w:rsidRPr="00C77B9A">
                    <w:t xml:space="preserve">Slika </w:t>
                  </w:r>
                  <w:r w:rsidRPr="00C77B9A">
                    <w:fldChar w:fldCharType="begin"/>
                  </w:r>
                  <w:r w:rsidRPr="00C77B9A">
                    <w:instrText xml:space="preserve"> SEQ Slika \* ARABIC </w:instrText>
                  </w:r>
                  <w:r w:rsidRPr="00C77B9A">
                    <w:fldChar w:fldCharType="separate"/>
                  </w:r>
                  <w:r w:rsidR="00D224DD">
                    <w:t>30</w:t>
                  </w:r>
                  <w:r w:rsidRPr="00C77B9A">
                    <w:fldChar w:fldCharType="end"/>
                  </w:r>
                  <w:bookmarkEnd w:id="42"/>
                  <w:r w:rsidRPr="00C77B9A">
                    <w:t xml:space="preserve">: </w:t>
                  </w:r>
                  <w:r>
                    <w:t>Verjetnost, da posameznik dobi zaposlitev, ali jo izgubi, je bila v letu 2020 podobna tisti iz pretekle gospodarsko-finančne krize</w:t>
                  </w:r>
                </w:p>
                <w:p w14:paraId="057C899C" w14:textId="77777777" w:rsidR="00637604" w:rsidRDefault="00637604" w:rsidP="00637604">
                  <w:pPr>
                    <w:pStyle w:val="Caption"/>
                  </w:pPr>
                </w:p>
                <w:p w14:paraId="4BB5DA16" w14:textId="36DBA9B0" w:rsidR="00637604" w:rsidRPr="00C77B9A" w:rsidRDefault="00637604" w:rsidP="00637604">
                  <w:pPr>
                    <w:pStyle w:val="Caption"/>
                  </w:pPr>
                  <w:r w:rsidRPr="00637604">
                    <w:rPr>
                      <w:highlight w:val="yellow"/>
                    </w:rPr>
                    <w:drawing>
                      <wp:inline distT="0" distB="0" distL="0" distR="0" wp14:anchorId="24098E12" wp14:editId="1D9C06CF">
                        <wp:extent cx="2745648" cy="2242800"/>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5648" cy="2242800"/>
                                </a:xfrm>
                                <a:prstGeom prst="rect">
                                  <a:avLst/>
                                </a:prstGeom>
                                <a:noFill/>
                              </pic:spPr>
                            </pic:pic>
                          </a:graphicData>
                        </a:graphic>
                      </wp:inline>
                    </w:drawing>
                  </w:r>
                </w:p>
              </w:tc>
              <w:tc>
                <w:tcPr>
                  <w:tcW w:w="4385" w:type="dxa"/>
                </w:tcPr>
                <w:p w14:paraId="1A7C4E05" w14:textId="3459C723" w:rsidR="00637604" w:rsidRPr="00C77B9A" w:rsidRDefault="00637604" w:rsidP="00637604">
                  <w:pPr>
                    <w:pStyle w:val="Caption"/>
                  </w:pPr>
                  <w:bookmarkStart w:id="43" w:name="_Ref81044217"/>
                  <w:r w:rsidRPr="00C77B9A">
                    <w:t xml:space="preserve">Slika </w:t>
                  </w:r>
                  <w:r w:rsidRPr="00C77B9A">
                    <w:fldChar w:fldCharType="begin"/>
                  </w:r>
                  <w:r w:rsidRPr="00C77B9A">
                    <w:instrText xml:space="preserve"> SEQ Slika \* ARABIC </w:instrText>
                  </w:r>
                  <w:r w:rsidRPr="00C77B9A">
                    <w:fldChar w:fldCharType="separate"/>
                  </w:r>
                  <w:r w:rsidR="00D224DD">
                    <w:t>31</w:t>
                  </w:r>
                  <w:r w:rsidRPr="00C77B9A">
                    <w:fldChar w:fldCharType="end"/>
                  </w:r>
                  <w:bookmarkEnd w:id="43"/>
                  <w:r w:rsidRPr="00C77B9A">
                    <w:t xml:space="preserve">: </w:t>
                  </w:r>
                  <w:r>
                    <w:t>Delež zaposlenih, ki je menjal dejavnost zaposlitve, se je povečal zgolj za kratek čas v nekaterih dejavnostih</w:t>
                  </w:r>
                </w:p>
                <w:p w14:paraId="2DC9C8FE" w14:textId="27B9C717" w:rsidR="00637604" w:rsidRDefault="00637604" w:rsidP="00637604">
                  <w:pPr>
                    <w:pStyle w:val="Caption"/>
                  </w:pPr>
                </w:p>
                <w:p w14:paraId="1D178584" w14:textId="77777777" w:rsidR="00637604" w:rsidRPr="00637604" w:rsidRDefault="00637604" w:rsidP="00637604">
                  <w:pPr>
                    <w:pStyle w:val="BesediloNAPOVED"/>
                  </w:pPr>
                </w:p>
                <w:p w14:paraId="31309470" w14:textId="2691FAE1" w:rsidR="00637604" w:rsidRPr="00C77B9A" w:rsidRDefault="00637604" w:rsidP="00637604">
                  <w:pPr>
                    <w:pStyle w:val="Caption"/>
                  </w:pPr>
                  <w:r w:rsidRPr="00637604">
                    <w:rPr>
                      <w:highlight w:val="yellow"/>
                    </w:rPr>
                    <w:drawing>
                      <wp:inline distT="0" distB="0" distL="0" distR="0" wp14:anchorId="49525AA9" wp14:editId="776CE5D3">
                        <wp:extent cx="2745648" cy="2242800"/>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5648" cy="2242800"/>
                                </a:xfrm>
                                <a:prstGeom prst="rect">
                                  <a:avLst/>
                                </a:prstGeom>
                                <a:noFill/>
                              </pic:spPr>
                            </pic:pic>
                          </a:graphicData>
                        </a:graphic>
                      </wp:inline>
                    </w:drawing>
                  </w:r>
                </w:p>
              </w:tc>
            </w:tr>
          </w:tbl>
          <w:p w14:paraId="675889F9" w14:textId="77777777" w:rsidR="00E067D5" w:rsidRDefault="00E067D5" w:rsidP="00A6502A">
            <w:pPr>
              <w:pStyle w:val="BesediloNAPOVED"/>
              <w:keepNext/>
            </w:pPr>
          </w:p>
        </w:tc>
      </w:tr>
    </w:tbl>
    <w:p w14:paraId="086D8DF2" w14:textId="77777777" w:rsidR="00E067D5" w:rsidRPr="00095135" w:rsidRDefault="00E067D5" w:rsidP="00060547">
      <w:pPr>
        <w:pStyle w:val="VirNAPOVED"/>
        <w:rPr>
          <w:highlight w:val="yellow"/>
        </w:rPr>
      </w:pPr>
    </w:p>
    <w:p w14:paraId="69217870" w14:textId="40DCD11D" w:rsidR="003855CC" w:rsidRPr="00095135" w:rsidRDefault="002703ED" w:rsidP="003855CC">
      <w:pPr>
        <w:pStyle w:val="Heading2"/>
        <w:rPr>
          <w:highlight w:val="yellow"/>
        </w:rPr>
      </w:pPr>
      <w:bookmarkStart w:id="44" w:name="_Toc81050599"/>
      <w:bookmarkEnd w:id="41"/>
      <w:r w:rsidRPr="00095135">
        <w:rPr>
          <w:highlight w:val="yellow"/>
        </w:rPr>
        <w:lastRenderedPageBreak/>
        <w:t>Plače</w:t>
      </w:r>
      <w:bookmarkEnd w:id="44"/>
    </w:p>
    <w:p w14:paraId="62C2E345" w14:textId="204503F3" w:rsidR="00563EB0" w:rsidRDefault="00563EB0" w:rsidP="00563EB0">
      <w:pPr>
        <w:pStyle w:val="BesediloNAPOVED"/>
      </w:pPr>
      <w:bookmarkStart w:id="45" w:name="_Hlk51833762"/>
      <w:r w:rsidRPr="00A13B66">
        <w:rPr>
          <w:b/>
        </w:rPr>
        <w:t xml:space="preserve">Rast statistično izkazane povprečne bruto plače so v lanskem </w:t>
      </w:r>
      <w:r>
        <w:rPr>
          <w:b/>
        </w:rPr>
        <w:t xml:space="preserve">in letošnjem letu </w:t>
      </w:r>
      <w:r w:rsidRPr="00A13B66">
        <w:rPr>
          <w:b/>
        </w:rPr>
        <w:t>močno zaznamovali uveljavljeni interventni ukrepi za ohranjanje delovnih mest v povezavi z metodologijo izračuna plač in izplačila dodatkov</w:t>
      </w:r>
      <w:r>
        <w:rPr>
          <w:b/>
        </w:rPr>
        <w:t>,</w:t>
      </w:r>
      <w:r w:rsidRPr="00A13B66">
        <w:rPr>
          <w:b/>
        </w:rPr>
        <w:t xml:space="preserve"> povezanih z epidemijo. </w:t>
      </w:r>
      <w:r w:rsidRPr="00A13B66">
        <w:t>V razmerah epidemije in ukrepov za ohranjanje delovnih mest gibanje</w:t>
      </w:r>
      <w:r>
        <w:t xml:space="preserve"> mesečne</w:t>
      </w:r>
      <w:r w:rsidRPr="00A13B66">
        <w:t xml:space="preserve"> povprečne plače </w:t>
      </w:r>
      <w:r>
        <w:t>ni odražalo</w:t>
      </w:r>
      <w:r w:rsidRPr="00A13B66">
        <w:t xml:space="preserve"> gibanja dohodkov zaposlenih in osnove za prispevke za socialno varnost.</w:t>
      </w:r>
      <w:r w:rsidRPr="00A13B66">
        <w:rPr>
          <w:vertAlign w:val="superscript"/>
        </w:rPr>
        <w:footnoteReference w:id="46"/>
      </w:r>
      <w:r>
        <w:t xml:space="preserve"> </w:t>
      </w:r>
      <w:r w:rsidRPr="00A13B66">
        <w:t>Rast bruto plač je v preteklih letih postopoma naraščala</w:t>
      </w:r>
      <w:r>
        <w:t xml:space="preserve"> in bila še v</w:t>
      </w:r>
      <w:r w:rsidRPr="00A13B66">
        <w:t xml:space="preserve"> prvih dveh mesecih lani medletna visoka zaradi dviga minimalne plače, splošnega pomanjkanja delovne sile in dogovorov s sindikati javnega sektorja iz leta 2018</w:t>
      </w:r>
      <w:r>
        <w:t>. Na njeno gibanje od</w:t>
      </w:r>
      <w:r w:rsidRPr="00A13B66">
        <w:t xml:space="preserve"> marc</w:t>
      </w:r>
      <w:r>
        <w:t>a pa je</w:t>
      </w:r>
      <w:r w:rsidRPr="00A13B66">
        <w:t xml:space="preserve"> predvsem v zasebnem sektorju v glavnem vplival način izračunavanja plač v povezavi s sprejetimi interventnimi ukrepi za ohranjanje delovnih mest</w:t>
      </w:r>
      <w:r>
        <w:t>.</w:t>
      </w:r>
      <w:r w:rsidRPr="00A13B66">
        <w:t xml:space="preserve"> </w:t>
      </w:r>
      <w:r>
        <w:t>V</w:t>
      </w:r>
      <w:r w:rsidRPr="00A13B66">
        <w:t xml:space="preserve"> statistiko plač </w:t>
      </w:r>
      <w:r>
        <w:t xml:space="preserve">se namreč </w:t>
      </w:r>
      <w:r w:rsidRPr="00A13B66">
        <w:t>šteje zgolj del</w:t>
      </w:r>
      <w:r>
        <w:t xml:space="preserve"> plače</w:t>
      </w:r>
      <w:r w:rsidRPr="00A13B66">
        <w:t>, ki ga v svoje breme plača delodajalec, ne pa tudi del, ki ga sofinancira država.</w:t>
      </w:r>
      <w:r>
        <w:t xml:space="preserve"> </w:t>
      </w:r>
      <w:r w:rsidRPr="00A13B66">
        <w:t>Napotitev precejšnjega dela zaposlenih na začasno čakanje na delo in uporaba ukrepa delnega subvencioniranja polnega delovnega časa sta vplivali na zmanjšanje mase plač</w:t>
      </w:r>
      <w:r>
        <w:t>,</w:t>
      </w:r>
      <w:r w:rsidRPr="00A13B66">
        <w:t xml:space="preserve"> izplačanih v breme delodajalca, še bolj pa na zmanjšanje števila zaposlenih oseb, ki so prejele plačo (glej</w:t>
      </w:r>
      <w:r>
        <w:t xml:space="preserve"> </w:t>
      </w:r>
      <w:r>
        <w:fldChar w:fldCharType="begin"/>
      </w:r>
      <w:r>
        <w:instrText xml:space="preserve"> REF _Ref66695607 \h </w:instrText>
      </w:r>
      <w:r>
        <w:fldChar w:fldCharType="separate"/>
      </w:r>
      <w:proofErr w:type="spellStart"/>
      <w:r w:rsidR="00D224DD" w:rsidRPr="00D224DD">
        <w:rPr>
          <w:b/>
          <w:bCs/>
        </w:rPr>
        <w:t>Error</w:t>
      </w:r>
      <w:proofErr w:type="spellEnd"/>
      <w:r w:rsidR="00D224DD" w:rsidRPr="00D224DD">
        <w:rPr>
          <w:b/>
          <w:bCs/>
        </w:rPr>
        <w:t xml:space="preserve">! Reference </w:t>
      </w:r>
      <w:proofErr w:type="spellStart"/>
      <w:r w:rsidR="00D224DD" w:rsidRPr="00D224DD">
        <w:rPr>
          <w:b/>
          <w:bCs/>
        </w:rPr>
        <w:t>source</w:t>
      </w:r>
      <w:proofErr w:type="spellEnd"/>
      <w:r w:rsidR="00D224DD" w:rsidRPr="00D224DD">
        <w:rPr>
          <w:b/>
          <w:bCs/>
        </w:rPr>
        <w:t xml:space="preserve"> not </w:t>
      </w:r>
      <w:proofErr w:type="spellStart"/>
      <w:r w:rsidR="00D224DD" w:rsidRPr="00D224DD">
        <w:rPr>
          <w:b/>
          <w:bCs/>
        </w:rPr>
        <w:t>found</w:t>
      </w:r>
      <w:proofErr w:type="spellEnd"/>
      <w:r w:rsidR="00D224DD" w:rsidRPr="00D224DD">
        <w:rPr>
          <w:b/>
          <w:bCs/>
        </w:rPr>
        <w:t>.</w:t>
      </w:r>
      <w:r>
        <w:fldChar w:fldCharType="end"/>
      </w:r>
      <w:r>
        <w:t xml:space="preserve"> v Pomladanski napovedi 2021</w:t>
      </w:r>
      <w:r w:rsidRPr="00A13B66">
        <w:t>).</w:t>
      </w:r>
      <w:r w:rsidRPr="00A13B66">
        <w:rPr>
          <w:vertAlign w:val="superscript"/>
        </w:rPr>
        <w:footnoteReference w:id="47"/>
      </w:r>
      <w:r w:rsidRPr="00A13B66">
        <w:t xml:space="preserve"> Skupaj z izplačanimi dodatki za delo v kriznih razmerah</w:t>
      </w:r>
      <w:r w:rsidRPr="00A13B66">
        <w:rPr>
          <w:vertAlign w:val="superscript"/>
        </w:rPr>
        <w:footnoteReference w:id="48"/>
      </w:r>
      <w:r w:rsidRPr="00A13B66">
        <w:t xml:space="preserve"> je to kljub padcu gospodarske aktivnosti vplivalo na visoko rast bruto plače v povprečju </w:t>
      </w:r>
      <w:r>
        <w:t>lanskega leta</w:t>
      </w:r>
      <w:r w:rsidRPr="00A13B66">
        <w:t xml:space="preserve"> (5,8 %).</w:t>
      </w:r>
      <w:r>
        <w:t xml:space="preserve"> V prvi polovici letošnjega leta je medletna rast nadalje močno nihala. </w:t>
      </w:r>
      <w:r w:rsidRPr="00D05929">
        <w:t>V</w:t>
      </w:r>
      <w:r>
        <w:t xml:space="preserve"> zasebnem sektorju sta na rast poleg višje minimalne plače in pritiskov pomanjkanja delovne sile, vplivala predvsem učinek nizke osnove v enakih mesecih lani in dinamika vračanja zaposlenih oseb, ki so bile vključene v posamezni interventni ukrep, nazaj v zaposlitev. V javnem sektorju pa je na gibanje vplivala dinamika izplačil dodatkov. Junija je medletna rast bruto plače znašala 7,7 % in bila podobna v javnem (8,3 %) ter v zasebnem sektorju (7,5 %).</w:t>
      </w:r>
    </w:p>
    <w:p w14:paraId="1F121A10" w14:textId="77777777" w:rsidR="00563EB0" w:rsidRDefault="00563EB0" w:rsidP="00A13B66">
      <w:pPr>
        <w:pStyle w:val="BesediloNAPOVED"/>
        <w:rPr>
          <w:b/>
          <w:highlight w:val="yellow"/>
        </w:rPr>
      </w:pPr>
    </w:p>
    <w:p w14:paraId="5F78AC69" w14:textId="58DBDADA" w:rsidR="009E53B7" w:rsidRPr="00095135" w:rsidRDefault="009E53B7" w:rsidP="009E53B7">
      <w:pPr>
        <w:pStyle w:val="Caption"/>
        <w:rPr>
          <w:noProof w:val="0"/>
          <w:highlight w:val="yellow"/>
        </w:rPr>
      </w:pPr>
      <w:r w:rsidRPr="00095135">
        <w:rPr>
          <w:noProof w:val="0"/>
          <w:highlight w:val="yellow"/>
        </w:rPr>
        <w:t xml:space="preserve">Tabela </w:t>
      </w:r>
      <w:r w:rsidRPr="00095135">
        <w:rPr>
          <w:noProof w:val="0"/>
          <w:highlight w:val="yellow"/>
        </w:rPr>
        <w:fldChar w:fldCharType="begin"/>
      </w:r>
      <w:r w:rsidRPr="00095135">
        <w:rPr>
          <w:noProof w:val="0"/>
          <w:highlight w:val="yellow"/>
        </w:rPr>
        <w:instrText xml:space="preserve"> SEQ Tabela \* ARABIC </w:instrText>
      </w:r>
      <w:r w:rsidRPr="00095135">
        <w:rPr>
          <w:noProof w:val="0"/>
          <w:highlight w:val="yellow"/>
        </w:rPr>
        <w:fldChar w:fldCharType="separate"/>
      </w:r>
      <w:r w:rsidR="00D224DD">
        <w:rPr>
          <w:highlight w:val="yellow"/>
        </w:rPr>
        <w:t>5</w:t>
      </w:r>
      <w:r w:rsidRPr="00095135">
        <w:rPr>
          <w:noProof w:val="0"/>
          <w:highlight w:val="yellow"/>
        </w:rPr>
        <w:fldChar w:fldCharType="end"/>
      </w:r>
      <w:r w:rsidRPr="00095135">
        <w:rPr>
          <w:noProof w:val="0"/>
          <w:highlight w:val="yellow"/>
        </w:rPr>
        <w:t>: Napoved rasti povprečne bruto plače na zaposlenega</w:t>
      </w:r>
    </w:p>
    <w:tbl>
      <w:tblPr>
        <w:tblW w:w="5000" w:type="pct"/>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4"/>
        <w:gridCol w:w="798"/>
        <w:gridCol w:w="1059"/>
        <w:gridCol w:w="1121"/>
        <w:gridCol w:w="992"/>
        <w:gridCol w:w="1134"/>
        <w:gridCol w:w="1132"/>
      </w:tblGrid>
      <w:tr w:rsidR="00CE62FC" w:rsidRPr="00095135" w14:paraId="64D3C5C8" w14:textId="77777777" w:rsidTr="008E1A99">
        <w:trPr>
          <w:trHeight w:val="255"/>
          <w:jc w:val="center"/>
        </w:trPr>
        <w:tc>
          <w:tcPr>
            <w:tcW w:w="1562" w:type="pct"/>
            <w:vMerge w:val="restart"/>
            <w:vAlign w:val="center"/>
            <w:hideMark/>
          </w:tcPr>
          <w:p w14:paraId="337B2F0F" w14:textId="77777777" w:rsidR="00CE62FC" w:rsidRPr="00095135" w:rsidRDefault="00CE62FC" w:rsidP="00CE62FC">
            <w:pPr>
              <w:pStyle w:val="TabelalevistolpecglavaNAPOVED"/>
              <w:rPr>
                <w:highlight w:val="yellow"/>
              </w:rPr>
            </w:pPr>
            <w:r w:rsidRPr="00095135">
              <w:rPr>
                <w:highlight w:val="yellow"/>
              </w:rPr>
              <w:t xml:space="preserve">Stopnje rasti, </w:t>
            </w:r>
          </w:p>
          <w:p w14:paraId="17C9100B" w14:textId="77777777" w:rsidR="00CE62FC" w:rsidRPr="00095135" w:rsidRDefault="00CE62FC" w:rsidP="00CE62FC">
            <w:pPr>
              <w:pStyle w:val="TabelalevistolpecglavaNAPOVED"/>
              <w:rPr>
                <w:highlight w:val="yellow"/>
              </w:rPr>
            </w:pPr>
            <w:r w:rsidRPr="00095135">
              <w:rPr>
                <w:highlight w:val="yellow"/>
              </w:rPr>
              <w:t>v %</w:t>
            </w:r>
          </w:p>
        </w:tc>
        <w:tc>
          <w:tcPr>
            <w:tcW w:w="440" w:type="pct"/>
            <w:vMerge w:val="restart"/>
            <w:vAlign w:val="center"/>
            <w:hideMark/>
          </w:tcPr>
          <w:p w14:paraId="17793550" w14:textId="78DCA9BE" w:rsidR="00CE62FC" w:rsidRPr="00095135" w:rsidRDefault="00CE62FC" w:rsidP="00D076A2">
            <w:pPr>
              <w:pStyle w:val="TabelaglavaNAPOVED"/>
              <w:rPr>
                <w:highlight w:val="yellow"/>
              </w:rPr>
            </w:pPr>
            <w:r w:rsidRPr="00095135">
              <w:rPr>
                <w:rFonts w:cs="Arial"/>
                <w:color w:val="000000"/>
                <w:szCs w:val="16"/>
                <w:highlight w:val="yellow"/>
              </w:rPr>
              <w:t>2020</w:t>
            </w:r>
          </w:p>
        </w:tc>
        <w:tc>
          <w:tcPr>
            <w:tcW w:w="1202" w:type="pct"/>
            <w:gridSpan w:val="2"/>
            <w:vAlign w:val="center"/>
            <w:hideMark/>
          </w:tcPr>
          <w:p w14:paraId="1FFF0433" w14:textId="031A0BBD" w:rsidR="00CE62FC" w:rsidRPr="00095135" w:rsidRDefault="00CE62FC" w:rsidP="00CE62FC">
            <w:pPr>
              <w:pStyle w:val="TabelaglavaNAPOVED"/>
              <w:jc w:val="center"/>
              <w:rPr>
                <w:highlight w:val="yellow"/>
              </w:rPr>
            </w:pPr>
            <w:r w:rsidRPr="00095135">
              <w:rPr>
                <w:rFonts w:cs="Arial"/>
                <w:color w:val="000000"/>
                <w:szCs w:val="16"/>
                <w:highlight w:val="yellow"/>
              </w:rPr>
              <w:t>2021</w:t>
            </w:r>
          </w:p>
        </w:tc>
        <w:tc>
          <w:tcPr>
            <w:tcW w:w="1172" w:type="pct"/>
            <w:gridSpan w:val="2"/>
            <w:vAlign w:val="center"/>
            <w:hideMark/>
          </w:tcPr>
          <w:p w14:paraId="1550CC9B" w14:textId="6F6EB5E0" w:rsidR="00CE62FC" w:rsidRPr="00095135" w:rsidRDefault="00CE62FC" w:rsidP="00CE62FC">
            <w:pPr>
              <w:pStyle w:val="TabelaglavaNAPOVED"/>
              <w:jc w:val="center"/>
              <w:rPr>
                <w:highlight w:val="yellow"/>
              </w:rPr>
            </w:pPr>
            <w:r w:rsidRPr="00095135">
              <w:rPr>
                <w:rFonts w:cs="Arial"/>
                <w:color w:val="000000"/>
                <w:szCs w:val="16"/>
                <w:highlight w:val="yellow"/>
              </w:rPr>
              <w:t>2022</w:t>
            </w:r>
          </w:p>
        </w:tc>
        <w:tc>
          <w:tcPr>
            <w:tcW w:w="624" w:type="pct"/>
            <w:vAlign w:val="center"/>
          </w:tcPr>
          <w:p w14:paraId="57C61300" w14:textId="294907B4" w:rsidR="00CE62FC" w:rsidRPr="00095135" w:rsidRDefault="00CE62FC" w:rsidP="00D076A2">
            <w:pPr>
              <w:pStyle w:val="TabelaglavaNAPOVED"/>
              <w:rPr>
                <w:highlight w:val="yellow"/>
              </w:rPr>
            </w:pPr>
            <w:r w:rsidRPr="00095135">
              <w:rPr>
                <w:rFonts w:cs="Arial"/>
                <w:color w:val="000000"/>
                <w:szCs w:val="16"/>
                <w:highlight w:val="yellow"/>
              </w:rPr>
              <w:t>2023</w:t>
            </w:r>
          </w:p>
        </w:tc>
      </w:tr>
      <w:tr w:rsidR="00CE62FC" w:rsidRPr="00095135" w14:paraId="5D9EB24B" w14:textId="77777777" w:rsidTr="003840E0">
        <w:trPr>
          <w:trHeight w:val="255"/>
          <w:jc w:val="center"/>
        </w:trPr>
        <w:tc>
          <w:tcPr>
            <w:tcW w:w="1562" w:type="pct"/>
            <w:vMerge/>
            <w:hideMark/>
          </w:tcPr>
          <w:p w14:paraId="2B57813E" w14:textId="77777777" w:rsidR="00CE62FC" w:rsidRPr="00095135" w:rsidRDefault="00CE62FC" w:rsidP="00CE62FC">
            <w:pPr>
              <w:pStyle w:val="BesediloNAPOVED"/>
              <w:rPr>
                <w:bCs/>
                <w:highlight w:val="yellow"/>
              </w:rPr>
            </w:pPr>
          </w:p>
        </w:tc>
        <w:tc>
          <w:tcPr>
            <w:tcW w:w="440" w:type="pct"/>
            <w:vMerge/>
            <w:vAlign w:val="center"/>
            <w:hideMark/>
          </w:tcPr>
          <w:p w14:paraId="5705FD77" w14:textId="77777777" w:rsidR="00CE62FC" w:rsidRPr="00095135" w:rsidRDefault="00CE62FC" w:rsidP="00CE62FC">
            <w:pPr>
              <w:pStyle w:val="TabelaglavaNAPOVED"/>
              <w:jc w:val="center"/>
              <w:rPr>
                <w:highlight w:val="yellow"/>
              </w:rPr>
            </w:pPr>
          </w:p>
        </w:tc>
        <w:tc>
          <w:tcPr>
            <w:tcW w:w="584" w:type="pct"/>
            <w:tcBorders>
              <w:bottom w:val="single" w:sz="4" w:space="0" w:color="000000"/>
            </w:tcBorders>
            <w:vAlign w:val="center"/>
            <w:hideMark/>
          </w:tcPr>
          <w:p w14:paraId="1BD9A52F" w14:textId="339C55A6" w:rsidR="00CE62FC" w:rsidRPr="00095135" w:rsidRDefault="00CE62FC" w:rsidP="00D076A2">
            <w:pPr>
              <w:pStyle w:val="TabelaglavaNAPOVED"/>
              <w:rPr>
                <w:highlight w:val="yellow"/>
              </w:rPr>
            </w:pPr>
            <w:r w:rsidRPr="00095135">
              <w:rPr>
                <w:rFonts w:eastAsia="Calibri" w:cs="Arial"/>
                <w:szCs w:val="16"/>
                <w:highlight w:val="yellow"/>
              </w:rPr>
              <w:t>december 2020</w:t>
            </w:r>
          </w:p>
        </w:tc>
        <w:tc>
          <w:tcPr>
            <w:tcW w:w="618" w:type="pct"/>
            <w:shd w:val="clear" w:color="auto" w:fill="E9E9E9" w:themeFill="accent3" w:themeFillTint="33"/>
            <w:vAlign w:val="center"/>
          </w:tcPr>
          <w:p w14:paraId="07A2C595" w14:textId="6BA95A35" w:rsidR="00CE62FC" w:rsidRPr="00095135" w:rsidRDefault="00CE62FC" w:rsidP="00D076A2">
            <w:pPr>
              <w:pStyle w:val="TabelaglavaNAPOVED"/>
              <w:rPr>
                <w:color w:val="9E001A" w:themeColor="accent1"/>
                <w:highlight w:val="yellow"/>
              </w:rPr>
            </w:pPr>
            <w:r w:rsidRPr="00095135">
              <w:rPr>
                <w:rFonts w:eastAsia="Calibri" w:cs="Arial"/>
                <w:color w:val="9E001A"/>
                <w:szCs w:val="16"/>
                <w:highlight w:val="yellow"/>
              </w:rPr>
              <w:t>marec                2021</w:t>
            </w:r>
          </w:p>
        </w:tc>
        <w:tc>
          <w:tcPr>
            <w:tcW w:w="547" w:type="pct"/>
            <w:tcBorders>
              <w:bottom w:val="single" w:sz="4" w:space="0" w:color="000000"/>
            </w:tcBorders>
            <w:vAlign w:val="center"/>
          </w:tcPr>
          <w:p w14:paraId="0A829FE0" w14:textId="412C0539" w:rsidR="00CE62FC" w:rsidRPr="00095135" w:rsidRDefault="00CE62FC" w:rsidP="00D076A2">
            <w:pPr>
              <w:pStyle w:val="TabelaglavaNAPOVED"/>
              <w:rPr>
                <w:highlight w:val="yellow"/>
              </w:rPr>
            </w:pPr>
            <w:r w:rsidRPr="00095135">
              <w:rPr>
                <w:rFonts w:eastAsia="Calibri" w:cs="Arial"/>
                <w:szCs w:val="16"/>
                <w:highlight w:val="yellow"/>
              </w:rPr>
              <w:t>december 2020</w:t>
            </w:r>
          </w:p>
        </w:tc>
        <w:tc>
          <w:tcPr>
            <w:tcW w:w="625" w:type="pct"/>
            <w:shd w:val="clear" w:color="auto" w:fill="E9E9E9" w:themeFill="accent3" w:themeFillTint="33"/>
            <w:vAlign w:val="center"/>
          </w:tcPr>
          <w:p w14:paraId="503C176F" w14:textId="02EC4576" w:rsidR="00CE62FC" w:rsidRPr="00095135" w:rsidRDefault="00CE62FC" w:rsidP="00D076A2">
            <w:pPr>
              <w:pStyle w:val="TabelaglavaNAPOVED"/>
              <w:rPr>
                <w:color w:val="9E001A" w:themeColor="accent1"/>
                <w:highlight w:val="yellow"/>
              </w:rPr>
            </w:pPr>
            <w:r w:rsidRPr="00095135">
              <w:rPr>
                <w:rFonts w:eastAsia="Calibri" w:cs="Arial"/>
                <w:color w:val="9E001A"/>
                <w:szCs w:val="16"/>
                <w:highlight w:val="yellow"/>
              </w:rPr>
              <w:t>marec       2021</w:t>
            </w:r>
          </w:p>
        </w:tc>
        <w:tc>
          <w:tcPr>
            <w:tcW w:w="624" w:type="pct"/>
            <w:tcBorders>
              <w:bottom w:val="single" w:sz="4" w:space="0" w:color="000000"/>
            </w:tcBorders>
            <w:shd w:val="clear" w:color="auto" w:fill="E9E9E9" w:themeFill="accent3" w:themeFillTint="33"/>
            <w:vAlign w:val="center"/>
          </w:tcPr>
          <w:p w14:paraId="2C5BECF8" w14:textId="2C56B1D4" w:rsidR="00CE62FC" w:rsidRPr="00095135" w:rsidRDefault="00CE62FC" w:rsidP="00D076A2">
            <w:pPr>
              <w:pStyle w:val="TabelaglavaNAPOVED"/>
              <w:rPr>
                <w:color w:val="9E001A" w:themeColor="accent1"/>
                <w:highlight w:val="yellow"/>
              </w:rPr>
            </w:pPr>
            <w:r w:rsidRPr="00095135">
              <w:rPr>
                <w:rFonts w:eastAsia="Calibri" w:cs="Arial"/>
                <w:color w:val="9E001A"/>
                <w:szCs w:val="16"/>
                <w:highlight w:val="yellow"/>
              </w:rPr>
              <w:t>marec                  2021</w:t>
            </w:r>
          </w:p>
        </w:tc>
      </w:tr>
      <w:tr w:rsidR="003840E0" w:rsidRPr="00095135" w14:paraId="19DEC2AE" w14:textId="77777777" w:rsidTr="003840E0">
        <w:trPr>
          <w:trHeight w:val="255"/>
          <w:jc w:val="center"/>
        </w:trPr>
        <w:tc>
          <w:tcPr>
            <w:tcW w:w="1562" w:type="pct"/>
            <w:vAlign w:val="center"/>
            <w:hideMark/>
          </w:tcPr>
          <w:p w14:paraId="2C2ADD09" w14:textId="6A109B5B" w:rsidR="003840E0" w:rsidRPr="00095135" w:rsidRDefault="003840E0" w:rsidP="003840E0">
            <w:pPr>
              <w:pStyle w:val="TabelalevistolpecNAPOVED"/>
              <w:rPr>
                <w:highlight w:val="yellow"/>
              </w:rPr>
            </w:pPr>
            <w:r w:rsidRPr="00095135">
              <w:rPr>
                <w:highlight w:val="yellow"/>
              </w:rPr>
              <w:t xml:space="preserve"> Bruto plača na zaposlenega -nominalno*</w:t>
            </w:r>
          </w:p>
        </w:tc>
        <w:tc>
          <w:tcPr>
            <w:tcW w:w="440" w:type="pct"/>
            <w:vAlign w:val="center"/>
          </w:tcPr>
          <w:p w14:paraId="036E6A6E" w14:textId="66F6AE3C" w:rsidR="003840E0" w:rsidRPr="00095135" w:rsidRDefault="003840E0" w:rsidP="003840E0">
            <w:pPr>
              <w:pStyle w:val="TabelaNAPOVED"/>
              <w:rPr>
                <w:highlight w:val="yellow"/>
              </w:rPr>
            </w:pPr>
            <w:r w:rsidRPr="00095135">
              <w:rPr>
                <w:rFonts w:cs="Arial"/>
                <w:color w:val="000000"/>
                <w:szCs w:val="16"/>
                <w:highlight w:val="yellow"/>
              </w:rPr>
              <w:t>5,8</w:t>
            </w:r>
          </w:p>
        </w:tc>
        <w:tc>
          <w:tcPr>
            <w:tcW w:w="584" w:type="pct"/>
            <w:shd w:val="clear" w:color="auto" w:fill="auto"/>
            <w:vAlign w:val="center"/>
          </w:tcPr>
          <w:p w14:paraId="3DF5AE5D" w14:textId="7A1FC0FE" w:rsidR="003840E0" w:rsidRPr="00095135" w:rsidRDefault="003840E0" w:rsidP="003840E0">
            <w:pPr>
              <w:pStyle w:val="TabelaNAPOVED"/>
              <w:rPr>
                <w:highlight w:val="yellow"/>
              </w:rPr>
            </w:pPr>
            <w:r w:rsidRPr="00095135">
              <w:rPr>
                <w:rFonts w:cs="Arial"/>
                <w:color w:val="000000"/>
                <w:szCs w:val="16"/>
                <w:highlight w:val="yellow"/>
              </w:rPr>
              <w:t>1,4</w:t>
            </w:r>
          </w:p>
        </w:tc>
        <w:tc>
          <w:tcPr>
            <w:tcW w:w="618" w:type="pct"/>
            <w:shd w:val="clear" w:color="auto" w:fill="E9E9E9" w:themeFill="accent3" w:themeFillTint="33"/>
            <w:vAlign w:val="center"/>
          </w:tcPr>
          <w:p w14:paraId="152F0CAA" w14:textId="24944BD3"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0,4</w:t>
            </w:r>
          </w:p>
        </w:tc>
        <w:tc>
          <w:tcPr>
            <w:tcW w:w="547" w:type="pct"/>
            <w:shd w:val="clear" w:color="auto" w:fill="auto"/>
            <w:vAlign w:val="center"/>
          </w:tcPr>
          <w:p w14:paraId="4905984B" w14:textId="3B725F21" w:rsidR="003840E0" w:rsidRPr="00095135" w:rsidRDefault="003840E0" w:rsidP="003840E0">
            <w:pPr>
              <w:pStyle w:val="TabelaNAPOVED"/>
              <w:rPr>
                <w:highlight w:val="yellow"/>
              </w:rPr>
            </w:pPr>
            <w:r w:rsidRPr="00095135">
              <w:rPr>
                <w:rFonts w:cs="Arial"/>
                <w:color w:val="000000"/>
                <w:szCs w:val="16"/>
                <w:highlight w:val="yellow"/>
              </w:rPr>
              <w:t>1,9</w:t>
            </w:r>
          </w:p>
        </w:tc>
        <w:tc>
          <w:tcPr>
            <w:tcW w:w="625" w:type="pct"/>
            <w:shd w:val="clear" w:color="auto" w:fill="E9E9E9" w:themeFill="accent3" w:themeFillTint="33"/>
            <w:vAlign w:val="center"/>
          </w:tcPr>
          <w:p w14:paraId="76B05A79" w14:textId="11D1D6E8"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2,1</w:t>
            </w:r>
          </w:p>
        </w:tc>
        <w:tc>
          <w:tcPr>
            <w:tcW w:w="624" w:type="pct"/>
            <w:shd w:val="clear" w:color="auto" w:fill="E9E9E9" w:themeFill="accent3" w:themeFillTint="33"/>
            <w:vAlign w:val="center"/>
          </w:tcPr>
          <w:p w14:paraId="668BBD01" w14:textId="1C8BA5BA"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2,7</w:t>
            </w:r>
          </w:p>
        </w:tc>
      </w:tr>
      <w:tr w:rsidR="003840E0" w:rsidRPr="00095135" w14:paraId="0C4C4165" w14:textId="77777777" w:rsidTr="003840E0">
        <w:trPr>
          <w:trHeight w:val="255"/>
          <w:jc w:val="center"/>
        </w:trPr>
        <w:tc>
          <w:tcPr>
            <w:tcW w:w="1562" w:type="pct"/>
            <w:vAlign w:val="center"/>
            <w:hideMark/>
          </w:tcPr>
          <w:p w14:paraId="11DF5598" w14:textId="77777777" w:rsidR="003840E0" w:rsidRPr="00095135" w:rsidRDefault="003840E0" w:rsidP="003840E0">
            <w:pPr>
              <w:pStyle w:val="TabelalevistolpecNAPOVED"/>
              <w:rPr>
                <w:highlight w:val="yellow"/>
              </w:rPr>
            </w:pPr>
            <w:r w:rsidRPr="00095135">
              <w:rPr>
                <w:highlight w:val="yellow"/>
              </w:rPr>
              <w:t xml:space="preserve">   - zasebni sektor</w:t>
            </w:r>
          </w:p>
        </w:tc>
        <w:tc>
          <w:tcPr>
            <w:tcW w:w="440" w:type="pct"/>
            <w:vAlign w:val="center"/>
          </w:tcPr>
          <w:p w14:paraId="3FE36D87" w14:textId="1B69F9AA" w:rsidR="003840E0" w:rsidRPr="00095135" w:rsidRDefault="003840E0" w:rsidP="003840E0">
            <w:pPr>
              <w:pStyle w:val="TabelaNAPOVED"/>
              <w:rPr>
                <w:highlight w:val="yellow"/>
              </w:rPr>
            </w:pPr>
            <w:r w:rsidRPr="00095135">
              <w:rPr>
                <w:rFonts w:cs="Arial"/>
                <w:color w:val="000000"/>
                <w:szCs w:val="16"/>
                <w:highlight w:val="yellow"/>
              </w:rPr>
              <w:t>4,4</w:t>
            </w:r>
          </w:p>
        </w:tc>
        <w:tc>
          <w:tcPr>
            <w:tcW w:w="584" w:type="pct"/>
            <w:shd w:val="clear" w:color="auto" w:fill="auto"/>
            <w:vAlign w:val="center"/>
          </w:tcPr>
          <w:p w14:paraId="12EDAE8F" w14:textId="2E8BB3DF" w:rsidR="003840E0" w:rsidRPr="00095135" w:rsidRDefault="003840E0" w:rsidP="003840E0">
            <w:pPr>
              <w:pStyle w:val="TabelaNAPOVED"/>
              <w:rPr>
                <w:highlight w:val="yellow"/>
              </w:rPr>
            </w:pPr>
            <w:r w:rsidRPr="00095135">
              <w:rPr>
                <w:rFonts w:cs="Arial"/>
                <w:color w:val="000000"/>
                <w:szCs w:val="16"/>
                <w:highlight w:val="yellow"/>
              </w:rPr>
              <w:t>1,5</w:t>
            </w:r>
          </w:p>
        </w:tc>
        <w:tc>
          <w:tcPr>
            <w:tcW w:w="618" w:type="pct"/>
            <w:shd w:val="clear" w:color="auto" w:fill="E9E9E9" w:themeFill="accent3" w:themeFillTint="33"/>
            <w:vAlign w:val="center"/>
          </w:tcPr>
          <w:p w14:paraId="434E679C" w14:textId="153298A3"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1,1</w:t>
            </w:r>
          </w:p>
        </w:tc>
        <w:tc>
          <w:tcPr>
            <w:tcW w:w="547" w:type="pct"/>
            <w:shd w:val="clear" w:color="auto" w:fill="auto"/>
            <w:vAlign w:val="center"/>
          </w:tcPr>
          <w:p w14:paraId="31E9A656" w14:textId="6312DBED" w:rsidR="003840E0" w:rsidRPr="00095135" w:rsidRDefault="003840E0" w:rsidP="003840E0">
            <w:pPr>
              <w:pStyle w:val="TabelaNAPOVED"/>
              <w:rPr>
                <w:highlight w:val="yellow"/>
              </w:rPr>
            </w:pPr>
            <w:r w:rsidRPr="00095135">
              <w:rPr>
                <w:rFonts w:cs="Arial"/>
                <w:color w:val="000000"/>
                <w:szCs w:val="16"/>
                <w:highlight w:val="yellow"/>
              </w:rPr>
              <w:t>2,2</w:t>
            </w:r>
          </w:p>
        </w:tc>
        <w:tc>
          <w:tcPr>
            <w:tcW w:w="625" w:type="pct"/>
            <w:shd w:val="clear" w:color="auto" w:fill="E9E9E9" w:themeFill="accent3" w:themeFillTint="33"/>
            <w:vAlign w:val="center"/>
          </w:tcPr>
          <w:p w14:paraId="6B9F02D6" w14:textId="45FECE7C"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2,4</w:t>
            </w:r>
          </w:p>
        </w:tc>
        <w:tc>
          <w:tcPr>
            <w:tcW w:w="624" w:type="pct"/>
            <w:shd w:val="clear" w:color="auto" w:fill="E9E9E9" w:themeFill="accent3" w:themeFillTint="33"/>
            <w:vAlign w:val="center"/>
          </w:tcPr>
          <w:p w14:paraId="4E3CC487" w14:textId="67668F5D"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2,8</w:t>
            </w:r>
          </w:p>
        </w:tc>
      </w:tr>
      <w:tr w:rsidR="003840E0" w:rsidRPr="00095135" w14:paraId="3B3DFF12" w14:textId="77777777" w:rsidTr="003840E0">
        <w:trPr>
          <w:trHeight w:val="255"/>
          <w:jc w:val="center"/>
        </w:trPr>
        <w:tc>
          <w:tcPr>
            <w:tcW w:w="1562" w:type="pct"/>
            <w:vAlign w:val="center"/>
            <w:hideMark/>
          </w:tcPr>
          <w:p w14:paraId="647564B4" w14:textId="77777777" w:rsidR="003840E0" w:rsidRPr="00095135" w:rsidRDefault="003840E0" w:rsidP="003840E0">
            <w:pPr>
              <w:pStyle w:val="TabelalevistolpecNAPOVED"/>
              <w:rPr>
                <w:highlight w:val="yellow"/>
              </w:rPr>
            </w:pPr>
            <w:r w:rsidRPr="00095135">
              <w:rPr>
                <w:highlight w:val="yellow"/>
              </w:rPr>
              <w:t xml:space="preserve">   - javni sektor</w:t>
            </w:r>
          </w:p>
        </w:tc>
        <w:tc>
          <w:tcPr>
            <w:tcW w:w="440" w:type="pct"/>
            <w:vAlign w:val="center"/>
          </w:tcPr>
          <w:p w14:paraId="06A54342" w14:textId="0A21C603" w:rsidR="003840E0" w:rsidRPr="00095135" w:rsidRDefault="003840E0" w:rsidP="003840E0">
            <w:pPr>
              <w:pStyle w:val="TabelaNAPOVED"/>
              <w:rPr>
                <w:highlight w:val="yellow"/>
              </w:rPr>
            </w:pPr>
            <w:r w:rsidRPr="00095135">
              <w:rPr>
                <w:rFonts w:cs="Arial"/>
                <w:color w:val="000000"/>
                <w:szCs w:val="16"/>
                <w:highlight w:val="yellow"/>
              </w:rPr>
              <w:t>7,8</w:t>
            </w:r>
          </w:p>
        </w:tc>
        <w:tc>
          <w:tcPr>
            <w:tcW w:w="584" w:type="pct"/>
            <w:shd w:val="clear" w:color="auto" w:fill="auto"/>
            <w:vAlign w:val="center"/>
          </w:tcPr>
          <w:p w14:paraId="0D11E3BE" w14:textId="7E2088C9" w:rsidR="003840E0" w:rsidRPr="00095135" w:rsidRDefault="003840E0" w:rsidP="003840E0">
            <w:pPr>
              <w:pStyle w:val="TabelaNAPOVED"/>
              <w:rPr>
                <w:highlight w:val="yellow"/>
              </w:rPr>
            </w:pPr>
            <w:r w:rsidRPr="00095135">
              <w:rPr>
                <w:rFonts w:cs="Arial"/>
                <w:color w:val="000000"/>
                <w:szCs w:val="16"/>
                <w:highlight w:val="yellow"/>
              </w:rPr>
              <w:t>1,4</w:t>
            </w:r>
          </w:p>
        </w:tc>
        <w:tc>
          <w:tcPr>
            <w:tcW w:w="618" w:type="pct"/>
            <w:shd w:val="clear" w:color="auto" w:fill="E9E9E9" w:themeFill="accent3" w:themeFillTint="33"/>
            <w:vAlign w:val="center"/>
          </w:tcPr>
          <w:p w14:paraId="025A9C4F" w14:textId="65F8B41B"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-0,4</w:t>
            </w:r>
          </w:p>
        </w:tc>
        <w:tc>
          <w:tcPr>
            <w:tcW w:w="547" w:type="pct"/>
            <w:shd w:val="clear" w:color="auto" w:fill="auto"/>
            <w:vAlign w:val="center"/>
          </w:tcPr>
          <w:p w14:paraId="692B4396" w14:textId="711615EC" w:rsidR="003840E0" w:rsidRPr="00095135" w:rsidRDefault="003840E0" w:rsidP="003840E0">
            <w:pPr>
              <w:pStyle w:val="TabelaNAPOVED"/>
              <w:rPr>
                <w:highlight w:val="yellow"/>
              </w:rPr>
            </w:pPr>
            <w:r w:rsidRPr="00095135">
              <w:rPr>
                <w:rFonts w:cs="Arial"/>
                <w:color w:val="000000"/>
                <w:szCs w:val="16"/>
                <w:highlight w:val="yellow"/>
              </w:rPr>
              <w:t>1,5</w:t>
            </w:r>
          </w:p>
        </w:tc>
        <w:tc>
          <w:tcPr>
            <w:tcW w:w="625" w:type="pct"/>
            <w:shd w:val="clear" w:color="auto" w:fill="E9E9E9" w:themeFill="accent3" w:themeFillTint="33"/>
            <w:vAlign w:val="center"/>
          </w:tcPr>
          <w:p w14:paraId="3BCCB6E0" w14:textId="6C25F1D5"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1,9</w:t>
            </w:r>
          </w:p>
        </w:tc>
        <w:tc>
          <w:tcPr>
            <w:tcW w:w="624" w:type="pct"/>
            <w:shd w:val="clear" w:color="auto" w:fill="E9E9E9" w:themeFill="accent3" w:themeFillTint="33"/>
            <w:vAlign w:val="center"/>
          </w:tcPr>
          <w:p w14:paraId="379070A3" w14:textId="5DF46191"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2,5</w:t>
            </w:r>
          </w:p>
        </w:tc>
      </w:tr>
      <w:tr w:rsidR="003840E0" w:rsidRPr="00095135" w14:paraId="3D290099" w14:textId="77777777" w:rsidTr="003840E0">
        <w:trPr>
          <w:trHeight w:val="255"/>
          <w:jc w:val="center"/>
        </w:trPr>
        <w:tc>
          <w:tcPr>
            <w:tcW w:w="1562" w:type="pct"/>
            <w:vAlign w:val="center"/>
            <w:hideMark/>
          </w:tcPr>
          <w:p w14:paraId="546F37EB" w14:textId="75EEB0BD" w:rsidR="003840E0" w:rsidRPr="00095135" w:rsidRDefault="003840E0" w:rsidP="003840E0">
            <w:pPr>
              <w:pStyle w:val="TabelalevistolpecNAPOVED"/>
              <w:rPr>
                <w:highlight w:val="yellow"/>
              </w:rPr>
            </w:pPr>
            <w:r w:rsidRPr="00095135">
              <w:rPr>
                <w:highlight w:val="yellow"/>
              </w:rPr>
              <w:t xml:space="preserve"> Bruto plača na zaposlenega </w:t>
            </w:r>
            <w:r w:rsidR="00B92552" w:rsidRPr="00095135">
              <w:rPr>
                <w:highlight w:val="yellow"/>
              </w:rPr>
              <w:t>–</w:t>
            </w:r>
            <w:r w:rsidRPr="00095135">
              <w:rPr>
                <w:highlight w:val="yellow"/>
              </w:rPr>
              <w:t xml:space="preserve"> realno</w:t>
            </w:r>
            <w:r w:rsidR="00B92552" w:rsidRPr="00095135">
              <w:rPr>
                <w:highlight w:val="yellow"/>
              </w:rPr>
              <w:t>*</w:t>
            </w:r>
          </w:p>
        </w:tc>
        <w:tc>
          <w:tcPr>
            <w:tcW w:w="440" w:type="pct"/>
            <w:vAlign w:val="center"/>
          </w:tcPr>
          <w:p w14:paraId="49C11F2B" w14:textId="2CD9F070" w:rsidR="003840E0" w:rsidRPr="00095135" w:rsidRDefault="003840E0" w:rsidP="003840E0">
            <w:pPr>
              <w:pStyle w:val="TabelaNAPOVED"/>
              <w:rPr>
                <w:bCs/>
                <w:highlight w:val="yellow"/>
              </w:rPr>
            </w:pPr>
            <w:r w:rsidRPr="00095135">
              <w:rPr>
                <w:rFonts w:cs="Arial"/>
                <w:color w:val="000000"/>
                <w:szCs w:val="16"/>
                <w:highlight w:val="yellow"/>
              </w:rPr>
              <w:t>5,9</w:t>
            </w:r>
          </w:p>
        </w:tc>
        <w:tc>
          <w:tcPr>
            <w:tcW w:w="584" w:type="pct"/>
            <w:shd w:val="clear" w:color="auto" w:fill="auto"/>
            <w:vAlign w:val="center"/>
          </w:tcPr>
          <w:p w14:paraId="10D58493" w14:textId="081ECF25" w:rsidR="003840E0" w:rsidRPr="00095135" w:rsidRDefault="003840E0" w:rsidP="003840E0">
            <w:pPr>
              <w:pStyle w:val="TabelaNAPOVED"/>
              <w:rPr>
                <w:highlight w:val="yellow"/>
              </w:rPr>
            </w:pPr>
            <w:r w:rsidRPr="00095135">
              <w:rPr>
                <w:rFonts w:cs="Arial"/>
                <w:color w:val="000000"/>
                <w:szCs w:val="16"/>
                <w:highlight w:val="yellow"/>
              </w:rPr>
              <w:t>0,7</w:t>
            </w:r>
          </w:p>
        </w:tc>
        <w:tc>
          <w:tcPr>
            <w:tcW w:w="618" w:type="pct"/>
            <w:shd w:val="clear" w:color="auto" w:fill="E9E9E9" w:themeFill="accent3" w:themeFillTint="33"/>
            <w:vAlign w:val="center"/>
          </w:tcPr>
          <w:p w14:paraId="6A4BA79C" w14:textId="35A65A71"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-0,4</w:t>
            </w:r>
          </w:p>
        </w:tc>
        <w:tc>
          <w:tcPr>
            <w:tcW w:w="547" w:type="pct"/>
            <w:shd w:val="clear" w:color="auto" w:fill="auto"/>
            <w:vAlign w:val="center"/>
          </w:tcPr>
          <w:p w14:paraId="7369EBF4" w14:textId="74AE664B" w:rsidR="003840E0" w:rsidRPr="00095135" w:rsidRDefault="003840E0" w:rsidP="003840E0">
            <w:pPr>
              <w:pStyle w:val="TabelaNAPOVED"/>
              <w:rPr>
                <w:highlight w:val="yellow"/>
              </w:rPr>
            </w:pPr>
            <w:r w:rsidRPr="00095135">
              <w:rPr>
                <w:rFonts w:cs="Arial"/>
                <w:color w:val="000000"/>
                <w:szCs w:val="16"/>
                <w:highlight w:val="yellow"/>
              </w:rPr>
              <w:t>0,0</w:t>
            </w:r>
          </w:p>
        </w:tc>
        <w:tc>
          <w:tcPr>
            <w:tcW w:w="625" w:type="pct"/>
            <w:shd w:val="clear" w:color="auto" w:fill="E9E9E9" w:themeFill="accent3" w:themeFillTint="33"/>
            <w:vAlign w:val="center"/>
          </w:tcPr>
          <w:p w14:paraId="418DD924" w14:textId="02CC1CD3"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0,9</w:t>
            </w:r>
          </w:p>
        </w:tc>
        <w:tc>
          <w:tcPr>
            <w:tcW w:w="624" w:type="pct"/>
            <w:shd w:val="clear" w:color="auto" w:fill="E9E9E9" w:themeFill="accent3" w:themeFillTint="33"/>
            <w:vAlign w:val="center"/>
          </w:tcPr>
          <w:p w14:paraId="79D00A53" w14:textId="53937D31"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1,1</w:t>
            </w:r>
          </w:p>
        </w:tc>
      </w:tr>
      <w:tr w:rsidR="003840E0" w:rsidRPr="00095135" w14:paraId="69641D4E" w14:textId="77777777" w:rsidTr="003840E0">
        <w:trPr>
          <w:trHeight w:val="255"/>
          <w:jc w:val="center"/>
        </w:trPr>
        <w:tc>
          <w:tcPr>
            <w:tcW w:w="1562" w:type="pct"/>
            <w:vAlign w:val="center"/>
            <w:hideMark/>
          </w:tcPr>
          <w:p w14:paraId="6908BD87" w14:textId="77777777" w:rsidR="003840E0" w:rsidRPr="00095135" w:rsidRDefault="003840E0" w:rsidP="003840E0">
            <w:pPr>
              <w:pStyle w:val="TabelalevistolpecNAPOVED"/>
              <w:rPr>
                <w:highlight w:val="yellow"/>
              </w:rPr>
            </w:pPr>
            <w:r w:rsidRPr="00095135">
              <w:rPr>
                <w:highlight w:val="yellow"/>
              </w:rPr>
              <w:t xml:space="preserve">   - zasebni sektor</w:t>
            </w:r>
          </w:p>
        </w:tc>
        <w:tc>
          <w:tcPr>
            <w:tcW w:w="440" w:type="pct"/>
            <w:vAlign w:val="center"/>
          </w:tcPr>
          <w:p w14:paraId="0F5BDCFB" w14:textId="34BDA3ED" w:rsidR="003840E0" w:rsidRPr="00095135" w:rsidRDefault="003840E0" w:rsidP="003840E0">
            <w:pPr>
              <w:pStyle w:val="TabelaNAPOVED"/>
              <w:rPr>
                <w:highlight w:val="yellow"/>
              </w:rPr>
            </w:pPr>
            <w:r w:rsidRPr="00095135">
              <w:rPr>
                <w:rFonts w:cs="Arial"/>
                <w:color w:val="000000"/>
                <w:szCs w:val="16"/>
                <w:highlight w:val="yellow"/>
              </w:rPr>
              <w:t>4,5</w:t>
            </w:r>
          </w:p>
        </w:tc>
        <w:tc>
          <w:tcPr>
            <w:tcW w:w="584" w:type="pct"/>
            <w:shd w:val="clear" w:color="auto" w:fill="auto"/>
            <w:vAlign w:val="center"/>
          </w:tcPr>
          <w:p w14:paraId="5239431A" w14:textId="2E03ACEF" w:rsidR="003840E0" w:rsidRPr="00095135" w:rsidRDefault="003840E0" w:rsidP="003840E0">
            <w:pPr>
              <w:pStyle w:val="TabelaNAPOVED"/>
              <w:rPr>
                <w:highlight w:val="yellow"/>
              </w:rPr>
            </w:pPr>
            <w:r w:rsidRPr="00095135">
              <w:rPr>
                <w:rFonts w:cs="Arial"/>
                <w:color w:val="000000"/>
                <w:szCs w:val="16"/>
                <w:highlight w:val="yellow"/>
              </w:rPr>
              <w:t>0,9</w:t>
            </w:r>
          </w:p>
        </w:tc>
        <w:tc>
          <w:tcPr>
            <w:tcW w:w="618" w:type="pct"/>
            <w:shd w:val="clear" w:color="auto" w:fill="E9E9E9" w:themeFill="accent3" w:themeFillTint="33"/>
            <w:vAlign w:val="center"/>
          </w:tcPr>
          <w:p w14:paraId="79D025F1" w14:textId="5DCBF200"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0,2</w:t>
            </w:r>
          </w:p>
        </w:tc>
        <w:tc>
          <w:tcPr>
            <w:tcW w:w="547" w:type="pct"/>
            <w:shd w:val="clear" w:color="auto" w:fill="auto"/>
            <w:vAlign w:val="center"/>
          </w:tcPr>
          <w:p w14:paraId="414C852A" w14:textId="1E234666" w:rsidR="003840E0" w:rsidRPr="00095135" w:rsidRDefault="003840E0" w:rsidP="003840E0">
            <w:pPr>
              <w:pStyle w:val="TabelaNAPOVED"/>
              <w:rPr>
                <w:highlight w:val="yellow"/>
              </w:rPr>
            </w:pPr>
            <w:r w:rsidRPr="00095135">
              <w:rPr>
                <w:rFonts w:cs="Arial"/>
                <w:color w:val="000000"/>
                <w:szCs w:val="16"/>
                <w:highlight w:val="yellow"/>
              </w:rPr>
              <w:t>0,3</w:t>
            </w:r>
          </w:p>
        </w:tc>
        <w:tc>
          <w:tcPr>
            <w:tcW w:w="625" w:type="pct"/>
            <w:shd w:val="clear" w:color="auto" w:fill="E9E9E9" w:themeFill="accent3" w:themeFillTint="33"/>
            <w:vAlign w:val="center"/>
          </w:tcPr>
          <w:p w14:paraId="2F9D646A" w14:textId="0A86AFE9"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1,2</w:t>
            </w:r>
          </w:p>
        </w:tc>
        <w:tc>
          <w:tcPr>
            <w:tcW w:w="624" w:type="pct"/>
            <w:shd w:val="clear" w:color="auto" w:fill="E9E9E9" w:themeFill="accent3" w:themeFillTint="33"/>
            <w:vAlign w:val="center"/>
          </w:tcPr>
          <w:p w14:paraId="44220D46" w14:textId="4EFE185E"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1,1</w:t>
            </w:r>
          </w:p>
        </w:tc>
      </w:tr>
      <w:tr w:rsidR="003840E0" w:rsidRPr="00095135" w14:paraId="3920B8D8" w14:textId="77777777" w:rsidTr="003840E0">
        <w:trPr>
          <w:trHeight w:val="255"/>
          <w:jc w:val="center"/>
        </w:trPr>
        <w:tc>
          <w:tcPr>
            <w:tcW w:w="1562" w:type="pct"/>
            <w:vAlign w:val="center"/>
            <w:hideMark/>
          </w:tcPr>
          <w:p w14:paraId="40C5223C" w14:textId="77777777" w:rsidR="003840E0" w:rsidRPr="00095135" w:rsidRDefault="003840E0" w:rsidP="003840E0">
            <w:pPr>
              <w:pStyle w:val="TabelalevistolpecNAPOVED"/>
              <w:rPr>
                <w:highlight w:val="yellow"/>
              </w:rPr>
            </w:pPr>
            <w:r w:rsidRPr="00095135">
              <w:rPr>
                <w:highlight w:val="yellow"/>
              </w:rPr>
              <w:t xml:space="preserve">   - javni sektor</w:t>
            </w:r>
          </w:p>
        </w:tc>
        <w:tc>
          <w:tcPr>
            <w:tcW w:w="440" w:type="pct"/>
            <w:vAlign w:val="center"/>
          </w:tcPr>
          <w:p w14:paraId="65BF3D06" w14:textId="7874E92A" w:rsidR="003840E0" w:rsidRPr="00095135" w:rsidRDefault="003840E0" w:rsidP="003840E0">
            <w:pPr>
              <w:pStyle w:val="TabelaNAPOVED"/>
              <w:rPr>
                <w:highlight w:val="yellow"/>
              </w:rPr>
            </w:pPr>
            <w:r w:rsidRPr="00095135">
              <w:rPr>
                <w:rFonts w:cs="Arial"/>
                <w:color w:val="000000"/>
                <w:szCs w:val="16"/>
                <w:highlight w:val="yellow"/>
              </w:rPr>
              <w:t>7,9</w:t>
            </w:r>
          </w:p>
        </w:tc>
        <w:tc>
          <w:tcPr>
            <w:tcW w:w="584" w:type="pct"/>
            <w:shd w:val="clear" w:color="auto" w:fill="auto"/>
            <w:vAlign w:val="center"/>
          </w:tcPr>
          <w:p w14:paraId="7494F83A" w14:textId="09DBE791" w:rsidR="003840E0" w:rsidRPr="00095135" w:rsidRDefault="003840E0" w:rsidP="003840E0">
            <w:pPr>
              <w:pStyle w:val="TabelaNAPOVED"/>
              <w:rPr>
                <w:highlight w:val="yellow"/>
              </w:rPr>
            </w:pPr>
            <w:r w:rsidRPr="00095135">
              <w:rPr>
                <w:rFonts w:cs="Arial"/>
                <w:color w:val="000000"/>
                <w:szCs w:val="16"/>
                <w:highlight w:val="yellow"/>
              </w:rPr>
              <w:t>0,8</w:t>
            </w:r>
          </w:p>
        </w:tc>
        <w:tc>
          <w:tcPr>
            <w:tcW w:w="618" w:type="pct"/>
            <w:shd w:val="clear" w:color="auto" w:fill="E9E9E9" w:themeFill="accent3" w:themeFillTint="33"/>
            <w:vAlign w:val="center"/>
          </w:tcPr>
          <w:p w14:paraId="1203BC3D" w14:textId="011975FE"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-1,2</w:t>
            </w:r>
          </w:p>
        </w:tc>
        <w:tc>
          <w:tcPr>
            <w:tcW w:w="547" w:type="pct"/>
            <w:shd w:val="clear" w:color="auto" w:fill="auto"/>
            <w:vAlign w:val="center"/>
          </w:tcPr>
          <w:p w14:paraId="34592AAE" w14:textId="7A295D11" w:rsidR="003840E0" w:rsidRPr="00095135" w:rsidRDefault="003840E0" w:rsidP="003840E0">
            <w:pPr>
              <w:pStyle w:val="TabelaNAPOVED"/>
              <w:rPr>
                <w:highlight w:val="yellow"/>
              </w:rPr>
            </w:pPr>
            <w:r w:rsidRPr="00095135">
              <w:rPr>
                <w:rFonts w:cs="Arial"/>
                <w:color w:val="000000"/>
                <w:szCs w:val="16"/>
                <w:highlight w:val="yellow"/>
              </w:rPr>
              <w:t>-0,4</w:t>
            </w:r>
          </w:p>
        </w:tc>
        <w:tc>
          <w:tcPr>
            <w:tcW w:w="625" w:type="pct"/>
            <w:shd w:val="clear" w:color="auto" w:fill="E9E9E9" w:themeFill="accent3" w:themeFillTint="33"/>
            <w:vAlign w:val="center"/>
          </w:tcPr>
          <w:p w14:paraId="5BC729BB" w14:textId="12032626" w:rsidR="003840E0" w:rsidRPr="00095135" w:rsidRDefault="003840E0" w:rsidP="003840E0">
            <w:pPr>
              <w:pStyle w:val="TabelaNAPOVED"/>
              <w:rPr>
                <w:b/>
                <w:color w:val="9E001A" w:themeColor="accent1"/>
                <w:highlight w:val="yellow"/>
              </w:rPr>
            </w:pPr>
            <w:r w:rsidRPr="00095135">
              <w:rPr>
                <w:rFonts w:eastAsia="Calibri" w:cs="Arial"/>
                <w:b/>
                <w:bCs/>
                <w:color w:val="9E001A"/>
                <w:szCs w:val="16"/>
                <w:highlight w:val="yellow"/>
              </w:rPr>
              <w:t>0,7</w:t>
            </w:r>
          </w:p>
        </w:tc>
        <w:tc>
          <w:tcPr>
            <w:tcW w:w="624" w:type="pct"/>
            <w:shd w:val="clear" w:color="auto" w:fill="E9E9E9" w:themeFill="accent3" w:themeFillTint="33"/>
            <w:vAlign w:val="center"/>
          </w:tcPr>
          <w:p w14:paraId="0298C095" w14:textId="7E61F648" w:rsidR="003840E0" w:rsidRPr="00095135" w:rsidRDefault="003840E0" w:rsidP="003840E0">
            <w:pPr>
              <w:pStyle w:val="TabelaNAPOVED"/>
              <w:rPr>
                <w:b/>
                <w:bCs/>
                <w:color w:val="9E001A" w:themeColor="accent1"/>
                <w:highlight w:val="yellow"/>
              </w:rPr>
            </w:pPr>
            <w:r w:rsidRPr="00095135">
              <w:rPr>
                <w:rFonts w:eastAsia="Calibri" w:cs="Arial"/>
                <w:b/>
                <w:bCs/>
                <w:color w:val="9E001A"/>
                <w:szCs w:val="16"/>
                <w:highlight w:val="yellow"/>
              </w:rPr>
              <w:t>0,8</w:t>
            </w:r>
          </w:p>
        </w:tc>
      </w:tr>
    </w:tbl>
    <w:p w14:paraId="37601076" w14:textId="14132F64" w:rsidR="009E53B7" w:rsidRPr="00095135" w:rsidRDefault="009E53B7" w:rsidP="009E53B7">
      <w:pPr>
        <w:pStyle w:val="VirNAPOVED"/>
        <w:rPr>
          <w:highlight w:val="yellow"/>
        </w:rPr>
      </w:pPr>
      <w:r w:rsidRPr="00095135">
        <w:rPr>
          <w:highlight w:val="yellow"/>
        </w:rPr>
        <w:t>Vir: SURS, 202</w:t>
      </w:r>
      <w:r w:rsidR="00BA44CF" w:rsidRPr="00095135">
        <w:rPr>
          <w:highlight w:val="yellow"/>
        </w:rPr>
        <w:t>1</w:t>
      </w:r>
      <w:r w:rsidRPr="00095135">
        <w:rPr>
          <w:highlight w:val="yellow"/>
        </w:rPr>
        <w:t>−202</w:t>
      </w:r>
      <w:r w:rsidR="00BA44CF" w:rsidRPr="00095135">
        <w:rPr>
          <w:highlight w:val="yellow"/>
        </w:rPr>
        <w:t>3</w:t>
      </w:r>
      <w:r w:rsidRPr="00095135">
        <w:rPr>
          <w:highlight w:val="yellow"/>
        </w:rPr>
        <w:t xml:space="preserve"> napoved UMAR. </w:t>
      </w:r>
    </w:p>
    <w:p w14:paraId="7B644F1D" w14:textId="3917283E" w:rsidR="009E53B7" w:rsidRPr="00095135" w:rsidRDefault="009E53B7" w:rsidP="009E53B7">
      <w:pPr>
        <w:pStyle w:val="VirNAPOVED"/>
        <w:rPr>
          <w:highlight w:val="yellow"/>
        </w:rPr>
      </w:pPr>
      <w:r w:rsidRPr="00095135">
        <w:rPr>
          <w:highlight w:val="yellow"/>
        </w:rPr>
        <w:t xml:space="preserve">Opomba: </w:t>
      </w:r>
      <w:r w:rsidR="00BA44CF" w:rsidRPr="00095135">
        <w:rPr>
          <w:highlight w:val="yellow"/>
        </w:rPr>
        <w:t>*</w:t>
      </w:r>
      <w:r w:rsidRPr="00095135">
        <w:rPr>
          <w:highlight w:val="yellow"/>
        </w:rPr>
        <w:t xml:space="preserve">V </w:t>
      </w:r>
      <w:r w:rsidR="002A3D33" w:rsidRPr="00095135">
        <w:rPr>
          <w:highlight w:val="yellow"/>
        </w:rPr>
        <w:t xml:space="preserve">Pomladanski napovedi 2021 in Zimski napovedi </w:t>
      </w:r>
      <w:r w:rsidRPr="00095135">
        <w:rPr>
          <w:highlight w:val="yellow"/>
        </w:rPr>
        <w:t>2020 smo upoštevali metodološko specifiko glede poročanja plač (</w:t>
      </w:r>
      <w:r w:rsidR="001D0961" w:rsidRPr="00095135">
        <w:rPr>
          <w:highlight w:val="yellow"/>
        </w:rPr>
        <w:t>brez</w:t>
      </w:r>
      <w:r w:rsidRPr="00095135">
        <w:rPr>
          <w:highlight w:val="yellow"/>
        </w:rPr>
        <w:t xml:space="preserve"> </w:t>
      </w:r>
      <w:r w:rsidR="00020FAD" w:rsidRPr="00095135">
        <w:rPr>
          <w:highlight w:val="yellow"/>
        </w:rPr>
        <w:t>vključenih</w:t>
      </w:r>
      <w:r w:rsidRPr="00095135">
        <w:rPr>
          <w:highlight w:val="yellow"/>
        </w:rPr>
        <w:t xml:space="preserve"> nadomestil države).</w:t>
      </w:r>
    </w:p>
    <w:p w14:paraId="68D4E092" w14:textId="540FC170" w:rsidR="009E53B7" w:rsidRDefault="009E53B7" w:rsidP="00FA494D">
      <w:pPr>
        <w:pStyle w:val="BesediloNAPOVED"/>
        <w:rPr>
          <w:bCs/>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0" w:type="dxa"/>
          <w:right w:w="70" w:type="dxa"/>
        </w:tblCellMar>
        <w:tblLook w:val="04A0" w:firstRow="1" w:lastRow="0" w:firstColumn="1" w:lastColumn="0" w:noHBand="0" w:noVBand="1"/>
      </w:tblPr>
      <w:tblGrid>
        <w:gridCol w:w="4530"/>
        <w:gridCol w:w="4530"/>
      </w:tblGrid>
      <w:tr w:rsidR="00F57E8A" w:rsidRPr="008976F0" w14:paraId="32BB0BC2" w14:textId="77777777" w:rsidTr="00A6502A">
        <w:tc>
          <w:tcPr>
            <w:tcW w:w="4530" w:type="dxa"/>
          </w:tcPr>
          <w:p w14:paraId="711DD0FA" w14:textId="0795DA2C" w:rsidR="00F57E8A" w:rsidRDefault="00F57E8A" w:rsidP="00A6502A">
            <w:pPr>
              <w:pStyle w:val="Caption"/>
            </w:pPr>
            <w:r w:rsidRPr="00C77B9A">
              <w:lastRenderedPageBreak/>
              <w:t xml:space="preserve">Slika </w:t>
            </w:r>
            <w:r w:rsidRPr="00C77B9A">
              <w:fldChar w:fldCharType="begin"/>
            </w:r>
            <w:r w:rsidRPr="00C77B9A">
              <w:instrText xml:space="preserve"> SEQ Slika \* ARABIC </w:instrText>
            </w:r>
            <w:r w:rsidRPr="00C77B9A">
              <w:fldChar w:fldCharType="separate"/>
            </w:r>
            <w:r w:rsidR="00D224DD">
              <w:t>32</w:t>
            </w:r>
            <w:r w:rsidRPr="00C77B9A">
              <w:fldChar w:fldCharType="end"/>
            </w:r>
            <w:r w:rsidRPr="00767446">
              <w:t xml:space="preserve">: </w:t>
            </w:r>
            <w:r w:rsidRPr="002D7106">
              <w:t>Intervent</w:t>
            </w:r>
            <w:r>
              <w:t>n</w:t>
            </w:r>
            <w:r w:rsidRPr="002D7106">
              <w:t>i ukrepi za ohranjanje delovnih mest so vplivali na rast statistično prikazane mase plač ter na število prejemnikov plač, kar je vplivalo na močno nihanje rasti povprečne plače</w:t>
            </w:r>
          </w:p>
          <w:p w14:paraId="1FE706A6" w14:textId="77777777" w:rsidR="00F57E8A" w:rsidRPr="001F641B" w:rsidRDefault="00F57E8A" w:rsidP="00A6502A">
            <w:pPr>
              <w:pStyle w:val="Caption"/>
            </w:pPr>
          </w:p>
          <w:p w14:paraId="7CF6E3A5" w14:textId="77777777" w:rsidR="00F57E8A" w:rsidRDefault="00F57E8A" w:rsidP="00A6502A">
            <w:pPr>
              <w:pStyle w:val="Caption"/>
            </w:pPr>
            <w:r w:rsidRPr="000064A0">
              <w:rPr>
                <w:highlight w:val="yellow"/>
              </w:rPr>
              <w:drawing>
                <wp:inline distT="0" distB="0" distL="0" distR="0" wp14:anchorId="4CBEF056" wp14:editId="5416EB6F">
                  <wp:extent cx="2745648" cy="2242800"/>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5648" cy="2242800"/>
                          </a:xfrm>
                          <a:prstGeom prst="rect">
                            <a:avLst/>
                          </a:prstGeom>
                          <a:noFill/>
                        </pic:spPr>
                      </pic:pic>
                    </a:graphicData>
                  </a:graphic>
                </wp:inline>
              </w:drawing>
            </w:r>
          </w:p>
          <w:p w14:paraId="26882CE0" w14:textId="77777777" w:rsidR="00F57E8A" w:rsidRPr="00F1665A" w:rsidRDefault="00F57E8A" w:rsidP="00A6502A">
            <w:pPr>
              <w:pStyle w:val="Caption"/>
            </w:pPr>
          </w:p>
        </w:tc>
        <w:tc>
          <w:tcPr>
            <w:tcW w:w="4530" w:type="dxa"/>
          </w:tcPr>
          <w:p w14:paraId="512E51A2" w14:textId="216311FC" w:rsidR="00F57E8A" w:rsidRDefault="00F57E8A" w:rsidP="00A6502A">
            <w:pPr>
              <w:pStyle w:val="Caption"/>
              <w:rPr>
                <w:noProof w:val="0"/>
              </w:rPr>
            </w:pPr>
            <w:r w:rsidRPr="00C77B9A">
              <w:t xml:space="preserve">Slika </w:t>
            </w:r>
            <w:r w:rsidRPr="00C77B9A">
              <w:fldChar w:fldCharType="begin"/>
            </w:r>
            <w:r w:rsidRPr="00C77B9A">
              <w:instrText xml:space="preserve"> SEQ Slika \* ARABIC </w:instrText>
            </w:r>
            <w:r w:rsidRPr="00C77B9A">
              <w:fldChar w:fldCharType="separate"/>
            </w:r>
            <w:r w:rsidR="00D224DD">
              <w:t>33</w:t>
            </w:r>
            <w:r w:rsidRPr="00C77B9A">
              <w:fldChar w:fldCharType="end"/>
            </w:r>
            <w:r w:rsidRPr="008B44CE">
              <w:rPr>
                <w:noProof w:val="0"/>
              </w:rPr>
              <w:t xml:space="preserve">: </w:t>
            </w:r>
            <w:r>
              <w:rPr>
                <w:noProof w:val="0"/>
              </w:rPr>
              <w:t>Število oseb, ki so bile vključene v interventne ukrepe, se je v zadnjih mesecih postopoma zmanjševalo</w:t>
            </w:r>
          </w:p>
          <w:p w14:paraId="78FE9FE5" w14:textId="77777777" w:rsidR="00F57E8A" w:rsidRDefault="00F57E8A" w:rsidP="00A6502A">
            <w:pPr>
              <w:pStyle w:val="BesediloNAPOVED"/>
            </w:pPr>
          </w:p>
          <w:p w14:paraId="5B49118C" w14:textId="77777777" w:rsidR="00F57E8A" w:rsidRDefault="00F57E8A" w:rsidP="00A6502A">
            <w:pPr>
              <w:pStyle w:val="BesediloNAPOVED"/>
            </w:pPr>
          </w:p>
          <w:p w14:paraId="1D32FD5B" w14:textId="77777777" w:rsidR="00F57E8A" w:rsidRPr="008976F0" w:rsidRDefault="00F57E8A" w:rsidP="00A6502A">
            <w:pPr>
              <w:pStyle w:val="BesediloNAPOVED"/>
            </w:pPr>
          </w:p>
          <w:p w14:paraId="482E4933" w14:textId="77777777" w:rsidR="00F57E8A" w:rsidRPr="008976F0" w:rsidRDefault="00F57E8A" w:rsidP="00A6502A">
            <w:pPr>
              <w:pStyle w:val="BesediloNAPOVED"/>
            </w:pPr>
            <w:r w:rsidRPr="000064A0">
              <w:rPr>
                <w:noProof/>
                <w:highlight w:val="yellow"/>
              </w:rPr>
              <w:drawing>
                <wp:inline distT="0" distB="0" distL="0" distR="0" wp14:anchorId="0E52D326" wp14:editId="1A7B19C5">
                  <wp:extent cx="2745648" cy="2242800"/>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5648" cy="2242800"/>
                          </a:xfrm>
                          <a:prstGeom prst="rect">
                            <a:avLst/>
                          </a:prstGeom>
                          <a:noFill/>
                        </pic:spPr>
                      </pic:pic>
                    </a:graphicData>
                  </a:graphic>
                </wp:inline>
              </w:drawing>
            </w:r>
          </w:p>
        </w:tc>
      </w:tr>
    </w:tbl>
    <w:p w14:paraId="7B7CD70D" w14:textId="7F53071A" w:rsidR="00F57E8A" w:rsidRDefault="00F57E8A" w:rsidP="00FA494D">
      <w:pPr>
        <w:pStyle w:val="BesediloNAPOVED"/>
        <w:rPr>
          <w:bCs/>
          <w:highlight w:val="yellow"/>
        </w:rPr>
      </w:pPr>
    </w:p>
    <w:p w14:paraId="2F447A8A" w14:textId="77777777" w:rsidR="00F57E8A" w:rsidRPr="00095135" w:rsidRDefault="00F57E8A" w:rsidP="00FA494D">
      <w:pPr>
        <w:pStyle w:val="BesediloNAPOVED"/>
        <w:rPr>
          <w:bCs/>
          <w:highlight w:val="yellow"/>
        </w:rPr>
      </w:pPr>
    </w:p>
    <w:p w14:paraId="6E37651F" w14:textId="1C2ACF50" w:rsidR="006405AA" w:rsidRPr="00095135" w:rsidRDefault="006405AA" w:rsidP="006405AA">
      <w:pPr>
        <w:pStyle w:val="BesediloNAPOVED"/>
        <w:rPr>
          <w:bCs/>
          <w:highlight w:val="yellow"/>
        </w:rPr>
      </w:pPr>
      <w:r w:rsidRPr="00095135">
        <w:rPr>
          <w:b/>
          <w:bCs/>
          <w:highlight w:val="yellow"/>
        </w:rPr>
        <w:t>Zaradi postopnega vračanja zaposlenih, vključenih v ukrepe na delo, in ob odsotnosti izplačevanja dodatkov, povezanih z epidemijo, pričakujemo, da se bo rast statistično prikazane povprečne bruto plače v letošnjem letu umirila, v naslednjih dveh letih pa z okrevanjem gospodarske aktivnosti postopoma okrepila.</w:t>
      </w:r>
      <w:r w:rsidRPr="00095135">
        <w:rPr>
          <w:bCs/>
          <w:highlight w:val="yellow"/>
        </w:rPr>
        <w:t xml:space="preserve"> S pričakovanim odpravljanjem zajezitvenih ukrepov in zmanjševanjem števila vključenih zaposlenih v interventne ukrepe za ohranjanje delovnih mest se bo</w:t>
      </w:r>
      <w:r w:rsidR="00B81369" w:rsidRPr="00095135">
        <w:rPr>
          <w:bCs/>
          <w:highlight w:val="yellow"/>
        </w:rPr>
        <w:t>sta</w:t>
      </w:r>
      <w:r w:rsidRPr="00095135">
        <w:rPr>
          <w:bCs/>
          <w:highlight w:val="yellow"/>
        </w:rPr>
        <w:t xml:space="preserve"> v prvi polovici leta zaradi metodološkega učinka v zasebnem sektorju povečala tako prikazana masa izplačanih plač kot število prejemnikov plač, kar bo rast povprečne plače ohranjalo zmerno, pri čemer bo vpliv zakonskega povišanje minimalne plače z začetka leta rahlo pozitiven.</w:t>
      </w:r>
      <w:r w:rsidRPr="00095135">
        <w:rPr>
          <w:bCs/>
          <w:highlight w:val="yellow"/>
          <w:vertAlign w:val="superscript"/>
        </w:rPr>
        <w:footnoteReference w:id="49"/>
      </w:r>
      <w:r w:rsidRPr="00095135">
        <w:rPr>
          <w:bCs/>
          <w:highlight w:val="yellow"/>
        </w:rPr>
        <w:t xml:space="preserve"> Na odsotnost pritiskov na skupno rast plač bo vplivalo tudi pričakovano manjše izplačevanje kriznih dodatkov v javnem sektorju. V prihodnjih dveh letih se bo rast plač skladno z gospodarskim okrevanjem in postopnim izboljševanjem razmer na trgu dela nekoliko okrepila.</w:t>
      </w:r>
    </w:p>
    <w:p w14:paraId="5E2F42C2" w14:textId="77777777" w:rsidR="006405AA" w:rsidRPr="00095135" w:rsidRDefault="006405AA" w:rsidP="006405AA">
      <w:pPr>
        <w:pStyle w:val="BesediloNAPOVED"/>
        <w:rPr>
          <w:bCs/>
          <w:highlight w:val="yellow"/>
        </w:rPr>
      </w:pPr>
    </w:p>
    <w:p w14:paraId="5620E6EA" w14:textId="44EA0391" w:rsidR="006405AA" w:rsidRPr="00095135" w:rsidRDefault="006405AA" w:rsidP="006405AA">
      <w:pPr>
        <w:pStyle w:val="BesediloNAPOVED"/>
        <w:rPr>
          <w:bCs/>
          <w:highlight w:val="yellow"/>
        </w:rPr>
      </w:pPr>
      <w:r w:rsidRPr="00095135">
        <w:rPr>
          <w:b/>
          <w:bCs/>
          <w:highlight w:val="yellow"/>
        </w:rPr>
        <w:t>Napoved bruto plač ob upoštevanju metodoloških specifičnosti temelji na nekaterih pomembnih predpostavkah.</w:t>
      </w:r>
      <w:r w:rsidRPr="00095135">
        <w:rPr>
          <w:bCs/>
          <w:highlight w:val="yellow"/>
        </w:rPr>
        <w:t xml:space="preserve"> Pri pripravi napovedi bruto plač za leto 2021 in 2022 je bilo z upoštevanjem metodoloških posebnosti (glej tudi</w:t>
      </w:r>
      <w:r w:rsidR="00817257" w:rsidRPr="00095135">
        <w:rPr>
          <w:bCs/>
          <w:highlight w:val="yellow"/>
        </w:rPr>
        <w:t xml:space="preserve"> </w:t>
      </w:r>
      <w:r w:rsidR="00817257" w:rsidRPr="00095135">
        <w:rPr>
          <w:bCs/>
          <w:highlight w:val="yellow"/>
        </w:rPr>
        <w:fldChar w:fldCharType="begin"/>
      </w:r>
      <w:r w:rsidR="00817257" w:rsidRPr="00095135">
        <w:rPr>
          <w:bCs/>
          <w:highlight w:val="yellow"/>
        </w:rPr>
        <w:instrText xml:space="preserve"> REF _Ref66695607 \h </w:instrText>
      </w:r>
      <w:r w:rsidR="00095135">
        <w:rPr>
          <w:bCs/>
          <w:highlight w:val="yellow"/>
        </w:rPr>
        <w:instrText xml:space="preserve"> \* MERGEFORMAT </w:instrText>
      </w:r>
      <w:r w:rsidR="00817257" w:rsidRPr="00095135">
        <w:rPr>
          <w:bCs/>
          <w:highlight w:val="yellow"/>
        </w:rPr>
      </w:r>
      <w:r w:rsidR="00817257" w:rsidRPr="00095135">
        <w:rPr>
          <w:bCs/>
          <w:highlight w:val="yellow"/>
        </w:rPr>
        <w:fldChar w:fldCharType="separate"/>
      </w:r>
      <w:proofErr w:type="spellStart"/>
      <w:r w:rsidR="00D224DD" w:rsidRPr="00D224DD">
        <w:rPr>
          <w:b/>
          <w:highlight w:val="yellow"/>
          <w:lang w:val="it-IT"/>
        </w:rPr>
        <w:t>Error</w:t>
      </w:r>
      <w:proofErr w:type="spellEnd"/>
      <w:r w:rsidR="00D224DD" w:rsidRPr="00D224DD">
        <w:rPr>
          <w:b/>
          <w:highlight w:val="yellow"/>
          <w:lang w:val="it-IT"/>
        </w:rPr>
        <w:t xml:space="preserve">! Reference source </w:t>
      </w:r>
      <w:proofErr w:type="spellStart"/>
      <w:r w:rsidR="00D224DD" w:rsidRPr="00D224DD">
        <w:rPr>
          <w:b/>
          <w:highlight w:val="yellow"/>
          <w:lang w:val="it-IT"/>
        </w:rPr>
        <w:t>not</w:t>
      </w:r>
      <w:proofErr w:type="spellEnd"/>
      <w:r w:rsidR="00D224DD" w:rsidRPr="00D224DD">
        <w:rPr>
          <w:b/>
          <w:highlight w:val="yellow"/>
          <w:lang w:val="it-IT"/>
        </w:rPr>
        <w:t xml:space="preserve"> </w:t>
      </w:r>
      <w:proofErr w:type="spellStart"/>
      <w:r w:rsidR="00D224DD" w:rsidRPr="00D224DD">
        <w:rPr>
          <w:b/>
          <w:highlight w:val="yellow"/>
          <w:lang w:val="it-IT"/>
        </w:rPr>
        <w:t>found</w:t>
      </w:r>
      <w:proofErr w:type="spellEnd"/>
      <w:r w:rsidR="00D224DD" w:rsidRPr="00D224DD">
        <w:rPr>
          <w:b/>
          <w:highlight w:val="yellow"/>
          <w:lang w:val="it-IT"/>
        </w:rPr>
        <w:t>.</w:t>
      </w:r>
      <w:r w:rsidR="00817257" w:rsidRPr="00095135">
        <w:rPr>
          <w:bCs/>
          <w:highlight w:val="yellow"/>
        </w:rPr>
        <w:fldChar w:fldCharType="end"/>
      </w:r>
      <w:r w:rsidRPr="00095135">
        <w:rPr>
          <w:bCs/>
          <w:highlight w:val="yellow"/>
        </w:rPr>
        <w:t xml:space="preserve">) med drugim treba oceniti ali predpostaviti i) mesečno dinamiko števila zaposlenih, ki bodo vključeni v ukrep čakanja na delo ali delnega subvencioniranja skrajšanega polnega delovnega časa, ii) njihovo porazdelitev po posameznih dejavnostih in po višini bruto plače, iii) delež meseca, ko bodo zaposleni vključeni v ukrep, iv) število zaposlenih prejemnikov plač in njihovo maso plač, ki ne bo prikazana v statistiki plač ter v) znesek povrnjenega nadomestila plač s strani države. Dodatno smo upoštevali tudi vpliv sofinanciranja povečanja minimalne plače v letošnjem letu. Od dolžine razglašene epidemije je odvisno tudi izplačevanje dodatkov v javnem sektorju. </w:t>
      </w:r>
    </w:p>
    <w:p w14:paraId="723E9403" w14:textId="65C1259B" w:rsidR="006405AA" w:rsidRPr="00095135" w:rsidRDefault="006405AA" w:rsidP="00FA494D">
      <w:pPr>
        <w:pStyle w:val="BesediloNAPOVED"/>
        <w:rPr>
          <w:bCs/>
          <w:highlight w:val="yellow"/>
        </w:rPr>
      </w:pPr>
    </w:p>
    <w:p w14:paraId="3DCCA884" w14:textId="6F69976F" w:rsidR="006405AA" w:rsidRPr="00095135" w:rsidRDefault="006405AA" w:rsidP="00FA494D">
      <w:pPr>
        <w:pStyle w:val="BesediloNAPOVED"/>
        <w:rPr>
          <w:bCs/>
          <w:highlight w:val="yellow"/>
        </w:rPr>
      </w:pPr>
    </w:p>
    <w:p w14:paraId="40E3621A" w14:textId="77777777" w:rsidR="006405AA" w:rsidRPr="00095135" w:rsidRDefault="006405AA" w:rsidP="00FA494D">
      <w:pPr>
        <w:pStyle w:val="BesediloNAPOVED"/>
        <w:rPr>
          <w:bCs/>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0" w:type="dxa"/>
          <w:right w:w="70" w:type="dxa"/>
        </w:tblCellMar>
        <w:tblLook w:val="04A0" w:firstRow="1" w:lastRow="0" w:firstColumn="1" w:lastColumn="0" w:noHBand="0" w:noVBand="1"/>
      </w:tblPr>
      <w:tblGrid>
        <w:gridCol w:w="4530"/>
        <w:gridCol w:w="4530"/>
      </w:tblGrid>
      <w:tr w:rsidR="00CE6702" w:rsidRPr="00767446" w14:paraId="278A2A40" w14:textId="77777777" w:rsidTr="008E1A99">
        <w:tc>
          <w:tcPr>
            <w:tcW w:w="4530" w:type="dxa"/>
          </w:tcPr>
          <w:p w14:paraId="6C4EC9B0" w14:textId="62C8BFAA" w:rsidR="00CE6702" w:rsidRPr="00095135" w:rsidRDefault="00CE6702" w:rsidP="00716592">
            <w:pPr>
              <w:pStyle w:val="Caption"/>
              <w:rPr>
                <w:highlight w:val="yellow"/>
              </w:rPr>
            </w:pPr>
            <w:bookmarkStart w:id="46" w:name="_Ref50185016"/>
            <w:r w:rsidRPr="00095135">
              <w:rPr>
                <w:highlight w:val="yellow"/>
              </w:rPr>
              <w:lastRenderedPageBreak/>
              <w:t xml:space="preserve">Slika </w:t>
            </w:r>
            <w:r w:rsidRPr="00095135">
              <w:rPr>
                <w:highlight w:val="yellow"/>
              </w:rPr>
              <w:fldChar w:fldCharType="begin"/>
            </w:r>
            <w:r w:rsidRPr="00095135">
              <w:rPr>
                <w:highlight w:val="yellow"/>
              </w:rPr>
              <w:instrText xml:space="preserve"> SEQ Slika \* ARABIC </w:instrText>
            </w:r>
            <w:r w:rsidRPr="00095135">
              <w:rPr>
                <w:highlight w:val="yellow"/>
              </w:rPr>
              <w:fldChar w:fldCharType="separate"/>
            </w:r>
            <w:r w:rsidR="00D224DD">
              <w:rPr>
                <w:highlight w:val="yellow"/>
              </w:rPr>
              <w:t>34</w:t>
            </w:r>
            <w:r w:rsidRPr="00095135">
              <w:rPr>
                <w:highlight w:val="yellow"/>
              </w:rPr>
              <w:fldChar w:fldCharType="end"/>
            </w:r>
            <w:bookmarkEnd w:id="46"/>
            <w:r w:rsidRPr="00095135">
              <w:rPr>
                <w:highlight w:val="yellow"/>
              </w:rPr>
              <w:t xml:space="preserve">: </w:t>
            </w:r>
            <w:r w:rsidR="002D7106" w:rsidRPr="00095135">
              <w:rPr>
                <w:highlight w:val="yellow"/>
              </w:rPr>
              <w:t>Interventni ukrepi za ohranjanje delovnih mest so vplivali na rast statistično prikazane mase plač izplačanih v breme delodajalca ter na število prejemnikov plač, kar je vplivalo na močno nihanje rasti povprečne plače</w:t>
            </w:r>
          </w:p>
          <w:p w14:paraId="2E409A26" w14:textId="77777777" w:rsidR="001F641B" w:rsidRPr="00095135" w:rsidRDefault="001F641B" w:rsidP="00716592">
            <w:pPr>
              <w:pStyle w:val="Caption"/>
              <w:rPr>
                <w:highlight w:val="yellow"/>
              </w:rPr>
            </w:pPr>
          </w:p>
          <w:p w14:paraId="40E63A3E" w14:textId="1552C087" w:rsidR="00F1665A" w:rsidRDefault="001F641B" w:rsidP="00716592">
            <w:pPr>
              <w:pStyle w:val="Caption"/>
            </w:pPr>
            <w:r w:rsidRPr="00095135">
              <w:rPr>
                <w:highlight w:val="yellow"/>
              </w:rPr>
              <w:drawing>
                <wp:inline distT="0" distB="0" distL="0" distR="0" wp14:anchorId="66036814" wp14:editId="525C635C">
                  <wp:extent cx="2783840" cy="2277110"/>
                  <wp:effectExtent l="0" t="0" r="0" b="889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83840" cy="2277110"/>
                          </a:xfrm>
                          <a:prstGeom prst="rect">
                            <a:avLst/>
                          </a:prstGeom>
                          <a:noFill/>
                          <a:ln>
                            <a:noFill/>
                          </a:ln>
                        </pic:spPr>
                      </pic:pic>
                    </a:graphicData>
                  </a:graphic>
                </wp:inline>
              </w:drawing>
            </w:r>
          </w:p>
          <w:p w14:paraId="49D7736E" w14:textId="7F10C1C2" w:rsidR="00F1665A" w:rsidRPr="00F1665A" w:rsidRDefault="00F1665A" w:rsidP="00716592">
            <w:pPr>
              <w:pStyle w:val="Caption"/>
            </w:pPr>
          </w:p>
        </w:tc>
        <w:tc>
          <w:tcPr>
            <w:tcW w:w="4530" w:type="dxa"/>
          </w:tcPr>
          <w:p w14:paraId="697423B1" w14:textId="77777777" w:rsidR="00CE6702" w:rsidRPr="00767446" w:rsidRDefault="00CE6702" w:rsidP="008E1A99">
            <w:pPr>
              <w:pStyle w:val="Caption"/>
              <w:rPr>
                <w:noProof w:val="0"/>
              </w:rPr>
            </w:pPr>
          </w:p>
        </w:tc>
      </w:tr>
    </w:tbl>
    <w:p w14:paraId="3C334109" w14:textId="224E3B53" w:rsidR="00F1665A" w:rsidRDefault="00F1665A" w:rsidP="00F1665A">
      <w:pPr>
        <w:pStyle w:val="Heading2"/>
      </w:pPr>
      <w:bookmarkStart w:id="47" w:name="_Toc50972045"/>
      <w:bookmarkStart w:id="48" w:name="_Toc81050600"/>
      <w:bookmarkStart w:id="49" w:name="_Hlk42787984"/>
      <w:r w:rsidRPr="00790AE5">
        <w:t>Inflacija</w:t>
      </w:r>
      <w:bookmarkEnd w:id="47"/>
      <w:bookmarkEnd w:id="48"/>
    </w:p>
    <w:bookmarkEnd w:id="49"/>
    <w:p w14:paraId="49D39C63" w14:textId="77777777" w:rsidR="005852B5" w:rsidRDefault="005852B5" w:rsidP="005852B5">
      <w:pPr>
        <w:pStyle w:val="BesediloNAPOVED"/>
      </w:pPr>
      <w:r w:rsidRPr="00790AE5">
        <w:rPr>
          <w:b/>
        </w:rPr>
        <w:t xml:space="preserve">Cene življenjskih potrebščin bodo, po lanskem medletnem znižanju, letos in v naslednjih dveh letih ob predpostavki </w:t>
      </w:r>
      <w:r>
        <w:rPr>
          <w:b/>
        </w:rPr>
        <w:t xml:space="preserve">zmernega </w:t>
      </w:r>
      <w:r w:rsidRPr="00790AE5">
        <w:rPr>
          <w:b/>
        </w:rPr>
        <w:t xml:space="preserve">gospodarskega okrevanja medletno postopno rasle proti dvema odstotkoma. </w:t>
      </w:r>
      <w:r w:rsidRPr="00231792">
        <w:rPr>
          <w:bCs/>
        </w:rPr>
        <w:t xml:space="preserve">V </w:t>
      </w:r>
      <w:r>
        <w:rPr>
          <w:bCs/>
        </w:rPr>
        <w:t>prvih sedmih mesecih letošnjega leta se je medletna rast cen</w:t>
      </w:r>
      <w:r w:rsidRPr="00231792">
        <w:rPr>
          <w:bCs/>
        </w:rPr>
        <w:t xml:space="preserve"> </w:t>
      </w:r>
      <w:r>
        <w:rPr>
          <w:bCs/>
        </w:rPr>
        <w:t>precej okrepila</w:t>
      </w:r>
      <w:r w:rsidRPr="00231792">
        <w:rPr>
          <w:bCs/>
        </w:rPr>
        <w:t xml:space="preserve"> </w:t>
      </w:r>
      <w:r w:rsidRPr="008B6BF2">
        <w:rPr>
          <w:bCs/>
        </w:rPr>
        <w:t xml:space="preserve">(na </w:t>
      </w:r>
      <w:r w:rsidRPr="002A615A">
        <w:rPr>
          <w:bCs/>
        </w:rPr>
        <w:t>0,9</w:t>
      </w:r>
      <w:r w:rsidRPr="00292E77">
        <w:t> </w:t>
      </w:r>
      <w:r w:rsidRPr="002A615A">
        <w:rPr>
          <w:bCs/>
        </w:rPr>
        <w:t>%</w:t>
      </w:r>
      <w:r w:rsidRPr="002A615A">
        <w:rPr>
          <w:rStyle w:val="FootnoteReference"/>
          <w:bCs/>
        </w:rPr>
        <w:footnoteReference w:id="50"/>
      </w:r>
      <w:r w:rsidRPr="002A615A">
        <w:rPr>
          <w:bCs/>
        </w:rPr>
        <w:t>).</w:t>
      </w:r>
      <w:r>
        <w:rPr>
          <w:bCs/>
        </w:rPr>
        <w:t xml:space="preserve"> </w:t>
      </w:r>
      <w:r w:rsidRPr="008B6BF2">
        <w:rPr>
          <w:bCs/>
        </w:rPr>
        <w:t>K rasti so ob koncu prvega četrtletja v največji meri prispevale višje cene energentov</w:t>
      </w:r>
      <w:r>
        <w:rPr>
          <w:bCs/>
        </w:rPr>
        <w:t xml:space="preserve"> predvsem zaradi nizke lanske osnove ob začetku epidemije</w:t>
      </w:r>
      <w:r>
        <w:rPr>
          <w:rStyle w:val="FootnoteReference"/>
          <w:bCs/>
        </w:rPr>
        <w:footnoteReference w:id="51"/>
      </w:r>
      <w:r w:rsidRPr="008B6BF2">
        <w:rPr>
          <w:bCs/>
        </w:rPr>
        <w:t xml:space="preserve">, postopoma pa so se pričele krepiti tudi cene </w:t>
      </w:r>
      <w:proofErr w:type="spellStart"/>
      <w:r w:rsidRPr="008B6BF2">
        <w:rPr>
          <w:bCs/>
        </w:rPr>
        <w:t>neenergetskega</w:t>
      </w:r>
      <w:proofErr w:type="spellEnd"/>
      <w:r w:rsidRPr="008B6BF2">
        <w:rPr>
          <w:bCs/>
        </w:rPr>
        <w:t xml:space="preserve"> industrijskega blaga, kar je po naši oceni posledica več dejavnikov, kot so (i) visoke cene surovin, (ii) ozka grla v proizvodnji, (iii) večje povpraševanje ob postopnem rahljanju omejitvenih ukrepov, (iv) višji stroški transporta</w:t>
      </w:r>
      <w:r w:rsidRPr="008B6BF2">
        <w:rPr>
          <w:rStyle w:val="FootnoteReference"/>
          <w:bCs/>
        </w:rPr>
        <w:footnoteReference w:id="52"/>
      </w:r>
      <w:r w:rsidRPr="008B6BF2">
        <w:rPr>
          <w:bCs/>
        </w:rPr>
        <w:t xml:space="preserve"> in drugačnih sezonskih gibanj cen v določenih skupinah (obleka in obutev).</w:t>
      </w:r>
      <w:r w:rsidRPr="00231792">
        <w:rPr>
          <w:bCs/>
        </w:rPr>
        <w:t xml:space="preserve"> </w:t>
      </w:r>
      <w:r>
        <w:rPr>
          <w:bCs/>
        </w:rPr>
        <w:t xml:space="preserve">V prihodnjih mesecih pričakujemo, da se bo prispevek energentov ohranil na doseženih ravneh, omejitveni dejavniki pri proizvodnji in solidno povpraševanje pa se bodo v večji meri prelili tudi v cene blaga in storitev, kar bo vplivalo na nadaljnjo krepitev inflacije. Rast cen hrane in storitev naj bi letos ostala </w:t>
      </w:r>
      <w:r w:rsidRPr="002A615A">
        <w:rPr>
          <w:bCs/>
        </w:rPr>
        <w:t xml:space="preserve">zmerna. </w:t>
      </w:r>
      <w:r w:rsidRPr="002A615A">
        <w:rPr>
          <w:highlight w:val="yellow"/>
        </w:rPr>
        <w:t>Vse to</w:t>
      </w:r>
      <w:r w:rsidRPr="002A615A">
        <w:rPr>
          <w:highlight w:val="yellow"/>
          <w:vertAlign w:val="superscript"/>
        </w:rPr>
        <w:footnoteReference w:id="53"/>
      </w:r>
      <w:r w:rsidRPr="002A615A">
        <w:rPr>
          <w:highlight w:val="yellow"/>
        </w:rPr>
        <w:t xml:space="preserve"> bo v povprečju letošnjega leta vplivalo na skupno </w:t>
      </w:r>
      <w:r w:rsidRPr="00292E77">
        <w:rPr>
          <w:highlight w:val="yellow"/>
        </w:rPr>
        <w:t>1</w:t>
      </w:r>
      <w:r w:rsidRPr="002A615A">
        <w:rPr>
          <w:highlight w:val="yellow"/>
        </w:rPr>
        <w:t>,</w:t>
      </w:r>
      <w:r w:rsidRPr="00292E77">
        <w:rPr>
          <w:highlight w:val="yellow"/>
        </w:rPr>
        <w:t>5</w:t>
      </w:r>
      <w:r w:rsidRPr="002A615A">
        <w:rPr>
          <w:highlight w:val="yellow"/>
        </w:rPr>
        <w:t>-odstotno rast cen življenjskih potrebščin</w:t>
      </w:r>
      <w:r w:rsidRPr="00292E77">
        <w:rPr>
          <w:highlight w:val="yellow"/>
        </w:rPr>
        <w:t xml:space="preserve">, ki se bo v letu 2022 še okrepila (na 2 %) na kar bo poleg visokega prenosa iz letošnjega leta vplivalo postopno okrevanje storitvenih dejavnosti, katerih delovanje je bilo zaradi </w:t>
      </w:r>
      <w:r>
        <w:rPr>
          <w:highlight w:val="yellow"/>
        </w:rPr>
        <w:t>u</w:t>
      </w:r>
      <w:r w:rsidRPr="00292E77">
        <w:rPr>
          <w:highlight w:val="yellow"/>
        </w:rPr>
        <w:t>krepov</w:t>
      </w:r>
      <w:r>
        <w:rPr>
          <w:highlight w:val="yellow"/>
        </w:rPr>
        <w:t xml:space="preserve"> za preprečevanje širjenja okužb</w:t>
      </w:r>
      <w:r w:rsidRPr="00292E77">
        <w:rPr>
          <w:highlight w:val="yellow"/>
        </w:rPr>
        <w:t xml:space="preserve"> bolj omejeno.</w:t>
      </w:r>
    </w:p>
    <w:p w14:paraId="1D5C8B64" w14:textId="77777777" w:rsidR="00F800C9" w:rsidRPr="00AC44EA" w:rsidRDefault="00F800C9" w:rsidP="00AC44EA">
      <w:pPr>
        <w:pStyle w:val="BesediloNAPOVED"/>
      </w:pPr>
    </w:p>
    <w:p w14:paraId="084CF90B" w14:textId="24104DCF" w:rsidR="008E553B" w:rsidRPr="00767446" w:rsidRDefault="008E553B" w:rsidP="008E553B">
      <w:pPr>
        <w:pStyle w:val="Caption"/>
        <w:rPr>
          <w:noProof w:val="0"/>
        </w:rPr>
      </w:pPr>
      <w:r w:rsidRPr="00767446">
        <w:rPr>
          <w:noProof w:val="0"/>
        </w:rPr>
        <w:t xml:space="preserve">Tabela </w:t>
      </w:r>
      <w:r w:rsidRPr="00767446">
        <w:rPr>
          <w:noProof w:val="0"/>
        </w:rPr>
        <w:fldChar w:fldCharType="begin"/>
      </w:r>
      <w:r w:rsidRPr="00767446">
        <w:rPr>
          <w:noProof w:val="0"/>
        </w:rPr>
        <w:instrText xml:space="preserve"> SEQ Tabela \* ARABIC </w:instrText>
      </w:r>
      <w:r w:rsidRPr="00767446">
        <w:rPr>
          <w:noProof w:val="0"/>
        </w:rPr>
        <w:fldChar w:fldCharType="separate"/>
      </w:r>
      <w:r w:rsidR="00D224DD">
        <w:t>6</w:t>
      </w:r>
      <w:r w:rsidRPr="00767446">
        <w:rPr>
          <w:noProof w:val="0"/>
        </w:rPr>
        <w:fldChar w:fldCharType="end"/>
      </w:r>
      <w:r w:rsidRPr="00767446">
        <w:rPr>
          <w:noProof w:val="0"/>
        </w:rPr>
        <w:t xml:space="preserve">: Napoved inflacije  </w:t>
      </w:r>
    </w:p>
    <w:tbl>
      <w:tblPr>
        <w:tblW w:w="5000" w:type="pct"/>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268"/>
        <w:gridCol w:w="1134"/>
        <w:gridCol w:w="1134"/>
        <w:gridCol w:w="1134"/>
        <w:gridCol w:w="1134"/>
        <w:gridCol w:w="1056"/>
        <w:gridCol w:w="1210"/>
      </w:tblGrid>
      <w:tr w:rsidR="00545FD5" w:rsidRPr="003F6727" w14:paraId="488747D6" w14:textId="77777777" w:rsidTr="008E1A99">
        <w:trPr>
          <w:trHeight w:val="265"/>
        </w:trPr>
        <w:tc>
          <w:tcPr>
            <w:tcW w:w="1250" w:type="pct"/>
            <w:vMerge w:val="restart"/>
            <w:vAlign w:val="center"/>
            <w:hideMark/>
          </w:tcPr>
          <w:p w14:paraId="0BFADCF0" w14:textId="77777777" w:rsidR="00545FD5" w:rsidRPr="003F6727" w:rsidRDefault="00545FD5" w:rsidP="00545FD5">
            <w:pPr>
              <w:pStyle w:val="TabelalevistolpecglavaNAPOVED"/>
              <w:rPr>
                <w:highlight w:val="yellow"/>
              </w:rPr>
            </w:pPr>
            <w:r w:rsidRPr="003F6727">
              <w:rPr>
                <w:highlight w:val="yellow"/>
              </w:rPr>
              <w:t>v %</w:t>
            </w:r>
          </w:p>
        </w:tc>
        <w:tc>
          <w:tcPr>
            <w:tcW w:w="625" w:type="pct"/>
            <w:vMerge w:val="restart"/>
            <w:vAlign w:val="center"/>
            <w:hideMark/>
          </w:tcPr>
          <w:p w14:paraId="31FA90AC" w14:textId="60633975" w:rsidR="00545FD5" w:rsidRPr="003F6727" w:rsidRDefault="00545FD5" w:rsidP="00C459D6">
            <w:pPr>
              <w:pStyle w:val="TabelaglavaNAPOVED"/>
              <w:rPr>
                <w:highlight w:val="yellow"/>
              </w:rPr>
            </w:pPr>
            <w:r w:rsidRPr="003F6727">
              <w:rPr>
                <w:rFonts w:cs="Arial"/>
                <w:color w:val="000000"/>
                <w:szCs w:val="16"/>
                <w:highlight w:val="yellow"/>
              </w:rPr>
              <w:t>2020</w:t>
            </w:r>
          </w:p>
        </w:tc>
        <w:tc>
          <w:tcPr>
            <w:tcW w:w="1250" w:type="pct"/>
            <w:gridSpan w:val="2"/>
            <w:vAlign w:val="center"/>
            <w:hideMark/>
          </w:tcPr>
          <w:p w14:paraId="748CD3C6" w14:textId="6E0E183E" w:rsidR="00545FD5" w:rsidRPr="003F6727" w:rsidRDefault="00545FD5" w:rsidP="00545FD5">
            <w:pPr>
              <w:pStyle w:val="TabelaglavaNAPOVED"/>
              <w:jc w:val="center"/>
              <w:rPr>
                <w:highlight w:val="yellow"/>
              </w:rPr>
            </w:pPr>
            <w:r w:rsidRPr="003F6727">
              <w:rPr>
                <w:rFonts w:cs="Arial"/>
                <w:color w:val="000000"/>
                <w:szCs w:val="16"/>
                <w:highlight w:val="yellow"/>
              </w:rPr>
              <w:t>2021</w:t>
            </w:r>
          </w:p>
        </w:tc>
        <w:tc>
          <w:tcPr>
            <w:tcW w:w="1207" w:type="pct"/>
            <w:gridSpan w:val="2"/>
            <w:vAlign w:val="center"/>
            <w:hideMark/>
          </w:tcPr>
          <w:p w14:paraId="59A54319" w14:textId="76351749" w:rsidR="00545FD5" w:rsidRPr="003F6727" w:rsidRDefault="00545FD5" w:rsidP="00545FD5">
            <w:pPr>
              <w:pStyle w:val="TabelaglavaNAPOVED"/>
              <w:jc w:val="center"/>
              <w:rPr>
                <w:highlight w:val="yellow"/>
              </w:rPr>
            </w:pPr>
            <w:r w:rsidRPr="003F6727">
              <w:rPr>
                <w:rFonts w:cs="Arial"/>
                <w:color w:val="000000"/>
                <w:szCs w:val="16"/>
                <w:highlight w:val="yellow"/>
              </w:rPr>
              <w:t>2022</w:t>
            </w:r>
          </w:p>
        </w:tc>
        <w:tc>
          <w:tcPr>
            <w:tcW w:w="667" w:type="pct"/>
            <w:vAlign w:val="center"/>
          </w:tcPr>
          <w:p w14:paraId="340BECC6" w14:textId="29617E56" w:rsidR="00545FD5" w:rsidRPr="003F6727" w:rsidRDefault="00545FD5" w:rsidP="00C459D6">
            <w:pPr>
              <w:pStyle w:val="TabelaglavaNAPOVED"/>
              <w:rPr>
                <w:highlight w:val="yellow"/>
              </w:rPr>
            </w:pPr>
            <w:r w:rsidRPr="003F6727">
              <w:rPr>
                <w:rFonts w:cs="Arial"/>
                <w:color w:val="000000"/>
                <w:szCs w:val="16"/>
                <w:highlight w:val="yellow"/>
              </w:rPr>
              <w:t>2023</w:t>
            </w:r>
          </w:p>
        </w:tc>
      </w:tr>
      <w:tr w:rsidR="00545FD5" w:rsidRPr="003F6727" w14:paraId="1F1EC62F" w14:textId="77777777" w:rsidTr="007869AC">
        <w:trPr>
          <w:trHeight w:val="416"/>
        </w:trPr>
        <w:tc>
          <w:tcPr>
            <w:tcW w:w="1250" w:type="pct"/>
            <w:vMerge/>
            <w:vAlign w:val="center"/>
            <w:hideMark/>
          </w:tcPr>
          <w:p w14:paraId="08DBC9C4" w14:textId="77777777" w:rsidR="00545FD5" w:rsidRPr="003F6727" w:rsidRDefault="00545FD5" w:rsidP="00545FD5">
            <w:pPr>
              <w:pStyle w:val="BesediloNAPOVED"/>
              <w:rPr>
                <w:bCs/>
                <w:highlight w:val="yellow"/>
              </w:rPr>
            </w:pPr>
          </w:p>
        </w:tc>
        <w:tc>
          <w:tcPr>
            <w:tcW w:w="625" w:type="pct"/>
            <w:vMerge/>
            <w:vAlign w:val="center"/>
            <w:hideMark/>
          </w:tcPr>
          <w:p w14:paraId="72D822B1" w14:textId="77777777" w:rsidR="00545FD5" w:rsidRPr="003F6727" w:rsidRDefault="00545FD5" w:rsidP="00545FD5">
            <w:pPr>
              <w:pStyle w:val="TabelaglavaNAPOVED"/>
              <w:jc w:val="center"/>
              <w:rPr>
                <w:highlight w:val="yellow"/>
              </w:rPr>
            </w:pPr>
          </w:p>
        </w:tc>
        <w:tc>
          <w:tcPr>
            <w:tcW w:w="625" w:type="pct"/>
            <w:tcBorders>
              <w:bottom w:val="single" w:sz="4" w:space="0" w:color="000000"/>
            </w:tcBorders>
            <w:vAlign w:val="center"/>
          </w:tcPr>
          <w:p w14:paraId="68B7CCDF" w14:textId="20C965A9" w:rsidR="00545FD5" w:rsidRPr="003F6727" w:rsidRDefault="00545FD5" w:rsidP="00C459D6">
            <w:pPr>
              <w:pStyle w:val="TabelaglavaNAPOVED"/>
              <w:rPr>
                <w:highlight w:val="yellow"/>
              </w:rPr>
            </w:pPr>
            <w:r w:rsidRPr="003F6727">
              <w:rPr>
                <w:rFonts w:eastAsia="Calibri" w:cs="Arial"/>
                <w:szCs w:val="16"/>
                <w:highlight w:val="yellow"/>
              </w:rPr>
              <w:t>december 2020</w:t>
            </w:r>
          </w:p>
        </w:tc>
        <w:tc>
          <w:tcPr>
            <w:tcW w:w="625" w:type="pct"/>
            <w:shd w:val="clear" w:color="auto" w:fill="E9E9E9" w:themeFill="accent3" w:themeFillTint="33"/>
            <w:vAlign w:val="center"/>
          </w:tcPr>
          <w:p w14:paraId="6E3B687E" w14:textId="669C2BC9" w:rsidR="00545FD5" w:rsidRPr="003F6727" w:rsidRDefault="00545FD5" w:rsidP="00C459D6">
            <w:pPr>
              <w:pStyle w:val="TabelaglavaNAPOVED"/>
              <w:rPr>
                <w:color w:val="9E001A" w:themeColor="accent1"/>
                <w:highlight w:val="yellow"/>
              </w:rPr>
            </w:pPr>
            <w:r w:rsidRPr="003F6727">
              <w:rPr>
                <w:rFonts w:eastAsia="Calibri" w:cs="Arial"/>
                <w:color w:val="9E001A"/>
                <w:szCs w:val="16"/>
                <w:highlight w:val="yellow"/>
              </w:rPr>
              <w:t>marec     2021</w:t>
            </w:r>
          </w:p>
        </w:tc>
        <w:tc>
          <w:tcPr>
            <w:tcW w:w="625" w:type="pct"/>
            <w:tcBorders>
              <w:bottom w:val="single" w:sz="4" w:space="0" w:color="000000"/>
            </w:tcBorders>
            <w:vAlign w:val="center"/>
          </w:tcPr>
          <w:p w14:paraId="78248FAC" w14:textId="4C91DD9C" w:rsidR="00545FD5" w:rsidRPr="003F6727" w:rsidRDefault="00545FD5" w:rsidP="00C459D6">
            <w:pPr>
              <w:pStyle w:val="TabelaglavaNAPOVED"/>
              <w:rPr>
                <w:highlight w:val="yellow"/>
              </w:rPr>
            </w:pPr>
            <w:r w:rsidRPr="003F6727">
              <w:rPr>
                <w:rFonts w:eastAsia="Calibri" w:cs="Arial"/>
                <w:szCs w:val="16"/>
                <w:highlight w:val="yellow"/>
              </w:rPr>
              <w:t>december 2020</w:t>
            </w:r>
          </w:p>
        </w:tc>
        <w:tc>
          <w:tcPr>
            <w:tcW w:w="582" w:type="pct"/>
            <w:shd w:val="clear" w:color="auto" w:fill="E9E9E9" w:themeFill="accent3" w:themeFillTint="33"/>
            <w:vAlign w:val="center"/>
          </w:tcPr>
          <w:p w14:paraId="2DA8BAE3" w14:textId="0AA8FDDA" w:rsidR="00545FD5" w:rsidRPr="003F6727" w:rsidRDefault="00545FD5" w:rsidP="00C459D6">
            <w:pPr>
              <w:pStyle w:val="TabelaglavaNAPOVED"/>
              <w:rPr>
                <w:color w:val="9E001A" w:themeColor="accent1"/>
                <w:highlight w:val="yellow"/>
              </w:rPr>
            </w:pPr>
            <w:r w:rsidRPr="003F6727">
              <w:rPr>
                <w:rFonts w:eastAsia="Calibri" w:cs="Arial"/>
                <w:color w:val="9E001A"/>
                <w:szCs w:val="16"/>
                <w:highlight w:val="yellow"/>
              </w:rPr>
              <w:t>marec         2021</w:t>
            </w:r>
          </w:p>
        </w:tc>
        <w:tc>
          <w:tcPr>
            <w:tcW w:w="667" w:type="pct"/>
            <w:tcBorders>
              <w:bottom w:val="single" w:sz="4" w:space="0" w:color="000000"/>
            </w:tcBorders>
            <w:shd w:val="clear" w:color="auto" w:fill="E9E9E9" w:themeFill="accent3" w:themeFillTint="33"/>
            <w:vAlign w:val="center"/>
          </w:tcPr>
          <w:p w14:paraId="3D16649E" w14:textId="193038A1" w:rsidR="00545FD5" w:rsidRPr="003F6727" w:rsidRDefault="00545FD5" w:rsidP="00C459D6">
            <w:pPr>
              <w:pStyle w:val="TabelaglavaNAPOVED"/>
              <w:rPr>
                <w:color w:val="9E001A" w:themeColor="accent1"/>
                <w:highlight w:val="yellow"/>
              </w:rPr>
            </w:pPr>
            <w:r w:rsidRPr="003F6727">
              <w:rPr>
                <w:rFonts w:eastAsia="Calibri" w:cs="Arial"/>
                <w:color w:val="9E001A"/>
                <w:szCs w:val="16"/>
                <w:highlight w:val="yellow"/>
              </w:rPr>
              <w:t>marec           2021</w:t>
            </w:r>
          </w:p>
        </w:tc>
      </w:tr>
      <w:tr w:rsidR="007869AC" w:rsidRPr="003F6727" w14:paraId="6D438100" w14:textId="77777777" w:rsidTr="007869AC">
        <w:trPr>
          <w:trHeight w:val="361"/>
        </w:trPr>
        <w:tc>
          <w:tcPr>
            <w:tcW w:w="1250" w:type="pct"/>
            <w:vAlign w:val="center"/>
            <w:hideMark/>
          </w:tcPr>
          <w:p w14:paraId="7AA5C92B" w14:textId="77777777" w:rsidR="007869AC" w:rsidRPr="003F6727" w:rsidRDefault="007869AC" w:rsidP="007869AC">
            <w:pPr>
              <w:pStyle w:val="TabelalevistolpecNAPOVED"/>
              <w:rPr>
                <w:highlight w:val="yellow"/>
              </w:rPr>
            </w:pPr>
            <w:r w:rsidRPr="003F6727">
              <w:rPr>
                <w:highlight w:val="yellow"/>
              </w:rPr>
              <w:t xml:space="preserve"> Inflacija – dec./dec.</w:t>
            </w:r>
          </w:p>
        </w:tc>
        <w:tc>
          <w:tcPr>
            <w:tcW w:w="625" w:type="pct"/>
            <w:vAlign w:val="center"/>
          </w:tcPr>
          <w:p w14:paraId="45237D7E" w14:textId="1AA7F4DC" w:rsidR="007869AC" w:rsidRPr="003F6727" w:rsidRDefault="007869AC" w:rsidP="007869AC">
            <w:pPr>
              <w:pStyle w:val="TabelaNAPOVED"/>
              <w:rPr>
                <w:highlight w:val="yellow"/>
              </w:rPr>
            </w:pPr>
            <w:r w:rsidRPr="003F6727">
              <w:rPr>
                <w:rFonts w:cs="Arial"/>
                <w:color w:val="000000"/>
                <w:szCs w:val="16"/>
                <w:highlight w:val="yellow"/>
              </w:rPr>
              <w:t>-1,1</w:t>
            </w:r>
          </w:p>
        </w:tc>
        <w:tc>
          <w:tcPr>
            <w:tcW w:w="625" w:type="pct"/>
            <w:vAlign w:val="center"/>
          </w:tcPr>
          <w:p w14:paraId="7D9222D0" w14:textId="3A40376D" w:rsidR="007869AC" w:rsidRPr="003F6727" w:rsidRDefault="007869AC" w:rsidP="007869AC">
            <w:pPr>
              <w:pStyle w:val="TabelaNAPOVED"/>
              <w:rPr>
                <w:highlight w:val="yellow"/>
              </w:rPr>
            </w:pPr>
            <w:r w:rsidRPr="003F6727">
              <w:rPr>
                <w:rFonts w:cs="Arial"/>
                <w:color w:val="000000"/>
                <w:szCs w:val="16"/>
                <w:highlight w:val="yellow"/>
              </w:rPr>
              <w:t>1,6</w:t>
            </w:r>
          </w:p>
        </w:tc>
        <w:tc>
          <w:tcPr>
            <w:tcW w:w="625" w:type="pct"/>
            <w:shd w:val="clear" w:color="auto" w:fill="E9E9E9" w:themeFill="accent3" w:themeFillTint="33"/>
            <w:vAlign w:val="center"/>
          </w:tcPr>
          <w:p w14:paraId="6A4E6FCF" w14:textId="77F9F962"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1,1</w:t>
            </w:r>
          </w:p>
        </w:tc>
        <w:tc>
          <w:tcPr>
            <w:tcW w:w="625" w:type="pct"/>
            <w:vAlign w:val="center"/>
          </w:tcPr>
          <w:p w14:paraId="5E2447EA" w14:textId="1487C474" w:rsidR="007869AC" w:rsidRPr="003F6727" w:rsidRDefault="007869AC" w:rsidP="007869AC">
            <w:pPr>
              <w:pStyle w:val="TabelaNAPOVED"/>
              <w:rPr>
                <w:highlight w:val="yellow"/>
              </w:rPr>
            </w:pPr>
            <w:r w:rsidRPr="003F6727">
              <w:rPr>
                <w:rFonts w:cs="Arial"/>
                <w:color w:val="000000"/>
                <w:szCs w:val="16"/>
                <w:highlight w:val="yellow"/>
              </w:rPr>
              <w:t>1,8</w:t>
            </w:r>
          </w:p>
        </w:tc>
        <w:tc>
          <w:tcPr>
            <w:tcW w:w="582" w:type="pct"/>
            <w:shd w:val="clear" w:color="auto" w:fill="E9E9E9" w:themeFill="accent3" w:themeFillTint="33"/>
            <w:vAlign w:val="center"/>
          </w:tcPr>
          <w:p w14:paraId="30E7D58B" w14:textId="057C818B"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1,5</w:t>
            </w:r>
          </w:p>
        </w:tc>
        <w:tc>
          <w:tcPr>
            <w:tcW w:w="667" w:type="pct"/>
            <w:shd w:val="clear" w:color="auto" w:fill="E9E9E9" w:themeFill="accent3" w:themeFillTint="33"/>
            <w:vAlign w:val="center"/>
          </w:tcPr>
          <w:p w14:paraId="48F800CC" w14:textId="6B2BC1D3"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2,0</w:t>
            </w:r>
          </w:p>
        </w:tc>
      </w:tr>
      <w:tr w:rsidR="007869AC" w:rsidRPr="003F6727" w14:paraId="360EADBE" w14:textId="77777777" w:rsidTr="007869AC">
        <w:trPr>
          <w:trHeight w:val="361"/>
        </w:trPr>
        <w:tc>
          <w:tcPr>
            <w:tcW w:w="1250" w:type="pct"/>
            <w:vAlign w:val="center"/>
            <w:hideMark/>
          </w:tcPr>
          <w:p w14:paraId="51B8D69C" w14:textId="77777777" w:rsidR="007869AC" w:rsidRPr="003F6727" w:rsidRDefault="007869AC" w:rsidP="007869AC">
            <w:pPr>
              <w:pStyle w:val="TabelalevistolpecNAPOVED"/>
              <w:rPr>
                <w:highlight w:val="yellow"/>
              </w:rPr>
            </w:pPr>
            <w:r w:rsidRPr="003F6727">
              <w:rPr>
                <w:highlight w:val="yellow"/>
              </w:rPr>
              <w:t xml:space="preserve"> Inflacija − povprečje leta </w:t>
            </w:r>
          </w:p>
        </w:tc>
        <w:tc>
          <w:tcPr>
            <w:tcW w:w="625" w:type="pct"/>
            <w:vAlign w:val="center"/>
          </w:tcPr>
          <w:p w14:paraId="3B0DF105" w14:textId="06A3EC74" w:rsidR="007869AC" w:rsidRPr="003F6727" w:rsidRDefault="007869AC" w:rsidP="007869AC">
            <w:pPr>
              <w:pStyle w:val="TabelaNAPOVED"/>
              <w:rPr>
                <w:highlight w:val="yellow"/>
              </w:rPr>
            </w:pPr>
            <w:r w:rsidRPr="003F6727">
              <w:rPr>
                <w:rFonts w:cs="Arial"/>
                <w:color w:val="000000"/>
                <w:szCs w:val="16"/>
                <w:highlight w:val="yellow"/>
              </w:rPr>
              <w:t>-0,1</w:t>
            </w:r>
          </w:p>
        </w:tc>
        <w:tc>
          <w:tcPr>
            <w:tcW w:w="625" w:type="pct"/>
            <w:vAlign w:val="center"/>
          </w:tcPr>
          <w:p w14:paraId="20E41832" w14:textId="39BC279E" w:rsidR="007869AC" w:rsidRPr="003F6727" w:rsidRDefault="007869AC" w:rsidP="007869AC">
            <w:pPr>
              <w:pStyle w:val="TabelaNAPOVED"/>
              <w:rPr>
                <w:highlight w:val="yellow"/>
              </w:rPr>
            </w:pPr>
            <w:r w:rsidRPr="003F6727">
              <w:rPr>
                <w:rFonts w:cs="Arial"/>
                <w:color w:val="000000"/>
                <w:szCs w:val="16"/>
                <w:highlight w:val="yellow"/>
              </w:rPr>
              <w:t>0,6</w:t>
            </w:r>
          </w:p>
        </w:tc>
        <w:tc>
          <w:tcPr>
            <w:tcW w:w="625" w:type="pct"/>
            <w:shd w:val="clear" w:color="auto" w:fill="E9E9E9" w:themeFill="accent3" w:themeFillTint="33"/>
            <w:vAlign w:val="center"/>
          </w:tcPr>
          <w:p w14:paraId="698105A9" w14:textId="392A087F"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0,8</w:t>
            </w:r>
          </w:p>
        </w:tc>
        <w:tc>
          <w:tcPr>
            <w:tcW w:w="625" w:type="pct"/>
            <w:vAlign w:val="center"/>
          </w:tcPr>
          <w:p w14:paraId="15C319E3" w14:textId="14267836" w:rsidR="007869AC" w:rsidRPr="003F6727" w:rsidRDefault="007869AC" w:rsidP="007869AC">
            <w:pPr>
              <w:pStyle w:val="TabelaNAPOVED"/>
              <w:rPr>
                <w:highlight w:val="yellow"/>
              </w:rPr>
            </w:pPr>
            <w:r w:rsidRPr="003F6727">
              <w:rPr>
                <w:rFonts w:cs="Arial"/>
                <w:color w:val="000000"/>
                <w:szCs w:val="16"/>
                <w:highlight w:val="yellow"/>
              </w:rPr>
              <w:t>1,9</w:t>
            </w:r>
          </w:p>
        </w:tc>
        <w:tc>
          <w:tcPr>
            <w:tcW w:w="582" w:type="pct"/>
            <w:shd w:val="clear" w:color="auto" w:fill="E9E9E9" w:themeFill="accent3" w:themeFillTint="33"/>
            <w:vAlign w:val="center"/>
          </w:tcPr>
          <w:p w14:paraId="78C4C5BF" w14:textId="4BB13D2E"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1,2</w:t>
            </w:r>
          </w:p>
        </w:tc>
        <w:tc>
          <w:tcPr>
            <w:tcW w:w="667" w:type="pct"/>
            <w:shd w:val="clear" w:color="auto" w:fill="E9E9E9" w:themeFill="accent3" w:themeFillTint="33"/>
            <w:vAlign w:val="center"/>
          </w:tcPr>
          <w:p w14:paraId="2FE317A4" w14:textId="2A2FA3D8" w:rsidR="007869AC" w:rsidRPr="003F6727" w:rsidRDefault="007869AC" w:rsidP="007869AC">
            <w:pPr>
              <w:pStyle w:val="TabelaNAPOVED"/>
              <w:rPr>
                <w:b/>
                <w:bCs/>
                <w:color w:val="9E001A" w:themeColor="accent1"/>
                <w:highlight w:val="yellow"/>
              </w:rPr>
            </w:pPr>
            <w:r w:rsidRPr="003F6727">
              <w:rPr>
                <w:rFonts w:eastAsia="Calibri" w:cs="Arial"/>
                <w:b/>
                <w:bCs/>
                <w:color w:val="9E001A"/>
                <w:szCs w:val="16"/>
                <w:highlight w:val="yellow"/>
              </w:rPr>
              <w:t>1,7</w:t>
            </w:r>
          </w:p>
        </w:tc>
      </w:tr>
    </w:tbl>
    <w:p w14:paraId="6C2C3095" w14:textId="39718E31" w:rsidR="008E553B" w:rsidRPr="003F6727" w:rsidRDefault="008E553B" w:rsidP="008E553B">
      <w:pPr>
        <w:pStyle w:val="VirNAPOVED"/>
        <w:rPr>
          <w:highlight w:val="yellow"/>
        </w:rPr>
      </w:pPr>
      <w:r w:rsidRPr="003F6727">
        <w:rPr>
          <w:highlight w:val="yellow"/>
        </w:rPr>
        <w:lastRenderedPageBreak/>
        <w:t>Vir: SURS, 202</w:t>
      </w:r>
      <w:r w:rsidR="00E76F85" w:rsidRPr="003F6727">
        <w:rPr>
          <w:highlight w:val="yellow"/>
        </w:rPr>
        <w:t>1</w:t>
      </w:r>
      <w:r w:rsidRPr="003F6727">
        <w:rPr>
          <w:highlight w:val="yellow"/>
        </w:rPr>
        <w:t>−202</w:t>
      </w:r>
      <w:r w:rsidR="00E76F85" w:rsidRPr="003F6727">
        <w:rPr>
          <w:highlight w:val="yellow"/>
        </w:rPr>
        <w:t>3</w:t>
      </w:r>
      <w:r w:rsidRPr="003F6727">
        <w:rPr>
          <w:highlight w:val="yellow"/>
        </w:rPr>
        <w:t xml:space="preserve"> napoved UMAR.</w:t>
      </w:r>
    </w:p>
    <w:p w14:paraId="599A1CBA" w14:textId="5FC13BFB" w:rsidR="008E553B" w:rsidRPr="003F6727" w:rsidRDefault="008E553B" w:rsidP="00206A47">
      <w:pPr>
        <w:pStyle w:val="BesediloNAPOVED"/>
        <w:rPr>
          <w:bCs/>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7F12E7" w:rsidRPr="00767446" w14:paraId="1AACED85" w14:textId="77777777" w:rsidTr="008E1A99">
        <w:tc>
          <w:tcPr>
            <w:tcW w:w="4530" w:type="dxa"/>
          </w:tcPr>
          <w:p w14:paraId="57E723A5" w14:textId="101AD4BD" w:rsidR="007F12E7" w:rsidRPr="00D8238D" w:rsidRDefault="007F12E7" w:rsidP="00716592">
            <w:pPr>
              <w:pStyle w:val="Caption"/>
            </w:pPr>
            <w:r w:rsidRPr="003F6727">
              <w:rPr>
                <w:highlight w:val="yellow"/>
              </w:rPr>
              <w:t xml:space="preserve">Slika </w:t>
            </w:r>
            <w:r w:rsidRPr="003F6727">
              <w:rPr>
                <w:highlight w:val="yellow"/>
              </w:rPr>
              <w:fldChar w:fldCharType="begin"/>
            </w:r>
            <w:r w:rsidRPr="003F6727">
              <w:rPr>
                <w:highlight w:val="yellow"/>
              </w:rPr>
              <w:instrText xml:space="preserve"> SEQ Slika \* ARABIC </w:instrText>
            </w:r>
            <w:r w:rsidRPr="003F6727">
              <w:rPr>
                <w:highlight w:val="yellow"/>
              </w:rPr>
              <w:fldChar w:fldCharType="separate"/>
            </w:r>
            <w:r w:rsidR="00D224DD">
              <w:rPr>
                <w:highlight w:val="yellow"/>
              </w:rPr>
              <w:t>35</w:t>
            </w:r>
            <w:r w:rsidRPr="003F6727">
              <w:rPr>
                <w:highlight w:val="yellow"/>
              </w:rPr>
              <w:fldChar w:fldCharType="end"/>
            </w:r>
            <w:r w:rsidRPr="003F6727">
              <w:rPr>
                <w:highlight w:val="yellow"/>
              </w:rPr>
              <w:t xml:space="preserve">: </w:t>
            </w:r>
            <w:r w:rsidR="00D8238D" w:rsidRPr="00D8238D">
              <w:t xml:space="preserve">Letošnja inflacija je predvsem posledica rasti </w:t>
            </w:r>
            <w:r w:rsidRPr="00D8238D">
              <w:t>cen energentov</w:t>
            </w:r>
          </w:p>
          <w:p w14:paraId="594F4349" w14:textId="77777777" w:rsidR="007F12E7" w:rsidRPr="003F6727" w:rsidRDefault="007F12E7" w:rsidP="00716592">
            <w:pPr>
              <w:pStyle w:val="Caption"/>
              <w:rPr>
                <w:highlight w:val="yellow"/>
              </w:rPr>
            </w:pPr>
          </w:p>
          <w:p w14:paraId="50D53943" w14:textId="4EC59E58" w:rsidR="007F12E7" w:rsidRPr="003F6727" w:rsidRDefault="007F12E7" w:rsidP="00716592">
            <w:pPr>
              <w:pStyle w:val="Caption"/>
              <w:rPr>
                <w:highlight w:val="yellow"/>
              </w:rPr>
            </w:pPr>
            <w:r w:rsidRPr="003F6727">
              <w:rPr>
                <w:highlight w:val="yellow"/>
                <w:lang w:eastAsia="sl-SI"/>
              </w:rPr>
              <w:drawing>
                <wp:inline distT="0" distB="0" distL="0" distR="0" wp14:anchorId="724AEA7D" wp14:editId="2FB85C9C">
                  <wp:extent cx="2738755" cy="2245360"/>
                  <wp:effectExtent l="0" t="0" r="4445"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38755" cy="2245360"/>
                          </a:xfrm>
                          <a:prstGeom prst="rect">
                            <a:avLst/>
                          </a:prstGeom>
                          <a:noFill/>
                          <a:ln>
                            <a:noFill/>
                          </a:ln>
                        </pic:spPr>
                      </pic:pic>
                    </a:graphicData>
                  </a:graphic>
                </wp:inline>
              </w:drawing>
            </w:r>
          </w:p>
        </w:tc>
        <w:tc>
          <w:tcPr>
            <w:tcW w:w="4530" w:type="dxa"/>
          </w:tcPr>
          <w:p w14:paraId="1F028ED7" w14:textId="418DC903" w:rsidR="007F12E7" w:rsidRPr="003F6727" w:rsidRDefault="007F12E7" w:rsidP="00716592">
            <w:pPr>
              <w:pStyle w:val="Caption"/>
              <w:rPr>
                <w:highlight w:val="yellow"/>
              </w:rPr>
            </w:pPr>
            <w:r w:rsidRPr="003F6727">
              <w:rPr>
                <w:highlight w:val="yellow"/>
              </w:rPr>
              <w:t xml:space="preserve">Slika </w:t>
            </w:r>
            <w:r w:rsidRPr="003F6727">
              <w:rPr>
                <w:highlight w:val="yellow"/>
              </w:rPr>
              <w:fldChar w:fldCharType="begin"/>
            </w:r>
            <w:r w:rsidRPr="003F6727">
              <w:rPr>
                <w:highlight w:val="yellow"/>
              </w:rPr>
              <w:instrText xml:space="preserve"> SEQ Slika \* ARABIC </w:instrText>
            </w:r>
            <w:r w:rsidRPr="003F6727">
              <w:rPr>
                <w:highlight w:val="yellow"/>
              </w:rPr>
              <w:fldChar w:fldCharType="separate"/>
            </w:r>
            <w:r w:rsidR="00D224DD">
              <w:rPr>
                <w:highlight w:val="yellow"/>
              </w:rPr>
              <w:t>36</w:t>
            </w:r>
            <w:r w:rsidRPr="003F6727">
              <w:rPr>
                <w:highlight w:val="yellow"/>
              </w:rPr>
              <w:fldChar w:fldCharType="end"/>
            </w:r>
            <w:r w:rsidRPr="003F6727">
              <w:rPr>
                <w:highlight w:val="yellow"/>
              </w:rPr>
              <w:t xml:space="preserve">: </w:t>
            </w:r>
            <w:r w:rsidRPr="00D8238D">
              <w:t xml:space="preserve">Inflacija bo v naslednjih dveh letih </w:t>
            </w:r>
            <w:r w:rsidR="00D8238D" w:rsidRPr="00D8238D">
              <w:t xml:space="preserve">okoli dveh </w:t>
            </w:r>
            <w:r w:rsidR="00E815C9" w:rsidRPr="00D8238D">
              <w:t>odstotko</w:t>
            </w:r>
            <w:r w:rsidR="00D8238D" w:rsidRPr="00D8238D">
              <w:t>v</w:t>
            </w:r>
          </w:p>
          <w:p w14:paraId="402E9D3B" w14:textId="77777777" w:rsidR="007F12E7" w:rsidRPr="003F6727" w:rsidRDefault="007F12E7" w:rsidP="00716592">
            <w:pPr>
              <w:pStyle w:val="Caption"/>
              <w:rPr>
                <w:highlight w:val="yellow"/>
              </w:rPr>
            </w:pPr>
          </w:p>
          <w:p w14:paraId="5752B314" w14:textId="788A3EFB" w:rsidR="007F12E7" w:rsidRPr="00767446" w:rsidRDefault="00A32C61" w:rsidP="00716592">
            <w:pPr>
              <w:pStyle w:val="Caption"/>
            </w:pPr>
            <w:r w:rsidRPr="003F6727">
              <w:rPr>
                <w:highlight w:val="yellow"/>
                <w:lang w:eastAsia="sl-SI"/>
              </w:rPr>
              <w:drawing>
                <wp:inline distT="0" distB="0" distL="0" distR="0" wp14:anchorId="03666F79" wp14:editId="45701960">
                  <wp:extent cx="2738755" cy="2240915"/>
                  <wp:effectExtent l="0" t="0" r="4445" b="6985"/>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r>
    </w:tbl>
    <w:p w14:paraId="1326F08E" w14:textId="358208B2" w:rsidR="007F12E7" w:rsidRDefault="007F12E7" w:rsidP="00206A47">
      <w:pPr>
        <w:pStyle w:val="BesediloNAPOVED"/>
        <w:rPr>
          <w:bCs/>
          <w:highlight w:val="yellow"/>
        </w:rPr>
      </w:pPr>
    </w:p>
    <w:p w14:paraId="583E3A46" w14:textId="77777777" w:rsidR="00847267" w:rsidRPr="00ED24C5" w:rsidRDefault="00847267" w:rsidP="00847267">
      <w:pPr>
        <w:pStyle w:val="Heading2"/>
      </w:pPr>
      <w:bookmarkStart w:id="50" w:name="_Toc50972046"/>
      <w:bookmarkStart w:id="51" w:name="_Toc81050601"/>
      <w:r w:rsidRPr="00ED24C5">
        <w:t>Tekoči račun plačilne bilance</w:t>
      </w:r>
      <w:bookmarkEnd w:id="50"/>
      <w:bookmarkEnd w:id="51"/>
    </w:p>
    <w:p w14:paraId="05F8FBDE" w14:textId="55C23340" w:rsidR="00382CD3" w:rsidRPr="00382CD3" w:rsidRDefault="0075762D" w:rsidP="00382CD3">
      <w:pPr>
        <w:pStyle w:val="BesediloNAPOVED"/>
      </w:pPr>
      <w:bookmarkStart w:id="52" w:name="_Hlk81133349"/>
      <w:r w:rsidRPr="0075762D">
        <w:rPr>
          <w:b/>
          <w:bCs/>
        </w:rPr>
        <w:t xml:space="preserve">Presežek tekočega računa plačilne bilance se bo v obdobju 2021–2023 glede na BDP </w:t>
      </w:r>
      <w:r w:rsidR="002076A1">
        <w:rPr>
          <w:b/>
          <w:bCs/>
        </w:rPr>
        <w:t xml:space="preserve">postopna </w:t>
      </w:r>
      <w:r w:rsidR="002076A1" w:rsidRPr="00537F95">
        <w:rPr>
          <w:b/>
          <w:bCs/>
        </w:rPr>
        <w:t xml:space="preserve">zniževal, vendar se bo </w:t>
      </w:r>
      <w:r w:rsidRPr="00537F95">
        <w:rPr>
          <w:b/>
          <w:bCs/>
        </w:rPr>
        <w:t>ohran</w:t>
      </w:r>
      <w:r w:rsidR="002076A1" w:rsidRPr="00537F95">
        <w:rPr>
          <w:b/>
          <w:bCs/>
        </w:rPr>
        <w:t>i</w:t>
      </w:r>
      <w:r w:rsidRPr="00537F95">
        <w:rPr>
          <w:b/>
          <w:bCs/>
        </w:rPr>
        <w:t>l na visoki ravni (</w:t>
      </w:r>
      <w:r w:rsidR="0035257E" w:rsidRPr="00382CD3">
        <w:rPr>
          <w:b/>
          <w:bCs/>
          <w:highlight w:val="yellow"/>
        </w:rPr>
        <w:t>nad</w:t>
      </w:r>
      <w:r w:rsidRPr="00382CD3">
        <w:rPr>
          <w:b/>
          <w:bCs/>
          <w:highlight w:val="yellow"/>
        </w:rPr>
        <w:t xml:space="preserve"> </w:t>
      </w:r>
      <w:r w:rsidR="0035257E" w:rsidRPr="00382CD3">
        <w:rPr>
          <w:b/>
          <w:bCs/>
          <w:highlight w:val="yellow"/>
        </w:rPr>
        <w:t>5</w:t>
      </w:r>
      <w:r w:rsidRPr="00382CD3">
        <w:rPr>
          <w:b/>
          <w:bCs/>
          <w:highlight w:val="yellow"/>
        </w:rPr>
        <w:t> %</w:t>
      </w:r>
      <w:r w:rsidRPr="00537F95">
        <w:rPr>
          <w:b/>
          <w:bCs/>
        </w:rPr>
        <w:t xml:space="preserve"> BDP).</w:t>
      </w:r>
      <w:r w:rsidRPr="00537F95">
        <w:rPr>
          <w:b/>
          <w:bCs/>
          <w:i/>
        </w:rPr>
        <w:t xml:space="preserve"> </w:t>
      </w:r>
      <w:r w:rsidRPr="00537F95">
        <w:t xml:space="preserve">Ohranjanje visokega presežka glede na BDP je posledica obsežnega varčevanja zasebnega sektorja (gospodinjstev in nefinančnih družb), ki presega raven investicij. K presežku bosta še naprej prispevala tako menjava blaga kot storitev, pri čemer se bo vpliv </w:t>
      </w:r>
      <w:r w:rsidRPr="00537F95">
        <w:rPr>
          <w:i/>
          <w:iCs/>
        </w:rPr>
        <w:t>menjave storitev</w:t>
      </w:r>
      <w:r w:rsidRPr="00537F95">
        <w:t xml:space="preserve"> zaradi njihovega okrevanja po lanskem globokem padcu v obdobju napovedi povečeval, presežek v </w:t>
      </w:r>
      <w:r w:rsidRPr="00537F95">
        <w:rPr>
          <w:i/>
          <w:iCs/>
        </w:rPr>
        <w:t>blagovni menjavi</w:t>
      </w:r>
      <w:r w:rsidRPr="00537F95">
        <w:t xml:space="preserve"> pa se bo zmanjševal. </w:t>
      </w:r>
      <w:r w:rsidRPr="003F6727">
        <w:rPr>
          <w:highlight w:val="yellow"/>
        </w:rPr>
        <w:t xml:space="preserve">To bo glavni dejavnik znižanja presežka z letošnjih 6,6 % BDP na 5,8 % leta 2023. </w:t>
      </w:r>
      <w:r w:rsidRPr="005F7865">
        <w:t xml:space="preserve">Letos bodo na zmanjšanje presežka blagovne menjave </w:t>
      </w:r>
      <w:r w:rsidR="00537F95" w:rsidRPr="005F7865">
        <w:rPr>
          <w:rFonts w:cs="Arial"/>
          <w:noProof/>
          <w:szCs w:val="20"/>
        </w:rPr>
        <w:t>poleg višje realne rasti uvoza od izvoza blaga</w:t>
      </w:r>
      <w:r w:rsidR="00537F95" w:rsidRPr="005F7865">
        <w:t xml:space="preserve"> </w:t>
      </w:r>
      <w:r w:rsidRPr="005F7865">
        <w:t>vplivali tudi poslabšani pogoji menjave</w:t>
      </w:r>
      <w:r w:rsidR="00537F95" w:rsidRPr="005F7865">
        <w:t>.</w:t>
      </w:r>
      <w:r w:rsidRPr="005F7865">
        <w:rPr>
          <w:vertAlign w:val="superscript"/>
        </w:rPr>
        <w:footnoteReference w:id="54"/>
      </w:r>
      <w:r w:rsidRPr="005F7865">
        <w:t xml:space="preserve"> </w:t>
      </w:r>
      <w:r w:rsidRPr="005F7865">
        <w:rPr>
          <w:iCs/>
        </w:rPr>
        <w:t xml:space="preserve">Zaradi letošnje rasti cen energentov in ostalih primarnih surovin po njihovem lanskem padcu, bo namreč rast uvoznih cen višja od izvoznih, kar bo pogoje menjave poslabšalo za </w:t>
      </w:r>
      <w:r w:rsidRPr="003F6727">
        <w:rPr>
          <w:iCs/>
          <w:highlight w:val="yellow"/>
        </w:rPr>
        <w:t>2</w:t>
      </w:r>
      <w:r w:rsidR="005F7865">
        <w:rPr>
          <w:iCs/>
          <w:highlight w:val="yellow"/>
        </w:rPr>
        <w:t>,5</w:t>
      </w:r>
      <w:r w:rsidR="005F7865" w:rsidRPr="003F6727">
        <w:rPr>
          <w:highlight w:val="yellow"/>
        </w:rPr>
        <w:t> </w:t>
      </w:r>
      <w:r w:rsidRPr="003F6727">
        <w:rPr>
          <w:iCs/>
          <w:highlight w:val="yellow"/>
        </w:rPr>
        <w:t xml:space="preserve">%. </w:t>
      </w:r>
      <w:r w:rsidRPr="00334E88">
        <w:rPr>
          <w:iCs/>
        </w:rPr>
        <w:t xml:space="preserve">Od leta 2022 pa se bo presežek </w:t>
      </w:r>
      <w:r w:rsidRPr="00DB5BA8">
        <w:rPr>
          <w:i/>
          <w:iCs/>
        </w:rPr>
        <w:t>blagovne menjave</w:t>
      </w:r>
      <w:r w:rsidRPr="00334E88">
        <w:rPr>
          <w:iCs/>
        </w:rPr>
        <w:t xml:space="preserve"> zmanjševal zaradi nadaljnje zmernejše rasti izvoza od uvoza, ki ga bo podpirala solidna rast domače</w:t>
      </w:r>
      <w:r w:rsidR="00334E88" w:rsidRPr="00334E88">
        <w:rPr>
          <w:iCs/>
        </w:rPr>
        <w:t xml:space="preserve"> zasebne in investicijske</w:t>
      </w:r>
      <w:r w:rsidRPr="00334E88">
        <w:rPr>
          <w:iCs/>
        </w:rPr>
        <w:t xml:space="preserve"> potrošnje. </w:t>
      </w:r>
      <w:r w:rsidR="003451ED">
        <w:rPr>
          <w:iCs/>
        </w:rPr>
        <w:t>K r</w:t>
      </w:r>
      <w:r w:rsidR="00334E88">
        <w:rPr>
          <w:iCs/>
        </w:rPr>
        <w:t>ast</w:t>
      </w:r>
      <w:r w:rsidR="003451ED">
        <w:rPr>
          <w:iCs/>
        </w:rPr>
        <w:t>i</w:t>
      </w:r>
      <w:r w:rsidR="00334E88">
        <w:rPr>
          <w:iCs/>
        </w:rPr>
        <w:t xml:space="preserve"> presežka v </w:t>
      </w:r>
      <w:r w:rsidR="00334E88" w:rsidRPr="00DB5BA8">
        <w:rPr>
          <w:i/>
          <w:iCs/>
        </w:rPr>
        <w:t>menjavi storitev</w:t>
      </w:r>
      <w:r w:rsidR="00334E88">
        <w:rPr>
          <w:iCs/>
        </w:rPr>
        <w:t xml:space="preserve"> bo letos </w:t>
      </w:r>
      <w:r w:rsidR="003451ED">
        <w:rPr>
          <w:iCs/>
        </w:rPr>
        <w:t xml:space="preserve">prispeval predvsem </w:t>
      </w:r>
      <w:r w:rsidR="00334E88">
        <w:rPr>
          <w:iCs/>
        </w:rPr>
        <w:t>promet in ostalih storitv</w:t>
      </w:r>
      <w:r w:rsidR="004E62FA">
        <w:rPr>
          <w:iCs/>
        </w:rPr>
        <w:t>ah</w:t>
      </w:r>
      <w:r w:rsidR="00334E88">
        <w:rPr>
          <w:iCs/>
        </w:rPr>
        <w:t xml:space="preserve">, v prihodnjih dveh letih pa bodo okrevale vse </w:t>
      </w:r>
      <w:r w:rsidR="00334E88" w:rsidRPr="00DB5BA8">
        <w:rPr>
          <w:iCs/>
        </w:rPr>
        <w:t xml:space="preserve">storitve, </w:t>
      </w:r>
      <w:r w:rsidR="00DB5BA8" w:rsidRPr="00DB5BA8">
        <w:rPr>
          <w:iCs/>
        </w:rPr>
        <w:t xml:space="preserve">zlasti menjava potovanj. </w:t>
      </w:r>
      <w:r w:rsidRPr="00DB5BA8">
        <w:t xml:space="preserve">Primanjkljaja v bilancah </w:t>
      </w:r>
      <w:r w:rsidRPr="00DB5BA8">
        <w:rPr>
          <w:i/>
        </w:rPr>
        <w:t xml:space="preserve">primarnih in sekundarnih dohodkov </w:t>
      </w:r>
      <w:r w:rsidRPr="00DB5BA8">
        <w:rPr>
          <w:iCs/>
        </w:rPr>
        <w:t xml:space="preserve">se bosta v obdobju napovedi povečevala in nekoliko prispevala </w:t>
      </w:r>
      <w:r w:rsidRPr="00DB5BA8">
        <w:t xml:space="preserve">k zmanjšanju presežka na tekočem računu. </w:t>
      </w:r>
      <w:r w:rsidRPr="00DB5BA8">
        <w:rPr>
          <w:iCs/>
        </w:rPr>
        <w:t xml:space="preserve">Prvi se bo povečeval zaradi višjih neto izplačil dividend in </w:t>
      </w:r>
      <w:proofErr w:type="spellStart"/>
      <w:r w:rsidRPr="00DB5BA8">
        <w:t>reinvestiranih</w:t>
      </w:r>
      <w:proofErr w:type="spellEnd"/>
      <w:r w:rsidRPr="00DB5BA8">
        <w:t xml:space="preserve"> dobičkov zaradi okrevanja gospodarske aktivnosti. Zlasti letos se bodo povečala neto plačila obresti </w:t>
      </w:r>
      <w:r w:rsidR="00DB5BA8" w:rsidRPr="00DB5BA8">
        <w:t>na zunanji dolg</w:t>
      </w:r>
      <w:r w:rsidRPr="00DB5BA8">
        <w:t xml:space="preserve"> zaradi večjega zadolževanja državnega sektorja.</w:t>
      </w:r>
      <w:r w:rsidRPr="00DB5BA8">
        <w:rPr>
          <w:vertAlign w:val="superscript"/>
        </w:rPr>
        <w:footnoteReference w:id="55"/>
      </w:r>
      <w:r w:rsidRPr="00DB5BA8">
        <w:t xml:space="preserve"> </w:t>
      </w:r>
      <w:r w:rsidR="00477391">
        <w:t xml:space="preserve">Letos pa bo </w:t>
      </w:r>
      <w:r w:rsidR="002E24D0">
        <w:rPr>
          <w:rFonts w:cs="Arial"/>
          <w:iCs/>
          <w:noProof/>
          <w:szCs w:val="20"/>
        </w:rPr>
        <w:t xml:space="preserve">nižji tudi presežek dohodkov od dela, saj pričakujemo nižje prihodke od dela dnevnih migrantov v tujini ter </w:t>
      </w:r>
      <w:r w:rsidR="0086534D">
        <w:rPr>
          <w:rFonts w:cs="Arial"/>
          <w:iCs/>
          <w:noProof/>
          <w:szCs w:val="20"/>
        </w:rPr>
        <w:t>malo</w:t>
      </w:r>
      <w:r w:rsidR="002E24D0">
        <w:rPr>
          <w:rFonts w:cs="Arial"/>
          <w:iCs/>
          <w:noProof/>
          <w:szCs w:val="20"/>
        </w:rPr>
        <w:t xml:space="preserve"> višje prihodke tujcev na delu v Sloveniji.</w:t>
      </w:r>
      <w:r w:rsidR="00477391">
        <w:rPr>
          <w:rFonts w:cs="Arial"/>
          <w:iCs/>
          <w:noProof/>
          <w:szCs w:val="20"/>
        </w:rPr>
        <w:t xml:space="preserve"> </w:t>
      </w:r>
      <w:r w:rsidR="00477391" w:rsidRPr="00477391">
        <w:t>Nekoliko</w:t>
      </w:r>
      <w:r w:rsidRPr="00477391">
        <w:t xml:space="preserve"> bodo povečanje primanjkljaja primarnih dohodkov ublažile prejete subvencije iz proračuna EU.</w:t>
      </w:r>
      <w:r w:rsidRPr="00477391">
        <w:rPr>
          <w:vertAlign w:val="superscript"/>
        </w:rPr>
        <w:footnoteReference w:id="56"/>
      </w:r>
      <w:r w:rsidRPr="00477391">
        <w:t xml:space="preserve"> </w:t>
      </w:r>
      <w:r w:rsidRPr="00FD7EDF">
        <w:t xml:space="preserve">Primanjkljaj </w:t>
      </w:r>
      <w:r w:rsidRPr="00FD7EDF">
        <w:rPr>
          <w:i/>
          <w:iCs/>
        </w:rPr>
        <w:t>sekundarnih dohodkov</w:t>
      </w:r>
      <w:r w:rsidRPr="00FD7EDF">
        <w:t xml:space="preserve"> pa se bo poviševal zlasti zaradi manj prejetih sredstev iz</w:t>
      </w:r>
      <w:r w:rsidR="00382CD3" w:rsidRPr="00FD7EDF">
        <w:t xml:space="preserve"> </w:t>
      </w:r>
      <w:r w:rsidR="00382CD3">
        <w:rPr>
          <w:highlight w:val="yellow"/>
        </w:rPr>
        <w:t>E</w:t>
      </w:r>
      <w:r w:rsidR="00E316B9">
        <w:rPr>
          <w:highlight w:val="yellow"/>
        </w:rPr>
        <w:t xml:space="preserve">vropskega </w:t>
      </w:r>
      <w:r w:rsidRPr="003F6727">
        <w:rPr>
          <w:highlight w:val="yellow"/>
        </w:rPr>
        <w:t>socialnega sklada</w:t>
      </w:r>
      <w:r w:rsidR="00FD7EDF">
        <w:rPr>
          <w:highlight w:val="yellow"/>
        </w:rPr>
        <w:t>,</w:t>
      </w:r>
      <w:r w:rsidRPr="003F6727">
        <w:rPr>
          <w:highlight w:val="yellow"/>
          <w:vertAlign w:val="superscript"/>
        </w:rPr>
        <w:footnoteReference w:id="57"/>
      </w:r>
      <w:r w:rsidR="00382CD3">
        <w:rPr>
          <w:highlight w:val="yellow"/>
        </w:rPr>
        <w:t xml:space="preserve"> </w:t>
      </w:r>
      <w:r w:rsidRPr="00FD7EDF">
        <w:t xml:space="preserve">višjih vplačil v proračun EU </w:t>
      </w:r>
      <w:r w:rsidRPr="003F6727">
        <w:rPr>
          <w:highlight w:val="yellow"/>
        </w:rPr>
        <w:t>iz naslova bruto nacionalnega dohodka in davka na dodano vrednost</w:t>
      </w:r>
      <w:r w:rsidR="00382CD3">
        <w:rPr>
          <w:highlight w:val="yellow"/>
        </w:rPr>
        <w:t xml:space="preserve"> </w:t>
      </w:r>
      <w:r w:rsidR="00382CD3" w:rsidRPr="00FD7EDF">
        <w:t xml:space="preserve">ter </w:t>
      </w:r>
      <w:r w:rsidR="00382CD3" w:rsidRPr="00382CD3">
        <w:t>višjih neto odlivov transferov zasebnega sektorja.</w:t>
      </w:r>
    </w:p>
    <w:bookmarkEnd w:id="52"/>
    <w:p w14:paraId="0F945758" w14:textId="756730C9" w:rsidR="0075762D" w:rsidRPr="0075762D" w:rsidRDefault="0075762D" w:rsidP="0075762D">
      <w:pPr>
        <w:pStyle w:val="BesediloNAPOVED"/>
      </w:pPr>
    </w:p>
    <w:p w14:paraId="4CD60923" w14:textId="77777777" w:rsidR="0075762D" w:rsidRDefault="0075762D" w:rsidP="00206A47">
      <w:pPr>
        <w:pStyle w:val="BesediloNAPOVED"/>
        <w:rPr>
          <w:b/>
          <w:bCs/>
        </w:rPr>
      </w:pPr>
    </w:p>
    <w:p w14:paraId="533647D3" w14:textId="6E89E408" w:rsidR="00C000FC" w:rsidRPr="00767446" w:rsidRDefault="00C000FC" w:rsidP="00C000FC">
      <w:pPr>
        <w:pStyle w:val="Caption"/>
        <w:rPr>
          <w:noProof w:val="0"/>
        </w:rPr>
      </w:pPr>
      <w:r w:rsidRPr="00CC67D5">
        <w:rPr>
          <w:noProof w:val="0"/>
        </w:rPr>
        <w:lastRenderedPageBreak/>
        <w:t xml:space="preserve">Tabela </w:t>
      </w:r>
      <w:r w:rsidRPr="00CC67D5">
        <w:rPr>
          <w:noProof w:val="0"/>
        </w:rPr>
        <w:fldChar w:fldCharType="begin"/>
      </w:r>
      <w:r w:rsidRPr="00CC67D5">
        <w:rPr>
          <w:noProof w:val="0"/>
        </w:rPr>
        <w:instrText xml:space="preserve"> SEQ Tabela \* ARABIC </w:instrText>
      </w:r>
      <w:r w:rsidRPr="00CC67D5">
        <w:rPr>
          <w:noProof w:val="0"/>
        </w:rPr>
        <w:fldChar w:fldCharType="separate"/>
      </w:r>
      <w:r w:rsidR="00D224DD">
        <w:t>7</w:t>
      </w:r>
      <w:r w:rsidRPr="00CC67D5">
        <w:rPr>
          <w:noProof w:val="0"/>
        </w:rPr>
        <w:fldChar w:fldCharType="end"/>
      </w:r>
      <w:r w:rsidRPr="00CC67D5">
        <w:rPr>
          <w:noProof w:val="0"/>
        </w:rPr>
        <w:t>: Napoved tekočega računa plačilne bilance – plačilno bilančna statistika</w:t>
      </w:r>
      <w:r w:rsidRPr="00767446">
        <w:rPr>
          <w:noProof w:val="0"/>
        </w:rPr>
        <w:t xml:space="preserve">  </w:t>
      </w:r>
    </w:p>
    <w:tbl>
      <w:tblPr>
        <w:tblW w:w="5000" w:type="pct"/>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3374"/>
        <w:gridCol w:w="682"/>
        <w:gridCol w:w="972"/>
        <w:gridCol w:w="1005"/>
        <w:gridCol w:w="972"/>
        <w:gridCol w:w="1065"/>
        <w:gridCol w:w="1000"/>
      </w:tblGrid>
      <w:tr w:rsidR="00505E56" w:rsidRPr="00767446" w14:paraId="796B4141" w14:textId="77777777" w:rsidTr="006829D6">
        <w:trPr>
          <w:trHeight w:val="265"/>
        </w:trPr>
        <w:tc>
          <w:tcPr>
            <w:tcW w:w="1860" w:type="pct"/>
            <w:vMerge w:val="restart"/>
            <w:vAlign w:val="center"/>
            <w:hideMark/>
          </w:tcPr>
          <w:p w14:paraId="646E4703" w14:textId="77777777" w:rsidR="00505E56" w:rsidRPr="003F6727" w:rsidRDefault="00505E56" w:rsidP="00505E56">
            <w:pPr>
              <w:pStyle w:val="TabelalevistolpecglavaNAPOVED"/>
              <w:rPr>
                <w:highlight w:val="yellow"/>
              </w:rPr>
            </w:pPr>
          </w:p>
        </w:tc>
        <w:tc>
          <w:tcPr>
            <w:tcW w:w="376" w:type="pct"/>
            <w:vMerge w:val="restart"/>
            <w:vAlign w:val="center"/>
            <w:hideMark/>
          </w:tcPr>
          <w:p w14:paraId="75A7245D" w14:textId="65E1667D" w:rsidR="00505E56" w:rsidRPr="003F6727" w:rsidRDefault="00505E56" w:rsidP="00052F93">
            <w:pPr>
              <w:pStyle w:val="TabelaglavaNAPOVED"/>
              <w:rPr>
                <w:highlight w:val="yellow"/>
              </w:rPr>
            </w:pPr>
            <w:r w:rsidRPr="003F6727">
              <w:rPr>
                <w:rFonts w:cs="Arial"/>
                <w:color w:val="000000"/>
                <w:szCs w:val="16"/>
                <w:highlight w:val="yellow"/>
              </w:rPr>
              <w:t>2020</w:t>
            </w:r>
          </w:p>
        </w:tc>
        <w:tc>
          <w:tcPr>
            <w:tcW w:w="1090" w:type="pct"/>
            <w:gridSpan w:val="2"/>
            <w:vAlign w:val="center"/>
            <w:hideMark/>
          </w:tcPr>
          <w:p w14:paraId="282B01AB" w14:textId="28FCBD01" w:rsidR="00505E56" w:rsidRPr="003F6727" w:rsidRDefault="00505E56" w:rsidP="00505E56">
            <w:pPr>
              <w:pStyle w:val="TabelaglavaNAPOVED"/>
              <w:jc w:val="center"/>
              <w:rPr>
                <w:highlight w:val="yellow"/>
              </w:rPr>
            </w:pPr>
            <w:r w:rsidRPr="003F6727">
              <w:rPr>
                <w:rFonts w:cs="Arial"/>
                <w:color w:val="000000"/>
                <w:szCs w:val="16"/>
                <w:highlight w:val="yellow"/>
              </w:rPr>
              <w:t>2021</w:t>
            </w:r>
          </w:p>
        </w:tc>
        <w:tc>
          <w:tcPr>
            <w:tcW w:w="1123" w:type="pct"/>
            <w:gridSpan w:val="2"/>
            <w:vAlign w:val="center"/>
            <w:hideMark/>
          </w:tcPr>
          <w:p w14:paraId="14EBB698" w14:textId="25B00299" w:rsidR="00505E56" w:rsidRPr="003F6727" w:rsidRDefault="00505E56" w:rsidP="00505E56">
            <w:pPr>
              <w:pStyle w:val="TabelaglavaNAPOVED"/>
              <w:jc w:val="center"/>
              <w:rPr>
                <w:highlight w:val="yellow"/>
              </w:rPr>
            </w:pPr>
            <w:r w:rsidRPr="003F6727">
              <w:rPr>
                <w:rFonts w:cs="Arial"/>
                <w:color w:val="000000"/>
                <w:szCs w:val="16"/>
                <w:highlight w:val="yellow"/>
              </w:rPr>
              <w:t>2022</w:t>
            </w:r>
          </w:p>
        </w:tc>
        <w:tc>
          <w:tcPr>
            <w:tcW w:w="551" w:type="pct"/>
            <w:vAlign w:val="center"/>
          </w:tcPr>
          <w:p w14:paraId="31C8A4E9" w14:textId="4C71BEFF" w:rsidR="00505E56" w:rsidRPr="003F6727" w:rsidRDefault="00505E56" w:rsidP="00052F93">
            <w:pPr>
              <w:pStyle w:val="TabelaglavaNAPOVED"/>
              <w:rPr>
                <w:highlight w:val="yellow"/>
              </w:rPr>
            </w:pPr>
            <w:r w:rsidRPr="003F6727">
              <w:rPr>
                <w:rFonts w:cs="Arial"/>
                <w:color w:val="000000"/>
                <w:szCs w:val="16"/>
                <w:highlight w:val="yellow"/>
              </w:rPr>
              <w:t>2023</w:t>
            </w:r>
          </w:p>
        </w:tc>
      </w:tr>
      <w:tr w:rsidR="00505E56" w:rsidRPr="00767446" w14:paraId="23D3C53C" w14:textId="77777777" w:rsidTr="00052F93">
        <w:trPr>
          <w:trHeight w:val="416"/>
        </w:trPr>
        <w:tc>
          <w:tcPr>
            <w:tcW w:w="1860" w:type="pct"/>
            <w:vMerge/>
            <w:vAlign w:val="center"/>
            <w:hideMark/>
          </w:tcPr>
          <w:p w14:paraId="22B346D0" w14:textId="77777777" w:rsidR="00505E56" w:rsidRPr="003F6727" w:rsidRDefault="00505E56" w:rsidP="00505E56">
            <w:pPr>
              <w:pStyle w:val="BesediloNAPOVED"/>
              <w:rPr>
                <w:bCs/>
                <w:highlight w:val="yellow"/>
              </w:rPr>
            </w:pPr>
          </w:p>
        </w:tc>
        <w:tc>
          <w:tcPr>
            <w:tcW w:w="376" w:type="pct"/>
            <w:vMerge/>
            <w:vAlign w:val="center"/>
            <w:hideMark/>
          </w:tcPr>
          <w:p w14:paraId="52B05820" w14:textId="77777777" w:rsidR="00505E56" w:rsidRPr="003F6727" w:rsidRDefault="00505E56" w:rsidP="00052F93">
            <w:pPr>
              <w:pStyle w:val="TabelaglavaNAPOVED"/>
              <w:rPr>
                <w:highlight w:val="yellow"/>
              </w:rPr>
            </w:pPr>
          </w:p>
        </w:tc>
        <w:tc>
          <w:tcPr>
            <w:tcW w:w="536" w:type="pct"/>
            <w:tcBorders>
              <w:bottom w:val="single" w:sz="4" w:space="0" w:color="000000"/>
            </w:tcBorders>
            <w:vAlign w:val="center"/>
          </w:tcPr>
          <w:p w14:paraId="5231B72A" w14:textId="0437831C" w:rsidR="00505E56" w:rsidRPr="003F6727" w:rsidRDefault="00505E56" w:rsidP="00052F93">
            <w:pPr>
              <w:pStyle w:val="TabelaglavaNAPOVED"/>
              <w:rPr>
                <w:highlight w:val="yellow"/>
              </w:rPr>
            </w:pPr>
            <w:r w:rsidRPr="003F6727">
              <w:rPr>
                <w:rFonts w:eastAsia="Calibri" w:cs="Arial"/>
                <w:szCs w:val="16"/>
                <w:highlight w:val="yellow"/>
              </w:rPr>
              <w:t>december 2020</w:t>
            </w:r>
          </w:p>
        </w:tc>
        <w:tc>
          <w:tcPr>
            <w:tcW w:w="554" w:type="pct"/>
            <w:shd w:val="clear" w:color="auto" w:fill="E9E9E9" w:themeFill="accent3" w:themeFillTint="33"/>
            <w:vAlign w:val="center"/>
          </w:tcPr>
          <w:p w14:paraId="584CA38B" w14:textId="7C234BFF" w:rsidR="00505E56" w:rsidRPr="003F6727" w:rsidRDefault="00505E56" w:rsidP="00052F93">
            <w:pPr>
              <w:pStyle w:val="TabelaglavaNAPOVED"/>
              <w:rPr>
                <w:color w:val="9E001A" w:themeColor="accent1"/>
                <w:highlight w:val="yellow"/>
              </w:rPr>
            </w:pPr>
            <w:r w:rsidRPr="003F6727">
              <w:rPr>
                <w:rFonts w:eastAsia="Calibri" w:cs="Arial"/>
                <w:color w:val="9E001A"/>
                <w:szCs w:val="16"/>
                <w:highlight w:val="yellow"/>
              </w:rPr>
              <w:t>marec     2021</w:t>
            </w:r>
          </w:p>
        </w:tc>
        <w:tc>
          <w:tcPr>
            <w:tcW w:w="536" w:type="pct"/>
            <w:tcBorders>
              <w:bottom w:val="single" w:sz="4" w:space="0" w:color="000000"/>
            </w:tcBorders>
            <w:vAlign w:val="center"/>
          </w:tcPr>
          <w:p w14:paraId="0F2AEACF" w14:textId="1233E708" w:rsidR="00505E56" w:rsidRPr="003F6727" w:rsidRDefault="00505E56" w:rsidP="00052F93">
            <w:pPr>
              <w:pStyle w:val="TabelaglavaNAPOVED"/>
              <w:rPr>
                <w:highlight w:val="yellow"/>
              </w:rPr>
            </w:pPr>
            <w:r w:rsidRPr="003F6727">
              <w:rPr>
                <w:rFonts w:eastAsia="Calibri" w:cs="Arial"/>
                <w:szCs w:val="16"/>
                <w:highlight w:val="yellow"/>
              </w:rPr>
              <w:t>december 2020</w:t>
            </w:r>
          </w:p>
        </w:tc>
        <w:tc>
          <w:tcPr>
            <w:tcW w:w="587" w:type="pct"/>
            <w:shd w:val="clear" w:color="auto" w:fill="E9E9E9" w:themeFill="accent3" w:themeFillTint="33"/>
            <w:vAlign w:val="center"/>
          </w:tcPr>
          <w:p w14:paraId="7C7EBC78" w14:textId="73DF768C" w:rsidR="00505E56" w:rsidRPr="003F6727" w:rsidRDefault="00505E56" w:rsidP="00052F93">
            <w:pPr>
              <w:pStyle w:val="TabelaglavaNAPOVED"/>
              <w:rPr>
                <w:color w:val="9E001A" w:themeColor="accent1"/>
                <w:highlight w:val="yellow"/>
              </w:rPr>
            </w:pPr>
            <w:r w:rsidRPr="003F6727">
              <w:rPr>
                <w:rFonts w:eastAsia="Calibri" w:cs="Arial"/>
                <w:color w:val="9E001A"/>
                <w:szCs w:val="16"/>
                <w:highlight w:val="yellow"/>
              </w:rPr>
              <w:t>marec          2021</w:t>
            </w:r>
          </w:p>
        </w:tc>
        <w:tc>
          <w:tcPr>
            <w:tcW w:w="551" w:type="pct"/>
            <w:tcBorders>
              <w:bottom w:val="single" w:sz="4" w:space="0" w:color="000000"/>
            </w:tcBorders>
            <w:shd w:val="clear" w:color="auto" w:fill="E9E9E9" w:themeFill="accent3" w:themeFillTint="33"/>
            <w:vAlign w:val="center"/>
          </w:tcPr>
          <w:p w14:paraId="25114D6B" w14:textId="7F77955A" w:rsidR="00505E56" w:rsidRPr="003F6727" w:rsidRDefault="00505E56" w:rsidP="00052F93">
            <w:pPr>
              <w:pStyle w:val="TabelaglavaNAPOVED"/>
              <w:rPr>
                <w:color w:val="9E001A" w:themeColor="accent1"/>
                <w:highlight w:val="yellow"/>
              </w:rPr>
            </w:pPr>
            <w:r w:rsidRPr="003F6727">
              <w:rPr>
                <w:rFonts w:eastAsia="Calibri" w:cs="Arial"/>
                <w:color w:val="9E001A"/>
                <w:szCs w:val="16"/>
                <w:highlight w:val="yellow"/>
              </w:rPr>
              <w:t>marec            2021</w:t>
            </w:r>
          </w:p>
        </w:tc>
      </w:tr>
      <w:tr w:rsidR="006829D6" w:rsidRPr="00767446" w14:paraId="1712368A" w14:textId="77777777" w:rsidTr="00052F93">
        <w:trPr>
          <w:trHeight w:val="361"/>
        </w:trPr>
        <w:tc>
          <w:tcPr>
            <w:tcW w:w="1860" w:type="pct"/>
            <w:vAlign w:val="center"/>
            <w:hideMark/>
          </w:tcPr>
          <w:p w14:paraId="0E424D97" w14:textId="77777777" w:rsidR="006829D6" w:rsidRPr="003F6727" w:rsidRDefault="006829D6" w:rsidP="006829D6">
            <w:pPr>
              <w:pStyle w:val="TabelalevistolpecNAPOVED"/>
              <w:rPr>
                <w:highlight w:val="yellow"/>
              </w:rPr>
            </w:pPr>
            <w:r w:rsidRPr="003F6727">
              <w:rPr>
                <w:highlight w:val="yellow"/>
              </w:rPr>
              <w:t>Tekoči račun, v mio EUR</w:t>
            </w:r>
          </w:p>
        </w:tc>
        <w:tc>
          <w:tcPr>
            <w:tcW w:w="376" w:type="pct"/>
            <w:vAlign w:val="center"/>
          </w:tcPr>
          <w:p w14:paraId="20A75593" w14:textId="1B102904" w:rsidR="006829D6" w:rsidRPr="003F6727" w:rsidRDefault="00EC7D39" w:rsidP="00052F93">
            <w:pPr>
              <w:pStyle w:val="TabelaNAPOVED"/>
              <w:rPr>
                <w:highlight w:val="yellow"/>
              </w:rPr>
            </w:pPr>
            <w:r w:rsidRPr="003F6727">
              <w:rPr>
                <w:highlight w:val="yellow"/>
              </w:rPr>
              <w:t>3.366</w:t>
            </w:r>
          </w:p>
        </w:tc>
        <w:tc>
          <w:tcPr>
            <w:tcW w:w="536" w:type="pct"/>
            <w:vAlign w:val="center"/>
          </w:tcPr>
          <w:p w14:paraId="4E8AB953" w14:textId="1FFB6630" w:rsidR="006829D6" w:rsidRPr="003F6727" w:rsidRDefault="006829D6" w:rsidP="00052F93">
            <w:pPr>
              <w:pStyle w:val="TabelaNAPOVED"/>
              <w:rPr>
                <w:highlight w:val="yellow"/>
              </w:rPr>
            </w:pPr>
            <w:r w:rsidRPr="003F6727">
              <w:rPr>
                <w:rFonts w:cs="Arial"/>
                <w:color w:val="000000"/>
                <w:szCs w:val="16"/>
                <w:highlight w:val="yellow"/>
              </w:rPr>
              <w:t>3.115</w:t>
            </w:r>
          </w:p>
        </w:tc>
        <w:tc>
          <w:tcPr>
            <w:tcW w:w="554" w:type="pct"/>
            <w:shd w:val="clear" w:color="auto" w:fill="E9E9E9" w:themeFill="accent3" w:themeFillTint="33"/>
            <w:vAlign w:val="center"/>
          </w:tcPr>
          <w:p w14:paraId="3AF48596" w14:textId="00896FD6" w:rsidR="006829D6" w:rsidRPr="003F6727" w:rsidRDefault="00EC7D39" w:rsidP="00052F93">
            <w:pPr>
              <w:pStyle w:val="TabelaNAPOVED"/>
              <w:rPr>
                <w:b/>
                <w:bCs/>
                <w:color w:val="9E001A" w:themeColor="accent1"/>
                <w:highlight w:val="yellow"/>
              </w:rPr>
            </w:pPr>
            <w:r w:rsidRPr="003F6727">
              <w:rPr>
                <w:b/>
                <w:bCs/>
                <w:color w:val="9E001A" w:themeColor="accent1"/>
                <w:highlight w:val="yellow"/>
              </w:rPr>
              <w:t>3.</w:t>
            </w:r>
            <w:r w:rsidR="00D94D05" w:rsidRPr="003F6727">
              <w:rPr>
                <w:b/>
                <w:bCs/>
                <w:color w:val="9E001A" w:themeColor="accent1"/>
                <w:highlight w:val="yellow"/>
              </w:rPr>
              <w:t>220</w:t>
            </w:r>
          </w:p>
        </w:tc>
        <w:tc>
          <w:tcPr>
            <w:tcW w:w="536" w:type="pct"/>
            <w:vAlign w:val="center"/>
          </w:tcPr>
          <w:p w14:paraId="51B59C90" w14:textId="35EF7262" w:rsidR="006829D6" w:rsidRPr="003F6727" w:rsidRDefault="006829D6" w:rsidP="00052F93">
            <w:pPr>
              <w:pStyle w:val="TabelaNAPOVED"/>
              <w:rPr>
                <w:highlight w:val="yellow"/>
              </w:rPr>
            </w:pPr>
            <w:r w:rsidRPr="003F6727">
              <w:rPr>
                <w:rFonts w:cs="Arial"/>
                <w:color w:val="000000"/>
                <w:szCs w:val="16"/>
                <w:highlight w:val="yellow"/>
              </w:rPr>
              <w:t>3.018</w:t>
            </w:r>
          </w:p>
        </w:tc>
        <w:tc>
          <w:tcPr>
            <w:tcW w:w="587" w:type="pct"/>
            <w:shd w:val="clear" w:color="auto" w:fill="E9E9E9" w:themeFill="accent3" w:themeFillTint="33"/>
            <w:vAlign w:val="center"/>
          </w:tcPr>
          <w:p w14:paraId="3F442EAF" w14:textId="7125B81B" w:rsidR="006829D6" w:rsidRPr="003F6727" w:rsidRDefault="00EC7D39" w:rsidP="00052F93">
            <w:pPr>
              <w:pStyle w:val="TabelaNAPOVED"/>
              <w:rPr>
                <w:b/>
                <w:bCs/>
                <w:color w:val="9E001A" w:themeColor="accent1"/>
                <w:highlight w:val="yellow"/>
              </w:rPr>
            </w:pPr>
            <w:r w:rsidRPr="003F6727">
              <w:rPr>
                <w:b/>
                <w:bCs/>
                <w:color w:val="9E001A" w:themeColor="accent1"/>
                <w:highlight w:val="yellow"/>
              </w:rPr>
              <w:t>3.</w:t>
            </w:r>
            <w:r w:rsidR="00D94D05" w:rsidRPr="003F6727">
              <w:rPr>
                <w:b/>
                <w:bCs/>
                <w:color w:val="9E001A" w:themeColor="accent1"/>
                <w:highlight w:val="yellow"/>
              </w:rPr>
              <w:t>128</w:t>
            </w:r>
          </w:p>
        </w:tc>
        <w:tc>
          <w:tcPr>
            <w:tcW w:w="551" w:type="pct"/>
            <w:shd w:val="clear" w:color="auto" w:fill="E9E9E9" w:themeFill="accent3" w:themeFillTint="33"/>
            <w:vAlign w:val="center"/>
          </w:tcPr>
          <w:p w14:paraId="35BFB868" w14:textId="0D08B354" w:rsidR="006829D6" w:rsidRPr="003F6727" w:rsidRDefault="00EC7D39" w:rsidP="00052F93">
            <w:pPr>
              <w:pStyle w:val="TabelaNAPOVED"/>
              <w:rPr>
                <w:b/>
                <w:bCs/>
                <w:color w:val="9E001A" w:themeColor="accent1"/>
                <w:highlight w:val="yellow"/>
              </w:rPr>
            </w:pPr>
            <w:r w:rsidRPr="003F6727">
              <w:rPr>
                <w:b/>
                <w:bCs/>
                <w:color w:val="9E001A" w:themeColor="accent1"/>
                <w:highlight w:val="yellow"/>
              </w:rPr>
              <w:t>3.</w:t>
            </w:r>
            <w:r w:rsidR="00D94D05" w:rsidRPr="003F6727">
              <w:rPr>
                <w:b/>
                <w:bCs/>
                <w:color w:val="9E001A" w:themeColor="accent1"/>
                <w:highlight w:val="yellow"/>
              </w:rPr>
              <w:t>107</w:t>
            </w:r>
          </w:p>
        </w:tc>
      </w:tr>
      <w:tr w:rsidR="006829D6" w:rsidRPr="00767446" w14:paraId="51824D84" w14:textId="77777777" w:rsidTr="00052F93">
        <w:trPr>
          <w:trHeight w:val="361"/>
        </w:trPr>
        <w:tc>
          <w:tcPr>
            <w:tcW w:w="1860" w:type="pct"/>
            <w:vAlign w:val="center"/>
            <w:hideMark/>
          </w:tcPr>
          <w:p w14:paraId="30C30DEC" w14:textId="77777777" w:rsidR="006829D6" w:rsidRPr="003F6727" w:rsidRDefault="006829D6" w:rsidP="006829D6">
            <w:pPr>
              <w:pStyle w:val="TabelalevistolpecNAPOVED"/>
              <w:rPr>
                <w:highlight w:val="yellow"/>
              </w:rPr>
            </w:pPr>
            <w:r w:rsidRPr="003F6727">
              <w:rPr>
                <w:highlight w:val="yellow"/>
              </w:rPr>
              <w:t xml:space="preserve">Tekoči račun, delež v primerjavi z BDP, v % </w:t>
            </w:r>
          </w:p>
        </w:tc>
        <w:tc>
          <w:tcPr>
            <w:tcW w:w="376" w:type="pct"/>
            <w:vAlign w:val="center"/>
          </w:tcPr>
          <w:p w14:paraId="45F9DCA4" w14:textId="28891FB6" w:rsidR="006829D6" w:rsidRPr="003F6727" w:rsidRDefault="00EC7D39" w:rsidP="00052F93">
            <w:pPr>
              <w:pStyle w:val="TabelaNAPOVED"/>
              <w:rPr>
                <w:highlight w:val="yellow"/>
              </w:rPr>
            </w:pPr>
            <w:r w:rsidRPr="003F6727">
              <w:rPr>
                <w:highlight w:val="yellow"/>
              </w:rPr>
              <w:t>7,3</w:t>
            </w:r>
          </w:p>
        </w:tc>
        <w:tc>
          <w:tcPr>
            <w:tcW w:w="536" w:type="pct"/>
            <w:vAlign w:val="center"/>
          </w:tcPr>
          <w:p w14:paraId="1D926B7A" w14:textId="246233B1" w:rsidR="006829D6" w:rsidRPr="003F6727" w:rsidRDefault="006829D6" w:rsidP="00052F93">
            <w:pPr>
              <w:pStyle w:val="TabelaNAPOVED"/>
              <w:rPr>
                <w:highlight w:val="yellow"/>
              </w:rPr>
            </w:pPr>
            <w:r w:rsidRPr="003F6727">
              <w:rPr>
                <w:rFonts w:cs="Arial"/>
                <w:color w:val="000000"/>
                <w:szCs w:val="16"/>
                <w:highlight w:val="yellow"/>
              </w:rPr>
              <w:t>6,4</w:t>
            </w:r>
          </w:p>
        </w:tc>
        <w:tc>
          <w:tcPr>
            <w:tcW w:w="554" w:type="pct"/>
            <w:shd w:val="clear" w:color="auto" w:fill="E9E9E9" w:themeFill="accent3" w:themeFillTint="33"/>
            <w:vAlign w:val="center"/>
          </w:tcPr>
          <w:p w14:paraId="1531F061" w14:textId="2C5A52F7" w:rsidR="006829D6" w:rsidRPr="003F6727" w:rsidRDefault="00D94D05" w:rsidP="00052F93">
            <w:pPr>
              <w:pStyle w:val="TabelaNAPOVED"/>
              <w:rPr>
                <w:b/>
                <w:bCs/>
                <w:color w:val="9E001A" w:themeColor="accent1"/>
                <w:highlight w:val="yellow"/>
              </w:rPr>
            </w:pPr>
            <w:r w:rsidRPr="003F6727">
              <w:rPr>
                <w:b/>
                <w:bCs/>
                <w:color w:val="9E001A" w:themeColor="accent1"/>
                <w:highlight w:val="yellow"/>
              </w:rPr>
              <w:t>6,6</w:t>
            </w:r>
          </w:p>
        </w:tc>
        <w:tc>
          <w:tcPr>
            <w:tcW w:w="536" w:type="pct"/>
            <w:vAlign w:val="center"/>
          </w:tcPr>
          <w:p w14:paraId="37DF7089" w14:textId="10025E86" w:rsidR="006829D6" w:rsidRPr="003F6727" w:rsidRDefault="006829D6" w:rsidP="00052F93">
            <w:pPr>
              <w:pStyle w:val="TabelaNAPOVED"/>
              <w:rPr>
                <w:highlight w:val="yellow"/>
              </w:rPr>
            </w:pPr>
            <w:r w:rsidRPr="003F6727">
              <w:rPr>
                <w:rFonts w:cs="Arial"/>
                <w:color w:val="000000"/>
                <w:szCs w:val="16"/>
                <w:highlight w:val="yellow"/>
              </w:rPr>
              <w:t>5,9</w:t>
            </w:r>
          </w:p>
        </w:tc>
        <w:tc>
          <w:tcPr>
            <w:tcW w:w="587" w:type="pct"/>
            <w:shd w:val="clear" w:color="auto" w:fill="E9E9E9" w:themeFill="accent3" w:themeFillTint="33"/>
            <w:vAlign w:val="center"/>
          </w:tcPr>
          <w:p w14:paraId="11ED138F" w14:textId="6E7C446B" w:rsidR="006829D6" w:rsidRPr="003F6727" w:rsidRDefault="00EC7D39" w:rsidP="00052F93">
            <w:pPr>
              <w:pStyle w:val="TabelaNAPOVED"/>
              <w:rPr>
                <w:b/>
                <w:bCs/>
                <w:color w:val="9E001A" w:themeColor="accent1"/>
                <w:highlight w:val="yellow"/>
              </w:rPr>
            </w:pPr>
            <w:r w:rsidRPr="003F6727">
              <w:rPr>
                <w:b/>
                <w:bCs/>
                <w:color w:val="9E001A" w:themeColor="accent1"/>
                <w:highlight w:val="yellow"/>
              </w:rPr>
              <w:t>6,</w:t>
            </w:r>
            <w:r w:rsidR="00D94D05" w:rsidRPr="003F6727">
              <w:rPr>
                <w:b/>
                <w:bCs/>
                <w:color w:val="9E001A" w:themeColor="accent1"/>
                <w:highlight w:val="yellow"/>
              </w:rPr>
              <w:t>1</w:t>
            </w:r>
          </w:p>
        </w:tc>
        <w:tc>
          <w:tcPr>
            <w:tcW w:w="551" w:type="pct"/>
            <w:shd w:val="clear" w:color="auto" w:fill="E9E9E9" w:themeFill="accent3" w:themeFillTint="33"/>
            <w:vAlign w:val="center"/>
          </w:tcPr>
          <w:p w14:paraId="4F141BFB" w14:textId="14844978" w:rsidR="006829D6" w:rsidRPr="003F6727" w:rsidRDefault="00D94D05" w:rsidP="00EC7D39">
            <w:pPr>
              <w:pStyle w:val="TabelaNAPOVED"/>
              <w:rPr>
                <w:b/>
                <w:bCs/>
                <w:color w:val="9E001A" w:themeColor="accent1"/>
                <w:highlight w:val="yellow"/>
              </w:rPr>
            </w:pPr>
            <w:r w:rsidRPr="003F6727">
              <w:rPr>
                <w:b/>
                <w:bCs/>
                <w:color w:val="9E001A" w:themeColor="accent1"/>
                <w:highlight w:val="yellow"/>
              </w:rPr>
              <w:t>5</w:t>
            </w:r>
            <w:r w:rsidR="00EC7D39" w:rsidRPr="003F6727">
              <w:rPr>
                <w:b/>
                <w:bCs/>
                <w:color w:val="9E001A" w:themeColor="accent1"/>
                <w:highlight w:val="yellow"/>
              </w:rPr>
              <w:t>,</w:t>
            </w:r>
            <w:r w:rsidRPr="003F6727">
              <w:rPr>
                <w:b/>
                <w:bCs/>
                <w:color w:val="9E001A" w:themeColor="accent1"/>
                <w:highlight w:val="yellow"/>
              </w:rPr>
              <w:t>8</w:t>
            </w:r>
          </w:p>
        </w:tc>
      </w:tr>
    </w:tbl>
    <w:p w14:paraId="0EE498EC" w14:textId="2A874AFE" w:rsidR="00C000FC" w:rsidRPr="00767446" w:rsidRDefault="00C000FC" w:rsidP="00C000FC">
      <w:pPr>
        <w:pStyle w:val="VirNAPOVED"/>
      </w:pPr>
      <w:r w:rsidRPr="00767446">
        <w:t xml:space="preserve">Vir: BS </w:t>
      </w:r>
      <w:r w:rsidR="003E35C2" w:rsidRPr="00767446">
        <w:t>−</w:t>
      </w:r>
      <w:r w:rsidRPr="00767446">
        <w:t xml:space="preserve"> plačilno bilančna statistika, 202</w:t>
      </w:r>
      <w:r w:rsidR="005147B5">
        <w:t>1</w:t>
      </w:r>
      <w:r w:rsidRPr="00767446">
        <w:t>−202</w:t>
      </w:r>
      <w:r w:rsidR="005147B5">
        <w:t>3</w:t>
      </w:r>
      <w:r w:rsidRPr="00767446">
        <w:t xml:space="preserve"> napoved UMAR.</w:t>
      </w: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7F12E7" w:rsidRPr="0021486E" w14:paraId="062FC531" w14:textId="77777777" w:rsidTr="008E1A99">
        <w:tc>
          <w:tcPr>
            <w:tcW w:w="4530" w:type="dxa"/>
          </w:tcPr>
          <w:p w14:paraId="28A1B3D2" w14:textId="77777777" w:rsidR="00C45A00" w:rsidRPr="003F6727" w:rsidRDefault="00C45A00" w:rsidP="00716592">
            <w:pPr>
              <w:pStyle w:val="Caption"/>
              <w:rPr>
                <w:highlight w:val="yellow"/>
              </w:rPr>
            </w:pPr>
          </w:p>
          <w:p w14:paraId="7DF71DA3" w14:textId="2A70B448" w:rsidR="007F12E7" w:rsidRPr="003F6727" w:rsidRDefault="007F12E7" w:rsidP="00716592">
            <w:pPr>
              <w:pStyle w:val="Caption"/>
              <w:rPr>
                <w:highlight w:val="yellow"/>
              </w:rPr>
            </w:pPr>
            <w:r w:rsidRPr="003F6727">
              <w:rPr>
                <w:highlight w:val="yellow"/>
              </w:rPr>
              <w:t xml:space="preserve">Slika </w:t>
            </w:r>
            <w:r w:rsidRPr="003F6727">
              <w:rPr>
                <w:highlight w:val="yellow"/>
              </w:rPr>
              <w:fldChar w:fldCharType="begin"/>
            </w:r>
            <w:r w:rsidRPr="003F6727">
              <w:rPr>
                <w:highlight w:val="yellow"/>
              </w:rPr>
              <w:instrText xml:space="preserve"> SEQ Slika \* ARABIC </w:instrText>
            </w:r>
            <w:r w:rsidRPr="003F6727">
              <w:rPr>
                <w:highlight w:val="yellow"/>
              </w:rPr>
              <w:fldChar w:fldCharType="separate"/>
            </w:r>
            <w:r w:rsidR="00D224DD">
              <w:rPr>
                <w:highlight w:val="yellow"/>
              </w:rPr>
              <w:t>37</w:t>
            </w:r>
            <w:r w:rsidRPr="003F6727">
              <w:rPr>
                <w:highlight w:val="yellow"/>
              </w:rPr>
              <w:fldChar w:fldCharType="end"/>
            </w:r>
            <w:r w:rsidRPr="003F6727">
              <w:rPr>
                <w:highlight w:val="yellow"/>
              </w:rPr>
              <w:t xml:space="preserve">: </w:t>
            </w:r>
            <w:r w:rsidRPr="00554D9B">
              <w:t>Presežek tekočega računa se bo v obdobju napovedi ohranjal na visoki ravni</w:t>
            </w:r>
          </w:p>
          <w:p w14:paraId="0C38F346" w14:textId="77777777" w:rsidR="007F12E7" w:rsidRPr="003F6727" w:rsidRDefault="007F12E7" w:rsidP="00716592">
            <w:pPr>
              <w:pStyle w:val="Caption"/>
              <w:rPr>
                <w:highlight w:val="yellow"/>
              </w:rPr>
            </w:pPr>
          </w:p>
          <w:p w14:paraId="7FD97E0C" w14:textId="77777777" w:rsidR="007F12E7" w:rsidRPr="003F6727" w:rsidRDefault="007F12E7" w:rsidP="00716592">
            <w:pPr>
              <w:pStyle w:val="Caption"/>
              <w:rPr>
                <w:highlight w:val="yellow"/>
              </w:rPr>
            </w:pPr>
          </w:p>
          <w:p w14:paraId="55C58659" w14:textId="279B0E4E" w:rsidR="007F12E7" w:rsidRPr="003F6727" w:rsidRDefault="00F3570C" w:rsidP="00716592">
            <w:pPr>
              <w:pStyle w:val="Caption"/>
              <w:rPr>
                <w:highlight w:val="yellow"/>
              </w:rPr>
            </w:pPr>
            <w:r w:rsidRPr="003F6727">
              <w:rPr>
                <w:highlight w:val="yellow"/>
                <w:lang w:eastAsia="sl-SI"/>
              </w:rPr>
              <w:drawing>
                <wp:inline distT="0" distB="0" distL="0" distR="0" wp14:anchorId="743F77D4" wp14:editId="3B542EFA">
                  <wp:extent cx="2738755" cy="2240915"/>
                  <wp:effectExtent l="0" t="0" r="4445" b="6985"/>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c>
          <w:tcPr>
            <w:tcW w:w="4530" w:type="dxa"/>
          </w:tcPr>
          <w:p w14:paraId="5F8BC5AA" w14:textId="77777777" w:rsidR="00C45A00" w:rsidRPr="003F6727" w:rsidRDefault="00C45A00" w:rsidP="00716592">
            <w:pPr>
              <w:pStyle w:val="Caption"/>
              <w:rPr>
                <w:highlight w:val="yellow"/>
              </w:rPr>
            </w:pPr>
          </w:p>
          <w:p w14:paraId="15BFE511" w14:textId="0DC11D35" w:rsidR="007F12E7" w:rsidRPr="003F6727" w:rsidRDefault="007F12E7" w:rsidP="00716592">
            <w:pPr>
              <w:pStyle w:val="Caption"/>
              <w:rPr>
                <w:highlight w:val="yellow"/>
              </w:rPr>
            </w:pPr>
            <w:r w:rsidRPr="003F6727">
              <w:rPr>
                <w:highlight w:val="yellow"/>
              </w:rPr>
              <w:t xml:space="preserve">Slika </w:t>
            </w:r>
            <w:r w:rsidRPr="003F6727">
              <w:rPr>
                <w:highlight w:val="yellow"/>
              </w:rPr>
              <w:fldChar w:fldCharType="begin"/>
            </w:r>
            <w:r w:rsidRPr="003F6727">
              <w:rPr>
                <w:highlight w:val="yellow"/>
              </w:rPr>
              <w:instrText xml:space="preserve"> SEQ Slika \* ARABIC </w:instrText>
            </w:r>
            <w:r w:rsidRPr="003F6727">
              <w:rPr>
                <w:highlight w:val="yellow"/>
              </w:rPr>
              <w:fldChar w:fldCharType="separate"/>
            </w:r>
            <w:r w:rsidR="00D224DD">
              <w:rPr>
                <w:highlight w:val="yellow"/>
              </w:rPr>
              <w:t>38</w:t>
            </w:r>
            <w:r w:rsidRPr="003F6727">
              <w:rPr>
                <w:highlight w:val="yellow"/>
              </w:rPr>
              <w:fldChar w:fldCharType="end"/>
            </w:r>
            <w:r w:rsidRPr="003F6727">
              <w:rPr>
                <w:highlight w:val="yellow"/>
              </w:rPr>
              <w:t xml:space="preserve">: </w:t>
            </w:r>
            <w:r w:rsidRPr="00554D9B">
              <w:t>Cenovna gibanja bodo imela letos na saldo menjave blaga ve</w:t>
            </w:r>
            <w:r w:rsidR="00FC0F10" w:rsidRPr="00554D9B">
              <w:t>čji</w:t>
            </w:r>
            <w:r w:rsidRPr="00554D9B">
              <w:t xml:space="preserve"> </w:t>
            </w:r>
            <w:r w:rsidR="00FC0F10" w:rsidRPr="00554D9B">
              <w:t>negativen</w:t>
            </w:r>
            <w:r w:rsidRPr="00554D9B">
              <w:t xml:space="preserve"> učinek</w:t>
            </w:r>
          </w:p>
          <w:p w14:paraId="7DC383C1" w14:textId="77777777" w:rsidR="007F12E7" w:rsidRPr="003F6727" w:rsidRDefault="007F12E7" w:rsidP="00716592">
            <w:pPr>
              <w:pStyle w:val="Caption"/>
              <w:rPr>
                <w:highlight w:val="yellow"/>
              </w:rPr>
            </w:pPr>
          </w:p>
          <w:p w14:paraId="50A2875C" w14:textId="68133326" w:rsidR="007F12E7" w:rsidRPr="003F6727" w:rsidRDefault="0021486E" w:rsidP="00716592">
            <w:pPr>
              <w:pStyle w:val="Caption"/>
              <w:rPr>
                <w:highlight w:val="yellow"/>
              </w:rPr>
            </w:pPr>
            <w:r w:rsidRPr="003F6727">
              <w:rPr>
                <w:highlight w:val="yellow"/>
                <w:lang w:eastAsia="sl-SI"/>
              </w:rPr>
              <w:drawing>
                <wp:inline distT="0" distB="0" distL="0" distR="0" wp14:anchorId="02056F96" wp14:editId="39B82293">
                  <wp:extent cx="2734945" cy="2242185"/>
                  <wp:effectExtent l="0" t="0" r="8255" b="571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r>
    </w:tbl>
    <w:p w14:paraId="6C7DC520" w14:textId="77777777" w:rsidR="00C000FC" w:rsidRPr="00D06770" w:rsidRDefault="00C000FC" w:rsidP="00206A47">
      <w:pPr>
        <w:pStyle w:val="BesediloNAPOVED"/>
        <w:rPr>
          <w:bCs/>
        </w:rPr>
      </w:pPr>
    </w:p>
    <w:p w14:paraId="4284A9FD" w14:textId="7796BE56" w:rsidR="00C17605" w:rsidRPr="00767446" w:rsidRDefault="001B44DC" w:rsidP="00C17605">
      <w:pPr>
        <w:pStyle w:val="Heading1"/>
      </w:pPr>
      <w:bookmarkStart w:id="53" w:name="_Toc81050602"/>
      <w:bookmarkEnd w:id="45"/>
      <w:r w:rsidRPr="00767446">
        <w:lastRenderedPageBreak/>
        <w:t>Tveganja glede uresničitve napovedi</w:t>
      </w:r>
      <w:bookmarkEnd w:id="53"/>
    </w:p>
    <w:bookmarkEnd w:id="7"/>
    <w:p w14:paraId="0C8E4D64" w14:textId="0D386CF9" w:rsidR="00F41F9C" w:rsidRDefault="00964201" w:rsidP="00F41F9C">
      <w:pPr>
        <w:pStyle w:val="BesediloNAPOVED"/>
      </w:pPr>
      <w:r w:rsidRPr="00964201">
        <w:rPr>
          <w:b/>
        </w:rPr>
        <w:t xml:space="preserve">Največje tveganje za uresničitev </w:t>
      </w:r>
      <w:r w:rsidR="009110B7">
        <w:rPr>
          <w:b/>
        </w:rPr>
        <w:t>Jesenske</w:t>
      </w:r>
      <w:r w:rsidRPr="00964201">
        <w:rPr>
          <w:b/>
        </w:rPr>
        <w:t xml:space="preserve"> napovedi </w:t>
      </w:r>
      <w:r w:rsidR="008C350B">
        <w:rPr>
          <w:b/>
        </w:rPr>
        <w:t>ostaja</w:t>
      </w:r>
      <w:r w:rsidRPr="00964201">
        <w:rPr>
          <w:b/>
        </w:rPr>
        <w:t xml:space="preserve"> povezano z epidemiološkimi razmerami v Sloveniji in v najpomembnejših trgovinskih partnericah, pomembno </w:t>
      </w:r>
      <w:r w:rsidR="00B06876">
        <w:rPr>
          <w:b/>
        </w:rPr>
        <w:t>je</w:t>
      </w:r>
      <w:r w:rsidRPr="00964201">
        <w:rPr>
          <w:b/>
        </w:rPr>
        <w:t xml:space="preserve"> tudi </w:t>
      </w:r>
      <w:r w:rsidR="00FC77CE">
        <w:rPr>
          <w:b/>
        </w:rPr>
        <w:t xml:space="preserve">premišljeno prilagajanje </w:t>
      </w:r>
      <w:r w:rsidRPr="00964201">
        <w:rPr>
          <w:b/>
        </w:rPr>
        <w:t>ukrepov za blaženje posledic epidemije</w:t>
      </w:r>
      <w:r w:rsidR="00FC77CE">
        <w:rPr>
          <w:b/>
        </w:rPr>
        <w:t xml:space="preserve"> </w:t>
      </w:r>
      <w:r w:rsidR="00FC77CE" w:rsidRPr="00FC77CE">
        <w:rPr>
          <w:b/>
        </w:rPr>
        <w:t xml:space="preserve">glede na epidemiološko </w:t>
      </w:r>
      <w:r w:rsidR="00BF679C">
        <w:rPr>
          <w:b/>
        </w:rPr>
        <w:t xml:space="preserve">in gospodarsko </w:t>
      </w:r>
      <w:r w:rsidR="00FC77CE" w:rsidRPr="00FC77CE">
        <w:rPr>
          <w:b/>
        </w:rPr>
        <w:t>situacijo</w:t>
      </w:r>
      <w:r w:rsidRPr="00964201">
        <w:rPr>
          <w:b/>
        </w:rPr>
        <w:t xml:space="preserve">. </w:t>
      </w:r>
      <w:r w:rsidR="00501109">
        <w:t xml:space="preserve">Morebitni strožji omejitveni ukrepi ob novih valovih okužb, tudi kot posledica novih in bolj nalezljivih mutacij </w:t>
      </w:r>
      <w:proofErr w:type="spellStart"/>
      <w:r w:rsidR="00501109">
        <w:t>koronavirusa</w:t>
      </w:r>
      <w:proofErr w:type="spellEnd"/>
      <w:r w:rsidR="00501109">
        <w:t xml:space="preserve"> in/ali nepripravljenosti prebivalstva za cepljenje, ter s tem povezana ponovna večja zaprtja gospodarstev v prihodnje predstavljajo največjo grožnjo stabilnejšemu okrevanju. Visoka negotovost oziroma zaskrbljenost gospodinjstev zaradi potencialne ogroženosti posameznih delovnih mest ter zaprtje oziroma omejeno delovanje predvsem storitvenih dejavnosti, ki zahtevajo več stika, bi vplivala tudi na ohranjanje visoke ravni previdnostnega in prisilnega varčevanja oziroma njegovo počasnejše sproščanje. </w:t>
      </w:r>
      <w:r w:rsidR="00FC77CE">
        <w:t xml:space="preserve">Pomembno </w:t>
      </w:r>
      <w:r w:rsidR="005D4F8E">
        <w:t>je</w:t>
      </w:r>
      <w:r w:rsidR="00FC77CE">
        <w:t xml:space="preserve"> tudi </w:t>
      </w:r>
      <w:r w:rsidR="005D4F8E">
        <w:t xml:space="preserve">premišljeno </w:t>
      </w:r>
      <w:r w:rsidR="00FC77CE" w:rsidRPr="00FC77CE">
        <w:t xml:space="preserve">prilagajanje ukrepov za blaženje posledic epidemije glede na epidemiološko </w:t>
      </w:r>
      <w:r w:rsidR="00BF679C">
        <w:t xml:space="preserve">in gospodarsko </w:t>
      </w:r>
      <w:r w:rsidR="00FC77CE" w:rsidRPr="00FC77CE">
        <w:t>situacijo</w:t>
      </w:r>
      <w:r w:rsidR="00FC77CE">
        <w:t xml:space="preserve">- njihovo </w:t>
      </w:r>
      <w:r w:rsidR="00232E9F">
        <w:t xml:space="preserve">prehitro umikanje bi </w:t>
      </w:r>
      <w:r w:rsidR="00FC77CE">
        <w:t>namreč lahko ogrozilo gospodarsko okrevanje, p</w:t>
      </w:r>
      <w:r w:rsidR="00232E9F">
        <w:t xml:space="preserve">o drugi strani pa bi njihova prepozna odstranitev lahko vodila v preživetje manj produktivnih podjetij in posledične neučinkovite alokacije kapitala in dela ter nižje gospodarske rasti. </w:t>
      </w:r>
      <w:r w:rsidR="005D4F8E">
        <w:t>Ključno je</w:t>
      </w:r>
      <w:r w:rsidR="00232E9F">
        <w:t>, da se vladni ukrepi prilagodijo od podpornih, ki varujejo podjetja in službe, k spodbudnim, ki bi zagotavljali učinkovito alokacijo virov. Večji vpliv podjetniških težav</w:t>
      </w:r>
      <w:r w:rsidR="00D755E0">
        <w:t>,</w:t>
      </w:r>
      <w:r w:rsidR="00232E9F">
        <w:t xml:space="preserve"> zlasti v nekaterih bolj prizadetih storitvenih dejavnostih</w:t>
      </w:r>
      <w:r w:rsidR="00D755E0">
        <w:t>,</w:t>
      </w:r>
      <w:r w:rsidR="00232E9F">
        <w:t xml:space="preserve"> bi se lahko odrazil v večjemu številu propadov in stečajev podjetij, kar bi imelo večji negativen vpliv na trg dela (predvsem v obliki večjega števila dolgotrajno brezposelnih) in posledično prizadetost bančnega in finančnega sektorja. </w:t>
      </w:r>
      <w:r w:rsidR="00383BD4">
        <w:t>Negativno tveganje predstavlja tudi višja inflacija od trenutnih pričakovanj ob hitrejšem okrevanju svetovnih gospodarstev in če bodo trenutne omejitve v ponudbi (ozka grla v oskrbi in višje cene surovin) trajale dlje časa. Slednja lahko pripelje do hitrejšega dviga obrestnih mer, kar bi dodatno negativno vplivalo na posojilno aktivnost.</w:t>
      </w:r>
      <w:r w:rsidR="00F41F9C">
        <w:t xml:space="preserve"> Dodatno negativno tveganje predstavlja tudi morebitna (prezgodnja) vrnitev k fiskalnim pravilom, ko gospodarstvo še ne bi v celoti okrevalo. </w:t>
      </w:r>
      <w:r w:rsidR="00F41F9C" w:rsidRPr="003F6727">
        <w:rPr>
          <w:bCs/>
          <w:highlight w:val="yellow"/>
        </w:rPr>
        <w:t>V začetku marca 2021 je namreč EK izdala komunikacijo</w:t>
      </w:r>
      <w:r w:rsidR="00F41F9C" w:rsidRPr="003F6727">
        <w:rPr>
          <w:bCs/>
          <w:highlight w:val="yellow"/>
          <w:vertAlign w:val="superscript"/>
        </w:rPr>
        <w:footnoteReference w:id="58"/>
      </w:r>
      <w:r w:rsidR="00F41F9C" w:rsidRPr="003F6727">
        <w:rPr>
          <w:bCs/>
          <w:highlight w:val="yellow"/>
        </w:rPr>
        <w:t xml:space="preserve"> glede koordinacije fiskalnih politik v evrskem območju, kjer na podlagi ocene gospodarske situacije in prihodnjih izgledov (iz svoje Zimske napovedi), ki jih še vedno zaznamujejo precejšnja tveganja, sporoča, da kazalniki kažejo na aktivirano splošno odstopno klavzulo od fiskalnih pravil tudi še v letu 2022 in njeno </w:t>
      </w:r>
      <w:proofErr w:type="spellStart"/>
      <w:r w:rsidR="00F41F9C" w:rsidRPr="003F6727">
        <w:rPr>
          <w:bCs/>
          <w:highlight w:val="yellow"/>
        </w:rPr>
        <w:t>deaktivacijo</w:t>
      </w:r>
      <w:proofErr w:type="spellEnd"/>
      <w:r w:rsidR="00F41F9C" w:rsidRPr="003F6727">
        <w:rPr>
          <w:bCs/>
          <w:highlight w:val="yellow"/>
        </w:rPr>
        <w:t xml:space="preserve"> v letu 2023.</w:t>
      </w:r>
      <w:r w:rsidR="00F41F9C" w:rsidRPr="003F6727">
        <w:rPr>
          <w:bCs/>
          <w:highlight w:val="yellow"/>
          <w:vertAlign w:val="superscript"/>
        </w:rPr>
        <w:footnoteReference w:id="59"/>
      </w:r>
      <w:r w:rsidR="00F41F9C" w:rsidRPr="003F6727">
        <w:rPr>
          <w:bCs/>
          <w:highlight w:val="yellow"/>
        </w:rPr>
        <w:t xml:space="preserve"> To naj bi državam omogočalo, da ukrepe opuščajo postopoma in jih preusmerjajo od splošnih na bolj osredotočene ter na ukrepe, ki podpirajo </w:t>
      </w:r>
      <w:proofErr w:type="spellStart"/>
      <w:r w:rsidR="00F41F9C" w:rsidRPr="003F6727">
        <w:rPr>
          <w:bCs/>
          <w:highlight w:val="yellow"/>
        </w:rPr>
        <w:t>realokacijo</w:t>
      </w:r>
      <w:proofErr w:type="spellEnd"/>
      <w:r w:rsidR="00F41F9C" w:rsidRPr="003F6727">
        <w:rPr>
          <w:bCs/>
          <w:highlight w:val="yellow"/>
        </w:rPr>
        <w:t xml:space="preserve"> virov. V času priprave naše Pomladanske napovedi podrobneje razdelane fiskalne usmeritve za posamezne države in srednjeročni fiskalni okvir za Slovenijo tako še niso znani.</w:t>
      </w:r>
      <w:r w:rsidR="00F41F9C" w:rsidRPr="00F41F9C">
        <w:t xml:space="preserve"> </w:t>
      </w:r>
      <w:r w:rsidR="00F41F9C">
        <w:t>FS JE IZPOSTAVIL, DA BI TO TVEGANJE LAHKO NAPAČNO IZKORISTILA KAKŠNA POLITIČNA OPCIJA? Negativna tveganja na globalni ravni pa ostajajo trgovinske napetosti, geopolitični spori, socialni nemiri in podnebne spremembe. Vse skupaj bi vplivalo tudi na počasnejše okrevanje.</w:t>
      </w:r>
    </w:p>
    <w:p w14:paraId="1907048D" w14:textId="3E2B87F4" w:rsidR="00F41F9C" w:rsidRDefault="00F41F9C" w:rsidP="00F41F9C">
      <w:pPr>
        <w:pStyle w:val="BesediloNAPOVED"/>
      </w:pPr>
    </w:p>
    <w:p w14:paraId="7C30E899" w14:textId="754CF53A" w:rsidR="0041390C" w:rsidRPr="007C7B52" w:rsidRDefault="00851350" w:rsidP="0041390C">
      <w:pPr>
        <w:pStyle w:val="BesediloNAPOVED"/>
        <w:rPr>
          <w:bCs/>
        </w:rPr>
      </w:pPr>
      <w:r w:rsidRPr="00F7265E">
        <w:rPr>
          <w:b/>
        </w:rPr>
        <w:t xml:space="preserve">Obstaja tudi </w:t>
      </w:r>
      <w:r w:rsidR="00BD47E0" w:rsidRPr="00F7265E">
        <w:rPr>
          <w:b/>
        </w:rPr>
        <w:t xml:space="preserve">nekaj </w:t>
      </w:r>
      <w:r w:rsidRPr="00F7265E">
        <w:rPr>
          <w:b/>
        </w:rPr>
        <w:t>možnost</w:t>
      </w:r>
      <w:r w:rsidR="00BD47E0" w:rsidRPr="00F7265E">
        <w:rPr>
          <w:b/>
        </w:rPr>
        <w:t>i</w:t>
      </w:r>
      <w:r w:rsidRPr="00F7265E">
        <w:rPr>
          <w:b/>
        </w:rPr>
        <w:t xml:space="preserve">, da bo gospodarska rast višja. </w:t>
      </w:r>
      <w:r w:rsidR="00D546BA" w:rsidRPr="00AC7E94">
        <w:rPr>
          <w:bCs/>
        </w:rPr>
        <w:t xml:space="preserve">Do tega bi lahko prišlo v primeru hitrejšega trajnega izboljšanja epidemioloških razmer od pričakovanj predvsem v povezavi s hitrejšo </w:t>
      </w:r>
      <w:proofErr w:type="spellStart"/>
      <w:r w:rsidR="00D546BA" w:rsidRPr="00AC7E94">
        <w:rPr>
          <w:bCs/>
        </w:rPr>
        <w:t>precepljenostjo</w:t>
      </w:r>
      <w:proofErr w:type="spellEnd"/>
      <w:r w:rsidR="00D546BA" w:rsidRPr="00AC7E94">
        <w:rPr>
          <w:bCs/>
        </w:rPr>
        <w:t xml:space="preserve"> prebivalstva tudi zaradi odobritve novih cepiv in zdravil in večje pripravljenosti ljudi na cepljenje. Povečano mednarodno sodelovanje v povezavi s proizvodnjo in distribucijo cepiv bi prav tako omogočilo hitrejšo globalno </w:t>
      </w:r>
      <w:proofErr w:type="spellStart"/>
      <w:r w:rsidR="00D546BA" w:rsidRPr="00AC7E94">
        <w:rPr>
          <w:bCs/>
        </w:rPr>
        <w:t>precepljenost</w:t>
      </w:r>
      <w:proofErr w:type="spellEnd"/>
      <w:r w:rsidR="00D546BA" w:rsidRPr="00AC7E94">
        <w:rPr>
          <w:bCs/>
        </w:rPr>
        <w:t xml:space="preserve"> in posledično okrevanje. </w:t>
      </w:r>
      <w:r w:rsidR="00D0726E" w:rsidRPr="00AC7E94">
        <w:rPr>
          <w:bCs/>
        </w:rPr>
        <w:t xml:space="preserve">Hitrejše izboljšanje epidemioloških razmer bi lahko vplivalo na hitrejšo potrošnjo presežnih prihrankov gospodinjstev in tudi hitrejšo rast investicij zaradi višje stopnje zaupanja. Višja svetovna gospodarska rast, še posebno </w:t>
      </w:r>
      <w:r w:rsidR="004E2E1A">
        <w:rPr>
          <w:bCs/>
        </w:rPr>
        <w:t xml:space="preserve">zaradi višje rasti </w:t>
      </w:r>
      <w:r w:rsidR="00D0726E" w:rsidRPr="00AC7E94">
        <w:rPr>
          <w:bCs/>
        </w:rPr>
        <w:t>v ZDA in v Kanadi, predstavlja dodatno tveganje</w:t>
      </w:r>
      <w:r w:rsidR="00AA7B06">
        <w:rPr>
          <w:bCs/>
        </w:rPr>
        <w:t xml:space="preserve"> navzgor</w:t>
      </w:r>
      <w:r w:rsidR="00D0726E" w:rsidRPr="00AC7E94">
        <w:rPr>
          <w:bCs/>
        </w:rPr>
        <w:t xml:space="preserve">, saj bi lahko imela večji pozitiven vpliv tudi na rast v EU. </w:t>
      </w:r>
      <w:r w:rsidR="00AC7E94" w:rsidRPr="00AC7E94">
        <w:rPr>
          <w:bCs/>
        </w:rPr>
        <w:t xml:space="preserve">Možnost za hitrejše okrevanje predstavlja hiter in učinkovit zagon črpanja sredstev iz lanskega julija dogovorjenega novega večletnega finančnega okvira in izrednega finančnega paketa (Nova generacija EU) v Sloveniji in naših glavnih trgovinskih partnericah. EU sredstva prinašajo priložnost za naslavljanje razvojnih izzivov, med katerimi so ključni: okrepitev podpore raziskavam, inovacijam in digitalizaciji za dvig produktivnosti, zelena preobrazba s prehodom na bolj trajnosten gospodarski razvoj ter sistemske prilagoditve sistemov socialne zaščite, ki jih v pretežni meri narekujejo demografska gibanja, in zmanjšujejo dolgoročne posledice te krize. </w:t>
      </w:r>
    </w:p>
    <w:p w14:paraId="60ABC7C6" w14:textId="2082B004" w:rsidR="00AC7E94" w:rsidRPr="00AC7E94" w:rsidRDefault="00AC7E94" w:rsidP="00AC7E94">
      <w:pPr>
        <w:pStyle w:val="BesediloNAPOVED"/>
        <w:rPr>
          <w:bCs/>
        </w:rPr>
      </w:pPr>
    </w:p>
    <w:p w14:paraId="4122B2D7" w14:textId="6D8A0349" w:rsidR="00714604" w:rsidRDefault="00714604" w:rsidP="004F7E10">
      <w:pPr>
        <w:pStyle w:val="BesediloNAPOVED"/>
        <w:rPr>
          <w:bCs/>
          <w:highlight w:val="yellow"/>
        </w:rPr>
      </w:pPr>
    </w:p>
    <w:tbl>
      <w:tblPr>
        <w:tblStyle w:val="okvirNAPOVED"/>
        <w:tblW w:w="0" w:type="auto"/>
        <w:tblLook w:val="04A0" w:firstRow="1" w:lastRow="0" w:firstColumn="1" w:lastColumn="0" w:noHBand="0" w:noVBand="1"/>
      </w:tblPr>
      <w:tblGrid>
        <w:gridCol w:w="9060"/>
      </w:tblGrid>
      <w:tr w:rsidR="00677120" w14:paraId="266656A9" w14:textId="77777777" w:rsidTr="00677120">
        <w:tc>
          <w:tcPr>
            <w:tcW w:w="9060" w:type="dxa"/>
          </w:tcPr>
          <w:p w14:paraId="5994ED1E" w14:textId="6A3AEDB5" w:rsidR="00677120" w:rsidRPr="00677120" w:rsidRDefault="00677120" w:rsidP="00677120">
            <w:pPr>
              <w:pStyle w:val="Caption"/>
              <w:rPr>
                <w:highlight w:val="yellow"/>
              </w:rPr>
            </w:pPr>
            <w:r w:rsidRPr="00677120">
              <w:lastRenderedPageBreak/>
              <w:t xml:space="preserve">Okvir </w:t>
            </w:r>
            <w:r w:rsidRPr="00677120">
              <w:fldChar w:fldCharType="begin"/>
            </w:r>
            <w:r w:rsidRPr="00677120">
              <w:instrText xml:space="preserve"> SEQ Okvir \* ARABIC </w:instrText>
            </w:r>
            <w:r w:rsidRPr="00677120">
              <w:fldChar w:fldCharType="separate"/>
            </w:r>
            <w:r w:rsidR="00D224DD">
              <w:t>4</w:t>
            </w:r>
            <w:r w:rsidRPr="00677120">
              <w:fldChar w:fldCharType="end"/>
            </w:r>
            <w:r w:rsidRPr="00677120">
              <w:t>: Alternativni scenariji</w:t>
            </w:r>
          </w:p>
          <w:p w14:paraId="00824E16" w14:textId="77777777" w:rsidR="00677120" w:rsidRDefault="00677120" w:rsidP="004F7E10">
            <w:pPr>
              <w:pStyle w:val="BesediloNAPOVED"/>
              <w:rPr>
                <w:bCs/>
                <w:highlight w:val="yellow"/>
              </w:rPr>
            </w:pPr>
          </w:p>
          <w:p w14:paraId="26B9D0B0" w14:textId="0CE7F9C4" w:rsidR="005E1E39" w:rsidRPr="00A835C2" w:rsidRDefault="005E1E39" w:rsidP="005E1E39">
            <w:pPr>
              <w:pStyle w:val="BesediloNAPOVED"/>
              <w:rPr>
                <w:highlight w:val="yellow"/>
              </w:rPr>
            </w:pPr>
            <w:r w:rsidRPr="00A835C2">
              <w:rPr>
                <w:b/>
                <w:bCs/>
                <w:highlight w:val="yellow"/>
              </w:rPr>
              <w:t xml:space="preserve">Negotovost in tveganja ostajajo visoka in so ključno povezana z epidemiološkimi razmerami. </w:t>
            </w:r>
            <w:r w:rsidRPr="00A835C2">
              <w:rPr>
                <w:highlight w:val="yellow"/>
              </w:rPr>
              <w:t xml:space="preserve">V primeru slabše </w:t>
            </w:r>
            <w:proofErr w:type="spellStart"/>
            <w:r w:rsidRPr="00A835C2">
              <w:rPr>
                <w:highlight w:val="yellow"/>
              </w:rPr>
              <w:t>precepljenosti</w:t>
            </w:r>
            <w:proofErr w:type="spellEnd"/>
            <w:r w:rsidRPr="00A835C2">
              <w:rPr>
                <w:highlight w:val="yellow"/>
              </w:rPr>
              <w:t xml:space="preserve"> in ponovnega izbruha virusa bi se znova ohromilo poslovanje v nekaterih storitvenih dejavnostih. Prizadeto bi bilo predvsem povpraševanje gospodinjstev, deloma pa tudi investicije in izvoz. Povečano število stečajev in višja brezposelnost pa bi vplival</w:t>
            </w:r>
            <w:r w:rsidR="00942EB1" w:rsidRPr="00A835C2">
              <w:rPr>
                <w:highlight w:val="yellow"/>
              </w:rPr>
              <w:t>a</w:t>
            </w:r>
            <w:r w:rsidRPr="00A835C2">
              <w:rPr>
                <w:highlight w:val="yellow"/>
              </w:rPr>
              <w:t xml:space="preserve"> tudi na počasnejše okrevanje prihodnje leto. V tem primeru leta 2022 še ne bi dosegli </w:t>
            </w:r>
            <w:proofErr w:type="spellStart"/>
            <w:r w:rsidRPr="00A835C2">
              <w:rPr>
                <w:highlight w:val="yellow"/>
              </w:rPr>
              <w:t>predkrizne</w:t>
            </w:r>
            <w:proofErr w:type="spellEnd"/>
            <w:r w:rsidRPr="00A835C2">
              <w:rPr>
                <w:highlight w:val="yellow"/>
              </w:rPr>
              <w:t xml:space="preserve"> ravni iz leta 2019. Na drugi strani so tveganja tudi pozitivna: hitrejše umirjanje epidemiološke situacije bi omogočilo večji pospešek domačega povpraševanja in sprostitev storitvenih dejavnosti; v kolikor bi bili takim razmeram priča v širšem mednarodnem prostoru</w:t>
            </w:r>
            <w:r w:rsidR="008C3169" w:rsidRPr="00A835C2">
              <w:rPr>
                <w:highlight w:val="yellow"/>
              </w:rPr>
              <w:t>,</w:t>
            </w:r>
            <w:r w:rsidRPr="00A835C2">
              <w:rPr>
                <w:highlight w:val="yellow"/>
              </w:rPr>
              <w:t xml:space="preserve"> pa bi bila višja tudi rast izvoza. Glede na odprtost slovenskega gospodarstva bi se kar nekaj tega dodatnega povpraševanje sicer odrazilo tudi v višjem uvozu, a gospodarska rast bi bila precej višja. V tem primeru bi dosegli </w:t>
            </w:r>
            <w:proofErr w:type="spellStart"/>
            <w:r w:rsidRPr="00A835C2">
              <w:rPr>
                <w:highlight w:val="yellow"/>
              </w:rPr>
              <w:t>predkrizno</w:t>
            </w:r>
            <w:proofErr w:type="spellEnd"/>
            <w:r w:rsidRPr="00A835C2">
              <w:rPr>
                <w:highlight w:val="yellow"/>
              </w:rPr>
              <w:t xml:space="preserve"> raven že letos.</w:t>
            </w:r>
          </w:p>
          <w:p w14:paraId="22901F96" w14:textId="0E188A86" w:rsidR="00487BEB" w:rsidRPr="00A835C2" w:rsidRDefault="00487BEB" w:rsidP="00487BEB">
            <w:pPr>
              <w:pStyle w:val="BesediloNAPOVED"/>
              <w:rPr>
                <w:highlight w:val="yellow"/>
              </w:rPr>
            </w:pPr>
          </w:p>
          <w:p w14:paraId="773F644E" w14:textId="2EB9427D" w:rsidR="00487BEB" w:rsidRPr="00A835C2" w:rsidRDefault="00487BEB" w:rsidP="00716592">
            <w:pPr>
              <w:pStyle w:val="Caption"/>
              <w:rPr>
                <w:highlight w:val="yellow"/>
              </w:rPr>
            </w:pPr>
            <w:r w:rsidRPr="00A835C2">
              <w:rPr>
                <w:highlight w:val="yellow"/>
              </w:rPr>
              <w:t xml:space="preserve">Slika </w:t>
            </w:r>
            <w:r w:rsidRPr="00A835C2">
              <w:rPr>
                <w:highlight w:val="yellow"/>
              </w:rPr>
              <w:fldChar w:fldCharType="begin"/>
            </w:r>
            <w:r w:rsidRPr="00A835C2">
              <w:rPr>
                <w:highlight w:val="yellow"/>
              </w:rPr>
              <w:instrText xml:space="preserve"> SEQ Slika \* ARABIC </w:instrText>
            </w:r>
            <w:r w:rsidRPr="00A835C2">
              <w:rPr>
                <w:highlight w:val="yellow"/>
              </w:rPr>
              <w:fldChar w:fldCharType="separate"/>
            </w:r>
            <w:r w:rsidR="00D224DD">
              <w:rPr>
                <w:highlight w:val="yellow"/>
              </w:rPr>
              <w:t>39</w:t>
            </w:r>
            <w:r w:rsidRPr="00A835C2">
              <w:rPr>
                <w:highlight w:val="yellow"/>
              </w:rPr>
              <w:fldChar w:fldCharType="end"/>
            </w:r>
            <w:r w:rsidRPr="00A835C2">
              <w:rPr>
                <w:highlight w:val="yellow"/>
              </w:rPr>
              <w:t>: Prikaz osnovnega in alternativnih scenarijev</w:t>
            </w:r>
          </w:p>
          <w:p w14:paraId="5C193457" w14:textId="4DF9DB86" w:rsidR="00487BEB" w:rsidRPr="00A835C2" w:rsidRDefault="00487BEB" w:rsidP="00716592">
            <w:pPr>
              <w:pStyle w:val="Caption"/>
              <w:rPr>
                <w:highlight w:val="yellow"/>
              </w:rPr>
            </w:pPr>
          </w:p>
          <w:p w14:paraId="05678F6E" w14:textId="40B9EF87" w:rsidR="00487BEB" w:rsidRPr="00487BEB" w:rsidRDefault="000660ED" w:rsidP="00487BEB">
            <w:pPr>
              <w:pStyle w:val="BesediloNAPOVED"/>
            </w:pPr>
            <w:r w:rsidRPr="00A835C2">
              <w:rPr>
                <w:noProof/>
                <w:highlight w:val="yellow"/>
              </w:rPr>
              <w:drawing>
                <wp:inline distT="0" distB="0" distL="0" distR="0" wp14:anchorId="2653B2C7" wp14:editId="1ED0A9D8">
                  <wp:extent cx="5539754" cy="2016622"/>
                  <wp:effectExtent l="0" t="0" r="3810" b="3175"/>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02985" cy="2039640"/>
                          </a:xfrm>
                          <a:prstGeom prst="rect">
                            <a:avLst/>
                          </a:prstGeom>
                          <a:noFill/>
                          <a:ln>
                            <a:noFill/>
                          </a:ln>
                        </pic:spPr>
                      </pic:pic>
                    </a:graphicData>
                  </a:graphic>
                </wp:inline>
              </w:drawing>
            </w:r>
          </w:p>
          <w:p w14:paraId="4A512788" w14:textId="63CC9E74" w:rsidR="00677120" w:rsidRDefault="00677120" w:rsidP="00677120">
            <w:pPr>
              <w:pStyle w:val="BesediloNAPOVED"/>
              <w:keepNext/>
              <w:rPr>
                <w:bCs/>
                <w:highlight w:val="yellow"/>
              </w:rPr>
            </w:pPr>
          </w:p>
        </w:tc>
      </w:tr>
    </w:tbl>
    <w:p w14:paraId="08E95DE2" w14:textId="6BB4B2B9" w:rsidR="00714604" w:rsidRDefault="00714604" w:rsidP="004F7E10">
      <w:pPr>
        <w:pStyle w:val="BesediloNAPOVED"/>
        <w:rPr>
          <w:bCs/>
          <w:highlight w:val="yellow"/>
        </w:rPr>
      </w:pPr>
    </w:p>
    <w:p w14:paraId="006B6CE0" w14:textId="6D0F99A7" w:rsidR="00714604" w:rsidRDefault="00714604" w:rsidP="00714604">
      <w:pPr>
        <w:pStyle w:val="Heading1"/>
      </w:pPr>
      <w:bookmarkStart w:id="55" w:name="_Toc50972048"/>
      <w:bookmarkStart w:id="56" w:name="_Toc81050603"/>
      <w:r>
        <w:lastRenderedPageBreak/>
        <w:t>Proizvodna vrzel in rast potencialnega BDP</w:t>
      </w:r>
      <w:bookmarkEnd w:id="55"/>
      <w:bookmarkEnd w:id="56"/>
    </w:p>
    <w:p w14:paraId="0A868C10" w14:textId="66B806F8" w:rsidR="00393333" w:rsidRDefault="00393333" w:rsidP="00393333">
      <w:pPr>
        <w:pStyle w:val="BesediloNAPOVED"/>
      </w:pPr>
    </w:p>
    <w:p w14:paraId="3A48F49C" w14:textId="772C3187" w:rsidR="007F58C8" w:rsidRPr="00A835C2" w:rsidRDefault="007F58C8" w:rsidP="007F58C8">
      <w:pPr>
        <w:pStyle w:val="BesediloNAPOVED"/>
        <w:rPr>
          <w:highlight w:val="yellow"/>
        </w:rPr>
      </w:pPr>
      <w:r w:rsidRPr="00A835C2">
        <w:rPr>
          <w:b/>
          <w:highlight w:val="yellow"/>
        </w:rPr>
        <w:t>Ocena potencialnega BDP</w:t>
      </w:r>
      <w:r w:rsidRPr="00A835C2">
        <w:rPr>
          <w:b/>
          <w:highlight w:val="yellow"/>
          <w:vertAlign w:val="superscript"/>
        </w:rPr>
        <w:footnoteReference w:id="60"/>
      </w:r>
      <w:r w:rsidRPr="00A835C2">
        <w:rPr>
          <w:b/>
          <w:highlight w:val="yellow"/>
        </w:rPr>
        <w:t xml:space="preserve"> in posledično proizvodne vrzeli je v trenutnih razmerah domačih in mednarodnih tveganj</w:t>
      </w:r>
      <w:r w:rsidR="008C3169" w:rsidRPr="00A835C2">
        <w:rPr>
          <w:b/>
          <w:highlight w:val="yellow"/>
        </w:rPr>
        <w:t>,</w:t>
      </w:r>
      <w:r w:rsidRPr="00A835C2">
        <w:rPr>
          <w:b/>
          <w:highlight w:val="yellow"/>
        </w:rPr>
        <w:t xml:space="preserve"> povezanih z epidemiološko situacijo</w:t>
      </w:r>
      <w:r w:rsidR="008C3169" w:rsidRPr="00A835C2">
        <w:rPr>
          <w:b/>
          <w:highlight w:val="yellow"/>
        </w:rPr>
        <w:t>,</w:t>
      </w:r>
      <w:r w:rsidRPr="00A835C2">
        <w:rPr>
          <w:b/>
          <w:highlight w:val="yellow"/>
        </w:rPr>
        <w:t xml:space="preserve"> podvržena velikim negotovostim in tveganju za kasnejše spremembe. </w:t>
      </w:r>
      <w:r w:rsidRPr="00A835C2">
        <w:rPr>
          <w:highlight w:val="yellow"/>
        </w:rPr>
        <w:t>Potencialni BDP ni neposredno izmerljiv, zato se lahko njegove ocene spreminjajo v odvisnosti od vhodnih podatkov ali metodologije. Vhodni podatki se pogosto spreminjajo zaradi revizije rasti BDP v preteklih letih, sprememb v napovedi rasti BDP in drugih vhodnih kategorij v prihodnjih letih ter sprememb v dolžini vključenih časovnih serij. Zaradi teh dejavnikov lahko kasnejše ocene za isto obdobje privedejo do opaznih sprememb v višini potencialnega BDP in proizvodne vrzeli. Ker je v trenutnih razmerah verjetnost prihodnjih revizij vhodnih podatkov velika, je trenutne ocene potencialnega BDP in proizvodne vrzeli smiselno upoštevati zgolj v kontekstu predpostavk in širše gospodarske slike, v kateri so bile narejene.</w:t>
      </w:r>
    </w:p>
    <w:p w14:paraId="1BDCD3CD" w14:textId="77777777" w:rsidR="007F58C8" w:rsidRPr="00A835C2" w:rsidRDefault="007F58C8" w:rsidP="007F58C8">
      <w:pPr>
        <w:pStyle w:val="BesediloNAPOVED"/>
        <w:rPr>
          <w:b/>
          <w:highlight w:val="yellow"/>
        </w:rPr>
      </w:pPr>
    </w:p>
    <w:p w14:paraId="01B622C3" w14:textId="3A657C71" w:rsidR="007F58C8" w:rsidRPr="007F58C8" w:rsidRDefault="007F58C8" w:rsidP="007F58C8">
      <w:pPr>
        <w:pStyle w:val="BesediloNAPOVED"/>
        <w:rPr>
          <w:bCs/>
        </w:rPr>
      </w:pPr>
      <w:r w:rsidRPr="00A835C2">
        <w:rPr>
          <w:b/>
          <w:highlight w:val="yellow"/>
        </w:rPr>
        <w:t xml:space="preserve">Po trenutni oceni naj bi potencialni BDP po lanski skromni rasti letos in v prihodnjih dveh letih razmeroma hitro okreval, k čemur naj bi pripomogla predvidena krepitev investicij in kapitala ter izboljšanje razmer na trgu dela. </w:t>
      </w:r>
      <w:r w:rsidRPr="00A835C2">
        <w:rPr>
          <w:bCs/>
          <w:highlight w:val="yellow"/>
        </w:rPr>
        <w:t xml:space="preserve">V povprečju obdobja napovedi (2021–2023) naj bi rast znašala 2,6 %, kar je sicer več kot v obdobju zadnjih desetih let, ko so nanjo vplivali učinki krize, vendar manj kot pred letom 2009, ko je Slovenija še hitreje dohitevala razvitejše države EU. K potencialni rasti naj bi v obdobju napovedi še vedno največ prispevala </w:t>
      </w:r>
      <w:r w:rsidRPr="00A835C2">
        <w:rPr>
          <w:bCs/>
          <w:i/>
          <w:highlight w:val="yellow"/>
        </w:rPr>
        <w:t>skupna faktorska produktivnosti</w:t>
      </w:r>
      <w:r w:rsidRPr="00A835C2">
        <w:rPr>
          <w:bCs/>
          <w:highlight w:val="yellow"/>
        </w:rPr>
        <w:t xml:space="preserve"> (1,3 o. t.), katere rast bo predvidoma podobna kot v obdobju pred prejšnjo gospodarsko-finančno krizo. Ob predvideni rasti investicij, povezanih z dodatnimi EU sredstvi, naj bi se prispevek </w:t>
      </w:r>
      <w:r w:rsidRPr="00A835C2">
        <w:rPr>
          <w:bCs/>
          <w:i/>
          <w:highlight w:val="yellow"/>
        </w:rPr>
        <w:t>kapitala</w:t>
      </w:r>
      <w:r w:rsidRPr="00A835C2">
        <w:rPr>
          <w:bCs/>
          <w:highlight w:val="yellow"/>
        </w:rPr>
        <w:t xml:space="preserve"> v obdobju 2021–2023 postopoma povečeval, vendar bo v povprečju (0,7 o. t.) še vedno nižji kot v daljšem obdobju pred prejšnjo krizo.</w:t>
      </w:r>
      <w:r w:rsidRPr="00A835C2">
        <w:rPr>
          <w:bCs/>
          <w:highlight w:val="yellow"/>
          <w:vertAlign w:val="superscript"/>
        </w:rPr>
        <w:footnoteReference w:id="61"/>
      </w:r>
      <w:r w:rsidRPr="00A835C2">
        <w:rPr>
          <w:bCs/>
          <w:highlight w:val="yellow"/>
        </w:rPr>
        <w:t xml:space="preserve"> To je posledica majhnega obsega investicij v večletnem obdobju po začetku gospodarske in finančne krize. </w:t>
      </w:r>
      <w:r w:rsidRPr="00A835C2">
        <w:rPr>
          <w:bCs/>
          <w:i/>
          <w:highlight w:val="yellow"/>
        </w:rPr>
        <w:t>Delo</w:t>
      </w:r>
      <w:r w:rsidRPr="00A835C2">
        <w:rPr>
          <w:bCs/>
          <w:highlight w:val="yellow"/>
        </w:rPr>
        <w:t xml:space="preserve"> naj bi k potencialni rasti v obdobju napovedi v povprečju prispevalo 0,7 o. t., kar bo odraz predvidene nadaljnje ugodne dinamike pritoka tuje delovne sile, ki je tudi v preteklem, zaostrenem letu ostal na visoki ravni, in nadaljnjega zviševanja stopnje aktivnosti. To bo tudi vidno blažilo postopno upadanje števila prebivalcev v starosti 20–64 let, ki zadnjih deset let negativno vpliva na obseg razpoložljive delovne sile.</w:t>
      </w:r>
    </w:p>
    <w:p w14:paraId="1CCD65DD" w14:textId="0EC98C5B" w:rsidR="00051E19" w:rsidRDefault="00051E19" w:rsidP="009F5EBD">
      <w:pPr>
        <w:pStyle w:val="BesediloNAPOVED"/>
        <w:rPr>
          <w:rStyle w:val="VodilnistavekBoldpoudarekNAPOVED"/>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9F5EBD" w:rsidRPr="00A835C2" w14:paraId="3794B211" w14:textId="77777777" w:rsidTr="008E1A99">
        <w:tc>
          <w:tcPr>
            <w:tcW w:w="4530" w:type="dxa"/>
          </w:tcPr>
          <w:p w14:paraId="297A471B" w14:textId="07CDA1B2" w:rsidR="009F5EBD" w:rsidRPr="00A835C2" w:rsidRDefault="009F5EBD" w:rsidP="00716592">
            <w:pPr>
              <w:pStyle w:val="Caption"/>
              <w:rPr>
                <w:highlight w:val="yellow"/>
              </w:rPr>
            </w:pPr>
            <w:r w:rsidRPr="00A835C2">
              <w:rPr>
                <w:highlight w:val="yellow"/>
              </w:rPr>
              <w:lastRenderedPageBreak/>
              <w:t xml:space="preserve">Slika </w:t>
            </w:r>
            <w:r w:rsidRPr="00A835C2">
              <w:rPr>
                <w:highlight w:val="yellow"/>
              </w:rPr>
              <w:fldChar w:fldCharType="begin"/>
            </w:r>
            <w:r w:rsidRPr="00A835C2">
              <w:rPr>
                <w:highlight w:val="yellow"/>
              </w:rPr>
              <w:instrText xml:space="preserve"> SEQ Slika \* ARABIC </w:instrText>
            </w:r>
            <w:r w:rsidRPr="00A835C2">
              <w:rPr>
                <w:highlight w:val="yellow"/>
              </w:rPr>
              <w:fldChar w:fldCharType="separate"/>
            </w:r>
            <w:r w:rsidR="00D224DD">
              <w:rPr>
                <w:highlight w:val="yellow"/>
              </w:rPr>
              <w:t>40</w:t>
            </w:r>
            <w:r w:rsidRPr="00A835C2">
              <w:rPr>
                <w:highlight w:val="yellow"/>
              </w:rPr>
              <w:fldChar w:fldCharType="end"/>
            </w:r>
            <w:r w:rsidRPr="00A835C2">
              <w:rPr>
                <w:highlight w:val="yellow"/>
              </w:rPr>
              <w:t>: Sprememba potencialnega BDP, primerjava izračunov UMAR in EK</w:t>
            </w:r>
          </w:p>
          <w:p w14:paraId="5306A0FD" w14:textId="77777777" w:rsidR="009F5EBD" w:rsidRPr="00A835C2" w:rsidRDefault="009F5EBD" w:rsidP="00716592">
            <w:pPr>
              <w:pStyle w:val="Caption"/>
              <w:rPr>
                <w:highlight w:val="yellow"/>
              </w:rPr>
            </w:pPr>
          </w:p>
          <w:p w14:paraId="405ADD02" w14:textId="3E5EDB2C" w:rsidR="009F5EBD" w:rsidRPr="00A835C2" w:rsidRDefault="00911F7F" w:rsidP="00716592">
            <w:pPr>
              <w:pStyle w:val="Caption"/>
              <w:rPr>
                <w:highlight w:val="yellow"/>
              </w:rPr>
            </w:pPr>
            <w:r w:rsidRPr="00A835C2">
              <w:rPr>
                <w:highlight w:val="yellow"/>
                <w:lang w:eastAsia="sl-SI"/>
              </w:rPr>
              <w:drawing>
                <wp:inline distT="0" distB="0" distL="0" distR="0" wp14:anchorId="109F3416" wp14:editId="2229F313">
                  <wp:extent cx="2734945" cy="2242185"/>
                  <wp:effectExtent l="0" t="0" r="8255" b="5715"/>
                  <wp:docPr id="122" name="Slika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34945" cy="2242185"/>
                          </a:xfrm>
                          <a:prstGeom prst="rect">
                            <a:avLst/>
                          </a:prstGeom>
                          <a:noFill/>
                          <a:ln>
                            <a:noFill/>
                          </a:ln>
                        </pic:spPr>
                      </pic:pic>
                    </a:graphicData>
                  </a:graphic>
                </wp:inline>
              </w:drawing>
            </w:r>
          </w:p>
        </w:tc>
        <w:tc>
          <w:tcPr>
            <w:tcW w:w="4530" w:type="dxa"/>
          </w:tcPr>
          <w:p w14:paraId="78DD5A0F" w14:textId="6398F643" w:rsidR="009F5EBD" w:rsidRPr="00A835C2" w:rsidRDefault="009F5EBD" w:rsidP="00716592">
            <w:pPr>
              <w:pStyle w:val="Caption"/>
              <w:rPr>
                <w:highlight w:val="yellow"/>
              </w:rPr>
            </w:pPr>
            <w:r w:rsidRPr="00A835C2">
              <w:rPr>
                <w:highlight w:val="yellow"/>
              </w:rPr>
              <w:t xml:space="preserve">Slika </w:t>
            </w:r>
            <w:r w:rsidRPr="00A835C2">
              <w:rPr>
                <w:highlight w:val="yellow"/>
              </w:rPr>
              <w:fldChar w:fldCharType="begin"/>
            </w:r>
            <w:r w:rsidRPr="00A835C2">
              <w:rPr>
                <w:highlight w:val="yellow"/>
              </w:rPr>
              <w:instrText xml:space="preserve"> SEQ Slika \* ARABIC </w:instrText>
            </w:r>
            <w:r w:rsidRPr="00A835C2">
              <w:rPr>
                <w:highlight w:val="yellow"/>
              </w:rPr>
              <w:fldChar w:fldCharType="separate"/>
            </w:r>
            <w:r w:rsidR="00D224DD">
              <w:rPr>
                <w:highlight w:val="yellow"/>
              </w:rPr>
              <w:t>41</w:t>
            </w:r>
            <w:r w:rsidRPr="00A835C2">
              <w:rPr>
                <w:highlight w:val="yellow"/>
              </w:rPr>
              <w:fldChar w:fldCharType="end"/>
            </w:r>
            <w:r w:rsidRPr="00A835C2">
              <w:rPr>
                <w:highlight w:val="yellow"/>
              </w:rPr>
              <w:t>: BDP in potencialni BDP</w:t>
            </w:r>
          </w:p>
          <w:p w14:paraId="5ED4E476" w14:textId="77777777" w:rsidR="009F5EBD" w:rsidRPr="00A835C2" w:rsidRDefault="009F5EBD" w:rsidP="00716592">
            <w:pPr>
              <w:pStyle w:val="Caption"/>
              <w:rPr>
                <w:highlight w:val="yellow"/>
              </w:rPr>
            </w:pPr>
          </w:p>
          <w:p w14:paraId="284D7C2E" w14:textId="77777777" w:rsidR="009F5EBD" w:rsidRPr="00A835C2" w:rsidRDefault="009F5EBD" w:rsidP="00716592">
            <w:pPr>
              <w:pStyle w:val="Caption"/>
              <w:rPr>
                <w:highlight w:val="yellow"/>
              </w:rPr>
            </w:pPr>
          </w:p>
          <w:p w14:paraId="3FA1A71C" w14:textId="2BD4EDD7" w:rsidR="009F5EBD" w:rsidRPr="00A835C2" w:rsidRDefault="00F22C51" w:rsidP="00716592">
            <w:pPr>
              <w:pStyle w:val="Caption"/>
              <w:rPr>
                <w:highlight w:val="yellow"/>
              </w:rPr>
            </w:pPr>
            <w:r w:rsidRPr="00A835C2">
              <w:rPr>
                <w:highlight w:val="yellow"/>
                <w:lang w:eastAsia="sl-SI"/>
              </w:rPr>
              <w:drawing>
                <wp:inline distT="0" distB="0" distL="0" distR="0" wp14:anchorId="31229A04" wp14:editId="59DA6EAE">
                  <wp:extent cx="2738755" cy="2240915"/>
                  <wp:effectExtent l="0" t="0" r="4445" b="6985"/>
                  <wp:docPr id="123" name="Slika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r>
    </w:tbl>
    <w:p w14:paraId="3CDB7947" w14:textId="77777777" w:rsidR="009F5EBD" w:rsidRPr="00A835C2" w:rsidRDefault="009F5EBD" w:rsidP="00716592">
      <w:pPr>
        <w:pStyle w:val="Caption"/>
        <w:rPr>
          <w:highlight w:val="yellow"/>
        </w:rP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gridCol w:w="4530"/>
      </w:tblGrid>
      <w:tr w:rsidR="009F5EBD" w:rsidRPr="00FF0607" w14:paraId="7C11A1D7" w14:textId="77777777" w:rsidTr="008E1A99">
        <w:tc>
          <w:tcPr>
            <w:tcW w:w="4530" w:type="dxa"/>
          </w:tcPr>
          <w:p w14:paraId="4AC866F1" w14:textId="2C5EDFD4" w:rsidR="009F5EBD" w:rsidRPr="00A835C2" w:rsidRDefault="009F5EBD" w:rsidP="00716592">
            <w:pPr>
              <w:pStyle w:val="Caption"/>
              <w:rPr>
                <w:highlight w:val="yellow"/>
              </w:rPr>
            </w:pPr>
            <w:r w:rsidRPr="00A835C2">
              <w:rPr>
                <w:highlight w:val="yellow"/>
              </w:rPr>
              <w:t xml:space="preserve">Slika </w:t>
            </w:r>
            <w:r w:rsidRPr="00A835C2">
              <w:rPr>
                <w:highlight w:val="yellow"/>
              </w:rPr>
              <w:fldChar w:fldCharType="begin"/>
            </w:r>
            <w:r w:rsidRPr="00A835C2">
              <w:rPr>
                <w:highlight w:val="yellow"/>
              </w:rPr>
              <w:instrText xml:space="preserve"> SEQ Slika \* ARABIC </w:instrText>
            </w:r>
            <w:r w:rsidRPr="00A835C2">
              <w:rPr>
                <w:highlight w:val="yellow"/>
              </w:rPr>
              <w:fldChar w:fldCharType="separate"/>
            </w:r>
            <w:r w:rsidR="00D224DD">
              <w:rPr>
                <w:highlight w:val="yellow"/>
              </w:rPr>
              <w:t>42</w:t>
            </w:r>
            <w:r w:rsidRPr="00A835C2">
              <w:rPr>
                <w:highlight w:val="yellow"/>
              </w:rPr>
              <w:fldChar w:fldCharType="end"/>
            </w:r>
            <w:r w:rsidRPr="00A835C2">
              <w:rPr>
                <w:highlight w:val="yellow"/>
              </w:rPr>
              <w:t>: Prispevki posameznih komponent k potencialni rasti BDP</w:t>
            </w:r>
          </w:p>
          <w:p w14:paraId="052216B4" w14:textId="77777777" w:rsidR="009F5EBD" w:rsidRPr="00A835C2" w:rsidRDefault="009F5EBD" w:rsidP="00716592">
            <w:pPr>
              <w:pStyle w:val="Caption"/>
              <w:rPr>
                <w:highlight w:val="yellow"/>
              </w:rPr>
            </w:pPr>
          </w:p>
          <w:p w14:paraId="07CDA121" w14:textId="325D5BA2" w:rsidR="009F5EBD" w:rsidRPr="00A835C2" w:rsidRDefault="0090784C" w:rsidP="00716592">
            <w:pPr>
              <w:pStyle w:val="Caption"/>
              <w:rPr>
                <w:highlight w:val="yellow"/>
              </w:rPr>
            </w:pPr>
            <w:r w:rsidRPr="00A835C2">
              <w:rPr>
                <w:highlight w:val="yellow"/>
                <w:lang w:eastAsia="sl-SI"/>
              </w:rPr>
              <w:drawing>
                <wp:inline distT="0" distB="0" distL="0" distR="0" wp14:anchorId="03DFBC8E" wp14:editId="2D766715">
                  <wp:extent cx="2734945" cy="2146935"/>
                  <wp:effectExtent l="0" t="0" r="8255" b="5715"/>
                  <wp:docPr id="124" name="Slika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34945" cy="2146935"/>
                          </a:xfrm>
                          <a:prstGeom prst="rect">
                            <a:avLst/>
                          </a:prstGeom>
                          <a:noFill/>
                          <a:ln>
                            <a:noFill/>
                          </a:ln>
                        </pic:spPr>
                      </pic:pic>
                    </a:graphicData>
                  </a:graphic>
                </wp:inline>
              </w:drawing>
            </w:r>
          </w:p>
        </w:tc>
        <w:tc>
          <w:tcPr>
            <w:tcW w:w="4530" w:type="dxa"/>
          </w:tcPr>
          <w:p w14:paraId="76AB2921" w14:textId="4DCEDFA4" w:rsidR="009F5EBD" w:rsidRPr="00A835C2" w:rsidRDefault="009F5EBD" w:rsidP="00716592">
            <w:pPr>
              <w:pStyle w:val="Caption"/>
              <w:rPr>
                <w:highlight w:val="yellow"/>
              </w:rPr>
            </w:pPr>
            <w:r w:rsidRPr="00A835C2">
              <w:rPr>
                <w:highlight w:val="yellow"/>
              </w:rPr>
              <w:t xml:space="preserve">Slika </w:t>
            </w:r>
            <w:r w:rsidRPr="00A835C2">
              <w:rPr>
                <w:highlight w:val="yellow"/>
              </w:rPr>
              <w:fldChar w:fldCharType="begin"/>
            </w:r>
            <w:r w:rsidRPr="00A835C2">
              <w:rPr>
                <w:highlight w:val="yellow"/>
              </w:rPr>
              <w:instrText xml:space="preserve"> SEQ Slika \* ARABIC </w:instrText>
            </w:r>
            <w:r w:rsidRPr="00A835C2">
              <w:rPr>
                <w:highlight w:val="yellow"/>
              </w:rPr>
              <w:fldChar w:fldCharType="separate"/>
            </w:r>
            <w:r w:rsidR="00D224DD">
              <w:rPr>
                <w:highlight w:val="yellow"/>
              </w:rPr>
              <w:t>43</w:t>
            </w:r>
            <w:r w:rsidRPr="00A835C2">
              <w:rPr>
                <w:highlight w:val="yellow"/>
              </w:rPr>
              <w:fldChar w:fldCharType="end"/>
            </w:r>
            <w:r w:rsidRPr="00A835C2">
              <w:rPr>
                <w:highlight w:val="yellow"/>
              </w:rPr>
              <w:t>: Proizvodna vrzel, primerjava izračunov UMAR in EK</w:t>
            </w:r>
          </w:p>
          <w:p w14:paraId="1F55D565" w14:textId="77777777" w:rsidR="009F5EBD" w:rsidRPr="00A835C2" w:rsidRDefault="009F5EBD" w:rsidP="00716592">
            <w:pPr>
              <w:pStyle w:val="Caption"/>
              <w:rPr>
                <w:highlight w:val="yellow"/>
              </w:rPr>
            </w:pPr>
          </w:p>
          <w:p w14:paraId="3AE847A7" w14:textId="7C751DCC" w:rsidR="009F5EBD" w:rsidRPr="00FF0607" w:rsidRDefault="00FF0607" w:rsidP="00716592">
            <w:pPr>
              <w:pStyle w:val="Caption"/>
            </w:pPr>
            <w:r w:rsidRPr="00A835C2">
              <w:rPr>
                <w:highlight w:val="yellow"/>
                <w:lang w:eastAsia="sl-SI"/>
              </w:rPr>
              <w:drawing>
                <wp:inline distT="0" distB="0" distL="0" distR="0" wp14:anchorId="6B72A6F9" wp14:editId="1C47758B">
                  <wp:extent cx="2738755" cy="2240915"/>
                  <wp:effectExtent l="0" t="0" r="4445" b="6985"/>
                  <wp:docPr id="125" name="Slika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38755" cy="2240915"/>
                          </a:xfrm>
                          <a:prstGeom prst="rect">
                            <a:avLst/>
                          </a:prstGeom>
                          <a:noFill/>
                          <a:ln>
                            <a:noFill/>
                          </a:ln>
                        </pic:spPr>
                      </pic:pic>
                    </a:graphicData>
                  </a:graphic>
                </wp:inline>
              </w:drawing>
            </w:r>
          </w:p>
        </w:tc>
      </w:tr>
    </w:tbl>
    <w:p w14:paraId="4B7A9C95" w14:textId="77777777" w:rsidR="009F5EBD" w:rsidRPr="00767446" w:rsidRDefault="009F5EBD" w:rsidP="009F5EBD">
      <w:pPr>
        <w:pStyle w:val="BesediloNAPOVED"/>
      </w:pPr>
      <w:r w:rsidRPr="00767446">
        <w:br w:type="page"/>
      </w:r>
    </w:p>
    <w:p w14:paraId="18352B6F" w14:textId="02617926" w:rsidR="00A75E47" w:rsidRPr="00EC36FA" w:rsidRDefault="00753E78" w:rsidP="00753E78">
      <w:pPr>
        <w:pStyle w:val="Heading1"/>
        <w:numPr>
          <w:ilvl w:val="0"/>
          <w:numId w:val="0"/>
        </w:numPr>
      </w:pPr>
      <w:bookmarkStart w:id="57" w:name="_Toc81050604"/>
      <w:bookmarkEnd w:id="8"/>
      <w:r w:rsidRPr="00EC36FA">
        <w:lastRenderedPageBreak/>
        <w:t>Seznam kratic</w:t>
      </w:r>
      <w:bookmarkEnd w:id="57"/>
    </w:p>
    <w:p w14:paraId="70716B10" w14:textId="4A2530DC" w:rsidR="00753E78" w:rsidRPr="00EC36FA" w:rsidRDefault="00753E78" w:rsidP="00753E78">
      <w:pPr>
        <w:pStyle w:val="BesediloNAPOVED"/>
      </w:pPr>
    </w:p>
    <w:p w14:paraId="51E3C077" w14:textId="09B6D6D6" w:rsidR="00753E78" w:rsidRPr="00767446" w:rsidRDefault="00753E78" w:rsidP="00753E78">
      <w:pPr>
        <w:pStyle w:val="BesediloNAPOVED"/>
        <w:rPr>
          <w:b/>
          <w:bCs/>
          <w:sz w:val="18"/>
          <w:szCs w:val="18"/>
        </w:rPr>
      </w:pPr>
      <w:r w:rsidRPr="00EC36FA">
        <w:rPr>
          <w:b/>
          <w:bCs/>
          <w:sz w:val="18"/>
          <w:szCs w:val="18"/>
        </w:rPr>
        <w:t>Kratice uporabljene v besedilu</w:t>
      </w:r>
      <w:r w:rsidRPr="00767446">
        <w:rPr>
          <w:b/>
          <w:bCs/>
          <w:sz w:val="18"/>
          <w:szCs w:val="18"/>
        </w:rPr>
        <w:t xml:space="preserve"> </w:t>
      </w:r>
    </w:p>
    <w:p w14:paraId="465C7FB2" w14:textId="77777777" w:rsidR="00753E78" w:rsidRPr="00767446" w:rsidRDefault="00753E78" w:rsidP="00753E78">
      <w:pPr>
        <w:pStyle w:val="BesediloNAPOVED"/>
        <w:rPr>
          <w:sz w:val="18"/>
          <w:szCs w:val="18"/>
          <w:highlight w:val="yellow"/>
        </w:rPr>
      </w:pPr>
    </w:p>
    <w:p w14:paraId="7A5F081F" w14:textId="06EFC3D3" w:rsidR="003C0B37" w:rsidRDefault="00EC36FA" w:rsidP="003C0B37">
      <w:pPr>
        <w:keepNext/>
        <w:keepLines/>
        <w:spacing w:before="20" w:after="4" w:line="240" w:lineRule="atLeast"/>
        <w:contextualSpacing/>
        <w:jc w:val="both"/>
        <w:rPr>
          <w:rStyle w:val="A0"/>
        </w:rPr>
      </w:pPr>
      <w:r w:rsidRPr="00542AE6">
        <w:rPr>
          <w:rStyle w:val="A0"/>
          <w:b/>
          <w:bCs/>
        </w:rPr>
        <w:t>ACEA</w:t>
      </w:r>
      <w:r w:rsidRPr="00542AE6">
        <w:rPr>
          <w:rStyle w:val="A0"/>
        </w:rPr>
        <w:t xml:space="preserve"> – </w:t>
      </w:r>
      <w:proofErr w:type="spellStart"/>
      <w:r w:rsidRPr="00542AE6">
        <w:rPr>
          <w:rStyle w:val="A0"/>
        </w:rPr>
        <w:t>European</w:t>
      </w:r>
      <w:proofErr w:type="spellEnd"/>
      <w:r w:rsidRPr="00542AE6">
        <w:rPr>
          <w:rStyle w:val="A0"/>
        </w:rPr>
        <w:t xml:space="preserve"> </w:t>
      </w:r>
      <w:proofErr w:type="spellStart"/>
      <w:r w:rsidRPr="00542AE6">
        <w:rPr>
          <w:rStyle w:val="A0"/>
        </w:rPr>
        <w:t>Automobile</w:t>
      </w:r>
      <w:proofErr w:type="spellEnd"/>
      <w:r w:rsidRPr="00542AE6">
        <w:rPr>
          <w:rStyle w:val="A0"/>
        </w:rPr>
        <w:t xml:space="preserve"> </w:t>
      </w:r>
      <w:proofErr w:type="spellStart"/>
      <w:r w:rsidRPr="00542AE6">
        <w:rPr>
          <w:rStyle w:val="A0"/>
        </w:rPr>
        <w:t>Manufacturers</w:t>
      </w:r>
      <w:proofErr w:type="spellEnd"/>
      <w:r w:rsidRPr="00542AE6">
        <w:rPr>
          <w:rStyle w:val="A0"/>
        </w:rPr>
        <w:t xml:space="preserve"> </w:t>
      </w:r>
      <w:proofErr w:type="spellStart"/>
      <w:r w:rsidRPr="00542AE6">
        <w:rPr>
          <w:rStyle w:val="A0"/>
        </w:rPr>
        <w:t>Association</w:t>
      </w:r>
      <w:proofErr w:type="spellEnd"/>
      <w:r>
        <w:rPr>
          <w:rStyle w:val="A0"/>
        </w:rPr>
        <w:t>,</w:t>
      </w:r>
      <w:r w:rsidRPr="00767446">
        <w:rPr>
          <w:b/>
          <w:bCs/>
          <w:sz w:val="18"/>
          <w:szCs w:val="18"/>
        </w:rPr>
        <w:t xml:space="preserve"> </w:t>
      </w:r>
      <w:r w:rsidR="00753E78" w:rsidRPr="00767446">
        <w:rPr>
          <w:b/>
          <w:bCs/>
          <w:sz w:val="18"/>
          <w:szCs w:val="18"/>
        </w:rPr>
        <w:t xml:space="preserve">ADS </w:t>
      </w:r>
      <w:r w:rsidR="00753E78" w:rsidRPr="00767446">
        <w:rPr>
          <w:sz w:val="18"/>
          <w:szCs w:val="18"/>
        </w:rPr>
        <w:t xml:space="preserve">– Anketa o delovni sili, </w:t>
      </w:r>
      <w:r w:rsidR="00753E78" w:rsidRPr="00767446">
        <w:rPr>
          <w:b/>
          <w:bCs/>
          <w:sz w:val="18"/>
          <w:szCs w:val="18"/>
        </w:rPr>
        <w:t xml:space="preserve">BDP </w:t>
      </w:r>
      <w:r w:rsidR="00753E78" w:rsidRPr="00767446">
        <w:rPr>
          <w:sz w:val="18"/>
          <w:szCs w:val="18"/>
        </w:rPr>
        <w:t xml:space="preserve">– Bruto domači proizvod, </w:t>
      </w:r>
      <w:r w:rsidR="00753E78" w:rsidRPr="00767446">
        <w:rPr>
          <w:b/>
          <w:bCs/>
          <w:sz w:val="18"/>
          <w:szCs w:val="18"/>
        </w:rPr>
        <w:t xml:space="preserve">BS </w:t>
      </w:r>
      <w:r w:rsidR="00753E78" w:rsidRPr="00767446">
        <w:rPr>
          <w:sz w:val="18"/>
          <w:szCs w:val="18"/>
        </w:rPr>
        <w:t xml:space="preserve">– Banka Slovenije, </w:t>
      </w:r>
      <w:r w:rsidR="00C34AEF" w:rsidRPr="00767446">
        <w:rPr>
          <w:b/>
          <w:bCs/>
          <w:sz w:val="18"/>
          <w:szCs w:val="18"/>
        </w:rPr>
        <w:t>C</w:t>
      </w:r>
      <w:r w:rsidR="00C34AEF">
        <w:rPr>
          <w:b/>
          <w:bCs/>
          <w:sz w:val="18"/>
          <w:szCs w:val="18"/>
        </w:rPr>
        <w:t>ME</w:t>
      </w:r>
      <w:r w:rsidR="00C34AEF" w:rsidRPr="00767446">
        <w:rPr>
          <w:b/>
          <w:bCs/>
          <w:sz w:val="18"/>
          <w:szCs w:val="18"/>
        </w:rPr>
        <w:t xml:space="preserve"> </w:t>
      </w:r>
      <w:r w:rsidR="00C34AEF" w:rsidRPr="00767446">
        <w:rPr>
          <w:sz w:val="18"/>
          <w:szCs w:val="18"/>
        </w:rPr>
        <w:t xml:space="preserve">– </w:t>
      </w:r>
      <w:r w:rsidR="00C34AEF">
        <w:rPr>
          <w:sz w:val="18"/>
          <w:szCs w:val="18"/>
        </w:rPr>
        <w:t xml:space="preserve">Chicago </w:t>
      </w:r>
      <w:proofErr w:type="spellStart"/>
      <w:r w:rsidR="00C34AEF">
        <w:rPr>
          <w:sz w:val="18"/>
          <w:szCs w:val="18"/>
        </w:rPr>
        <w:t>Mercantile</w:t>
      </w:r>
      <w:proofErr w:type="spellEnd"/>
      <w:r w:rsidR="00C34AEF">
        <w:rPr>
          <w:sz w:val="18"/>
          <w:szCs w:val="18"/>
        </w:rPr>
        <w:t xml:space="preserve"> Exchange,</w:t>
      </w:r>
      <w:r w:rsidR="00C34AEF" w:rsidRPr="00767446">
        <w:rPr>
          <w:b/>
          <w:bCs/>
          <w:sz w:val="18"/>
          <w:szCs w:val="18"/>
        </w:rPr>
        <w:t xml:space="preserve"> </w:t>
      </w:r>
      <w:r w:rsidR="00753E78" w:rsidRPr="00767446">
        <w:rPr>
          <w:b/>
          <w:bCs/>
          <w:sz w:val="18"/>
          <w:szCs w:val="18"/>
        </w:rPr>
        <w:t xml:space="preserve">CPI </w:t>
      </w:r>
      <w:r w:rsidR="00753E78" w:rsidRPr="00767446">
        <w:rPr>
          <w:sz w:val="18"/>
          <w:szCs w:val="18"/>
        </w:rPr>
        <w:t xml:space="preserve">– </w:t>
      </w:r>
      <w:proofErr w:type="spellStart"/>
      <w:r w:rsidR="00753E78" w:rsidRPr="00767446">
        <w:rPr>
          <w:sz w:val="18"/>
          <w:szCs w:val="18"/>
        </w:rPr>
        <w:t>Consumer</w:t>
      </w:r>
      <w:proofErr w:type="spellEnd"/>
      <w:r w:rsidR="00753E78" w:rsidRPr="00767446">
        <w:rPr>
          <w:sz w:val="18"/>
          <w:szCs w:val="18"/>
        </w:rPr>
        <w:t xml:space="preserve"> </w:t>
      </w:r>
      <w:proofErr w:type="spellStart"/>
      <w:r w:rsidR="00753E78" w:rsidRPr="00767446">
        <w:rPr>
          <w:sz w:val="18"/>
          <w:szCs w:val="18"/>
        </w:rPr>
        <w:t>Price</w:t>
      </w:r>
      <w:proofErr w:type="spellEnd"/>
      <w:r w:rsidR="00753E78" w:rsidRPr="00767446">
        <w:rPr>
          <w:sz w:val="18"/>
          <w:szCs w:val="18"/>
        </w:rPr>
        <w:t xml:space="preserve"> </w:t>
      </w:r>
      <w:proofErr w:type="spellStart"/>
      <w:r w:rsidR="00753E78" w:rsidRPr="00767446">
        <w:rPr>
          <w:sz w:val="18"/>
          <w:szCs w:val="18"/>
        </w:rPr>
        <w:t>Index</w:t>
      </w:r>
      <w:proofErr w:type="spellEnd"/>
      <w:r w:rsidR="00753E78" w:rsidRPr="00767446">
        <w:rPr>
          <w:sz w:val="18"/>
          <w:szCs w:val="18"/>
        </w:rPr>
        <w:t xml:space="preserve">, </w:t>
      </w:r>
      <w:r w:rsidR="00753E78" w:rsidRPr="00767446">
        <w:rPr>
          <w:b/>
          <w:bCs/>
          <w:sz w:val="18"/>
          <w:szCs w:val="18"/>
        </w:rPr>
        <w:t xml:space="preserve">DARS </w:t>
      </w:r>
      <w:r w:rsidR="00753E78" w:rsidRPr="00767446">
        <w:rPr>
          <w:sz w:val="18"/>
          <w:szCs w:val="18"/>
        </w:rPr>
        <w:t xml:space="preserve">– Družba za avtoceste v Republiki Sloveniji, </w:t>
      </w:r>
      <w:r w:rsidR="00753E78" w:rsidRPr="00767446">
        <w:rPr>
          <w:b/>
          <w:bCs/>
          <w:sz w:val="18"/>
          <w:szCs w:val="18"/>
        </w:rPr>
        <w:t xml:space="preserve">EC </w:t>
      </w:r>
      <w:r w:rsidR="00753E78" w:rsidRPr="00767446">
        <w:rPr>
          <w:sz w:val="18"/>
          <w:szCs w:val="18"/>
        </w:rPr>
        <w:t xml:space="preserve">– </w:t>
      </w:r>
      <w:proofErr w:type="spellStart"/>
      <w:r w:rsidR="00753E78" w:rsidRPr="00767446">
        <w:rPr>
          <w:sz w:val="18"/>
          <w:szCs w:val="18"/>
        </w:rPr>
        <w:t>European</w:t>
      </w:r>
      <w:proofErr w:type="spellEnd"/>
      <w:r w:rsidR="00753E78" w:rsidRPr="00767446">
        <w:rPr>
          <w:sz w:val="18"/>
          <w:szCs w:val="18"/>
        </w:rPr>
        <w:t xml:space="preserve"> </w:t>
      </w:r>
      <w:proofErr w:type="spellStart"/>
      <w:r w:rsidR="00753E78" w:rsidRPr="00767446">
        <w:rPr>
          <w:sz w:val="18"/>
          <w:szCs w:val="18"/>
        </w:rPr>
        <w:t>Commission</w:t>
      </w:r>
      <w:proofErr w:type="spellEnd"/>
      <w:r w:rsidR="00753E78" w:rsidRPr="00767446">
        <w:rPr>
          <w:sz w:val="18"/>
          <w:szCs w:val="18"/>
        </w:rPr>
        <w:t xml:space="preserve">, </w:t>
      </w:r>
      <w:r w:rsidR="00753E78" w:rsidRPr="00767446">
        <w:rPr>
          <w:b/>
          <w:bCs/>
          <w:sz w:val="18"/>
          <w:szCs w:val="18"/>
        </w:rPr>
        <w:t xml:space="preserve">ECB </w:t>
      </w:r>
      <w:r w:rsidR="00753E78" w:rsidRPr="00767446">
        <w:rPr>
          <w:sz w:val="18"/>
          <w:szCs w:val="18"/>
        </w:rPr>
        <w:t xml:space="preserve">– </w:t>
      </w:r>
      <w:proofErr w:type="spellStart"/>
      <w:r w:rsidR="00753E78" w:rsidRPr="00767446">
        <w:rPr>
          <w:sz w:val="18"/>
          <w:szCs w:val="18"/>
        </w:rPr>
        <w:t>European</w:t>
      </w:r>
      <w:proofErr w:type="spellEnd"/>
      <w:r w:rsidR="00753E78" w:rsidRPr="00767446">
        <w:rPr>
          <w:sz w:val="18"/>
          <w:szCs w:val="18"/>
        </w:rPr>
        <w:t xml:space="preserve"> Central Bank, </w:t>
      </w:r>
      <w:r w:rsidR="00753E78" w:rsidRPr="00767446">
        <w:rPr>
          <w:b/>
          <w:bCs/>
          <w:sz w:val="18"/>
          <w:szCs w:val="18"/>
        </w:rPr>
        <w:t xml:space="preserve">EIA </w:t>
      </w:r>
      <w:r w:rsidR="00753E78" w:rsidRPr="00767446">
        <w:rPr>
          <w:sz w:val="18"/>
          <w:szCs w:val="18"/>
        </w:rPr>
        <w:t xml:space="preserve">– </w:t>
      </w:r>
      <w:proofErr w:type="spellStart"/>
      <w:r w:rsidR="00753E78" w:rsidRPr="00767446">
        <w:rPr>
          <w:sz w:val="18"/>
          <w:szCs w:val="18"/>
        </w:rPr>
        <w:t>Energy</w:t>
      </w:r>
      <w:proofErr w:type="spellEnd"/>
      <w:r w:rsidR="00753E78" w:rsidRPr="00767446">
        <w:rPr>
          <w:sz w:val="18"/>
          <w:szCs w:val="18"/>
        </w:rPr>
        <w:t xml:space="preserve"> </w:t>
      </w:r>
      <w:proofErr w:type="spellStart"/>
      <w:r w:rsidR="00753E78" w:rsidRPr="00767446">
        <w:rPr>
          <w:sz w:val="18"/>
          <w:szCs w:val="18"/>
        </w:rPr>
        <w:t>Information</w:t>
      </w:r>
      <w:proofErr w:type="spellEnd"/>
      <w:r w:rsidR="00753E78" w:rsidRPr="00767446">
        <w:rPr>
          <w:sz w:val="18"/>
          <w:szCs w:val="18"/>
        </w:rPr>
        <w:t xml:space="preserve"> </w:t>
      </w:r>
      <w:proofErr w:type="spellStart"/>
      <w:r w:rsidR="00753E78" w:rsidRPr="00767446">
        <w:rPr>
          <w:sz w:val="18"/>
          <w:szCs w:val="18"/>
        </w:rPr>
        <w:t>Administration</w:t>
      </w:r>
      <w:proofErr w:type="spellEnd"/>
      <w:r w:rsidR="00753E78" w:rsidRPr="00767446">
        <w:rPr>
          <w:sz w:val="18"/>
          <w:szCs w:val="18"/>
        </w:rPr>
        <w:t xml:space="preserve">, </w:t>
      </w:r>
      <w:r w:rsidR="00753E78" w:rsidRPr="00767446">
        <w:rPr>
          <w:b/>
          <w:bCs/>
          <w:sz w:val="18"/>
          <w:szCs w:val="18"/>
        </w:rPr>
        <w:t xml:space="preserve">EK </w:t>
      </w:r>
      <w:r w:rsidR="00753E78" w:rsidRPr="00767446">
        <w:rPr>
          <w:sz w:val="18"/>
          <w:szCs w:val="18"/>
        </w:rPr>
        <w:t xml:space="preserve">– Evropska komisija, </w:t>
      </w:r>
      <w:r w:rsidR="00753E78" w:rsidRPr="00767446">
        <w:rPr>
          <w:b/>
          <w:bCs/>
          <w:sz w:val="18"/>
          <w:szCs w:val="18"/>
        </w:rPr>
        <w:t xml:space="preserve">EMU </w:t>
      </w:r>
      <w:r w:rsidR="00753E78" w:rsidRPr="00767446">
        <w:rPr>
          <w:sz w:val="18"/>
          <w:szCs w:val="18"/>
        </w:rPr>
        <w:t>– Evropska monetarna unija,</w:t>
      </w:r>
      <w:r w:rsidR="00753E78" w:rsidRPr="00767446">
        <w:rPr>
          <w:b/>
          <w:bCs/>
          <w:sz w:val="18"/>
          <w:szCs w:val="18"/>
        </w:rPr>
        <w:t xml:space="preserve"> ENTSO-E </w:t>
      </w:r>
      <w:r w:rsidR="00753E78" w:rsidRPr="00767446">
        <w:rPr>
          <w:sz w:val="18"/>
          <w:szCs w:val="18"/>
        </w:rPr>
        <w:t xml:space="preserve">– </w:t>
      </w:r>
      <w:proofErr w:type="spellStart"/>
      <w:r w:rsidR="00753E78" w:rsidRPr="00767446">
        <w:rPr>
          <w:sz w:val="18"/>
          <w:szCs w:val="18"/>
        </w:rPr>
        <w:t>European</w:t>
      </w:r>
      <w:proofErr w:type="spellEnd"/>
      <w:r w:rsidR="00753E78" w:rsidRPr="00767446">
        <w:rPr>
          <w:sz w:val="18"/>
          <w:szCs w:val="18"/>
        </w:rPr>
        <w:t xml:space="preserve"> </w:t>
      </w:r>
      <w:proofErr w:type="spellStart"/>
      <w:r w:rsidR="00753E78" w:rsidRPr="00767446">
        <w:rPr>
          <w:sz w:val="18"/>
          <w:szCs w:val="18"/>
        </w:rPr>
        <w:t>Network</w:t>
      </w:r>
      <w:proofErr w:type="spellEnd"/>
      <w:r w:rsidR="00753E78" w:rsidRPr="00767446">
        <w:rPr>
          <w:sz w:val="18"/>
          <w:szCs w:val="18"/>
        </w:rPr>
        <w:t xml:space="preserve"> </w:t>
      </w:r>
      <w:proofErr w:type="spellStart"/>
      <w:r w:rsidR="00753E78" w:rsidRPr="00767446">
        <w:rPr>
          <w:sz w:val="18"/>
          <w:szCs w:val="18"/>
        </w:rPr>
        <w:t>of</w:t>
      </w:r>
      <w:proofErr w:type="spellEnd"/>
      <w:r w:rsidR="00753E78" w:rsidRPr="00767446">
        <w:rPr>
          <w:sz w:val="18"/>
          <w:szCs w:val="18"/>
        </w:rPr>
        <w:t xml:space="preserve"> </w:t>
      </w:r>
      <w:proofErr w:type="spellStart"/>
      <w:r w:rsidR="00753E78" w:rsidRPr="00767446">
        <w:rPr>
          <w:sz w:val="18"/>
          <w:szCs w:val="18"/>
        </w:rPr>
        <w:t>Transmission</w:t>
      </w:r>
      <w:proofErr w:type="spellEnd"/>
      <w:r w:rsidR="00753E78" w:rsidRPr="00767446">
        <w:rPr>
          <w:sz w:val="18"/>
          <w:szCs w:val="18"/>
        </w:rPr>
        <w:t xml:space="preserve"> </w:t>
      </w:r>
      <w:proofErr w:type="spellStart"/>
      <w:r w:rsidR="00753E78" w:rsidRPr="00767446">
        <w:rPr>
          <w:sz w:val="18"/>
          <w:szCs w:val="18"/>
        </w:rPr>
        <w:t>System</w:t>
      </w:r>
      <w:proofErr w:type="spellEnd"/>
      <w:r w:rsidR="00753E78" w:rsidRPr="00767446">
        <w:rPr>
          <w:sz w:val="18"/>
          <w:szCs w:val="18"/>
        </w:rPr>
        <w:t xml:space="preserve"> </w:t>
      </w:r>
      <w:proofErr w:type="spellStart"/>
      <w:r w:rsidR="00753E78" w:rsidRPr="00767446">
        <w:rPr>
          <w:sz w:val="18"/>
          <w:szCs w:val="18"/>
        </w:rPr>
        <w:t>Operators</w:t>
      </w:r>
      <w:proofErr w:type="spellEnd"/>
      <w:r w:rsidR="00753E78" w:rsidRPr="00767446">
        <w:rPr>
          <w:sz w:val="18"/>
          <w:szCs w:val="18"/>
        </w:rPr>
        <w:t xml:space="preserve"> </w:t>
      </w:r>
      <w:proofErr w:type="spellStart"/>
      <w:r w:rsidR="00753E78" w:rsidRPr="00767446">
        <w:rPr>
          <w:sz w:val="18"/>
          <w:szCs w:val="18"/>
        </w:rPr>
        <w:t>for</w:t>
      </w:r>
      <w:proofErr w:type="spellEnd"/>
      <w:r w:rsidR="00753E78" w:rsidRPr="00767446">
        <w:rPr>
          <w:sz w:val="18"/>
          <w:szCs w:val="18"/>
        </w:rPr>
        <w:t xml:space="preserve"> </w:t>
      </w:r>
      <w:proofErr w:type="spellStart"/>
      <w:r w:rsidR="00753E78" w:rsidRPr="00767446">
        <w:rPr>
          <w:sz w:val="18"/>
          <w:szCs w:val="18"/>
        </w:rPr>
        <w:t>Electricity</w:t>
      </w:r>
      <w:proofErr w:type="spellEnd"/>
      <w:r w:rsidR="00753E78" w:rsidRPr="00767446">
        <w:rPr>
          <w:sz w:val="18"/>
          <w:szCs w:val="18"/>
        </w:rPr>
        <w:t>,</w:t>
      </w:r>
      <w:r w:rsidR="00753E78" w:rsidRPr="00767446">
        <w:rPr>
          <w:b/>
          <w:bCs/>
          <w:sz w:val="18"/>
          <w:szCs w:val="18"/>
        </w:rPr>
        <w:t xml:space="preserve"> EU </w:t>
      </w:r>
      <w:r w:rsidR="00753E78" w:rsidRPr="00767446">
        <w:rPr>
          <w:sz w:val="18"/>
          <w:szCs w:val="18"/>
        </w:rPr>
        <w:t xml:space="preserve">– Evropska unija, </w:t>
      </w:r>
      <w:r w:rsidR="00753E78" w:rsidRPr="00767446">
        <w:rPr>
          <w:b/>
          <w:bCs/>
          <w:sz w:val="18"/>
          <w:szCs w:val="18"/>
        </w:rPr>
        <w:t xml:space="preserve">EUR </w:t>
      </w:r>
      <w:r w:rsidR="00753E78" w:rsidRPr="00767446">
        <w:rPr>
          <w:sz w:val="18"/>
          <w:szCs w:val="18"/>
        </w:rPr>
        <w:t xml:space="preserve">– evro, </w:t>
      </w:r>
      <w:r w:rsidR="00753E78" w:rsidRPr="00767446">
        <w:rPr>
          <w:b/>
          <w:bCs/>
          <w:sz w:val="18"/>
          <w:szCs w:val="18"/>
        </w:rPr>
        <w:t xml:space="preserve">EUROSTAT </w:t>
      </w:r>
      <w:r w:rsidR="00753E78" w:rsidRPr="00767446">
        <w:rPr>
          <w:sz w:val="18"/>
          <w:szCs w:val="18"/>
        </w:rPr>
        <w:t xml:space="preserve">– </w:t>
      </w:r>
      <w:proofErr w:type="spellStart"/>
      <w:r w:rsidR="00753E78" w:rsidRPr="00767446">
        <w:rPr>
          <w:sz w:val="18"/>
          <w:szCs w:val="18"/>
        </w:rPr>
        <w:t>Statistical</w:t>
      </w:r>
      <w:proofErr w:type="spellEnd"/>
      <w:r w:rsidR="00753E78" w:rsidRPr="00767446">
        <w:rPr>
          <w:sz w:val="18"/>
          <w:szCs w:val="18"/>
        </w:rPr>
        <w:t xml:space="preserve"> Office </w:t>
      </w:r>
      <w:proofErr w:type="spellStart"/>
      <w:r w:rsidR="00753E78" w:rsidRPr="00767446">
        <w:rPr>
          <w:sz w:val="18"/>
          <w:szCs w:val="18"/>
        </w:rPr>
        <w:t>of</w:t>
      </w:r>
      <w:proofErr w:type="spellEnd"/>
      <w:r w:rsidR="00753E78" w:rsidRPr="00767446">
        <w:rPr>
          <w:sz w:val="18"/>
          <w:szCs w:val="18"/>
        </w:rPr>
        <w:t xml:space="preserve"> </w:t>
      </w:r>
      <w:proofErr w:type="spellStart"/>
      <w:r w:rsidR="00753E78" w:rsidRPr="00767446">
        <w:rPr>
          <w:sz w:val="18"/>
          <w:szCs w:val="18"/>
        </w:rPr>
        <w:t>the</w:t>
      </w:r>
      <w:proofErr w:type="spellEnd"/>
      <w:r w:rsidR="00753E78" w:rsidRPr="00767446">
        <w:rPr>
          <w:sz w:val="18"/>
          <w:szCs w:val="18"/>
        </w:rPr>
        <w:t xml:space="preserve"> </w:t>
      </w:r>
      <w:proofErr w:type="spellStart"/>
      <w:r w:rsidR="00753E78" w:rsidRPr="00767446">
        <w:rPr>
          <w:sz w:val="18"/>
          <w:szCs w:val="18"/>
        </w:rPr>
        <w:t>European</w:t>
      </w:r>
      <w:proofErr w:type="spellEnd"/>
      <w:r w:rsidR="00753E78" w:rsidRPr="00767446">
        <w:rPr>
          <w:sz w:val="18"/>
          <w:szCs w:val="18"/>
        </w:rPr>
        <w:t xml:space="preserve"> </w:t>
      </w:r>
      <w:proofErr w:type="spellStart"/>
      <w:r w:rsidR="00753E78" w:rsidRPr="00767446">
        <w:rPr>
          <w:sz w:val="18"/>
          <w:szCs w:val="18"/>
        </w:rPr>
        <w:t>Communities</w:t>
      </w:r>
      <w:proofErr w:type="spellEnd"/>
      <w:r w:rsidR="00753E78" w:rsidRPr="00767446">
        <w:rPr>
          <w:sz w:val="18"/>
          <w:szCs w:val="18"/>
        </w:rPr>
        <w:t>,</w:t>
      </w:r>
      <w:r w:rsidR="00753E78" w:rsidRPr="00767446">
        <w:rPr>
          <w:b/>
          <w:bCs/>
          <w:sz w:val="18"/>
          <w:szCs w:val="18"/>
        </w:rPr>
        <w:t xml:space="preserve"> </w:t>
      </w:r>
      <w:r w:rsidR="004C72AF">
        <w:rPr>
          <w:b/>
          <w:bCs/>
          <w:sz w:val="18"/>
          <w:szCs w:val="18"/>
        </w:rPr>
        <w:t>FU</w:t>
      </w:r>
      <w:r w:rsidR="004C72AF" w:rsidRPr="00767446">
        <w:rPr>
          <w:b/>
          <w:bCs/>
          <w:sz w:val="18"/>
          <w:szCs w:val="18"/>
        </w:rPr>
        <w:t xml:space="preserve">RS </w:t>
      </w:r>
      <w:r w:rsidR="004C72AF" w:rsidRPr="00767446">
        <w:rPr>
          <w:sz w:val="18"/>
          <w:szCs w:val="18"/>
        </w:rPr>
        <w:t xml:space="preserve">– </w:t>
      </w:r>
      <w:r w:rsidR="00282B36">
        <w:rPr>
          <w:sz w:val="18"/>
          <w:szCs w:val="18"/>
        </w:rPr>
        <w:t xml:space="preserve">Finančna uprava </w:t>
      </w:r>
      <w:r w:rsidR="004C72AF" w:rsidRPr="00767446">
        <w:rPr>
          <w:sz w:val="18"/>
          <w:szCs w:val="18"/>
        </w:rPr>
        <w:t>Republik</w:t>
      </w:r>
      <w:r w:rsidR="00282B36">
        <w:rPr>
          <w:sz w:val="18"/>
          <w:szCs w:val="18"/>
        </w:rPr>
        <w:t>e</w:t>
      </w:r>
      <w:r w:rsidR="004C72AF" w:rsidRPr="00767446">
        <w:rPr>
          <w:sz w:val="18"/>
          <w:szCs w:val="18"/>
        </w:rPr>
        <w:t xml:space="preserve"> Slovenij</w:t>
      </w:r>
      <w:r w:rsidR="00282B36">
        <w:rPr>
          <w:sz w:val="18"/>
          <w:szCs w:val="18"/>
        </w:rPr>
        <w:t>e</w:t>
      </w:r>
      <w:r w:rsidR="004C72AF" w:rsidRPr="00767446">
        <w:rPr>
          <w:sz w:val="18"/>
          <w:szCs w:val="18"/>
        </w:rPr>
        <w:t xml:space="preserve">, </w:t>
      </w:r>
      <w:r w:rsidR="00753E78" w:rsidRPr="00767446">
        <w:rPr>
          <w:b/>
          <w:bCs/>
          <w:sz w:val="18"/>
          <w:szCs w:val="18"/>
        </w:rPr>
        <w:t xml:space="preserve">GFS </w:t>
      </w:r>
      <w:r w:rsidR="00753E78" w:rsidRPr="00767446">
        <w:rPr>
          <w:sz w:val="18"/>
          <w:szCs w:val="18"/>
        </w:rPr>
        <w:t xml:space="preserve">– </w:t>
      </w:r>
      <w:proofErr w:type="spellStart"/>
      <w:r w:rsidR="00753E78" w:rsidRPr="00767446">
        <w:rPr>
          <w:sz w:val="18"/>
          <w:szCs w:val="18"/>
        </w:rPr>
        <w:t>Government</w:t>
      </w:r>
      <w:proofErr w:type="spellEnd"/>
      <w:r w:rsidR="00753E78" w:rsidRPr="00767446">
        <w:rPr>
          <w:sz w:val="18"/>
          <w:szCs w:val="18"/>
        </w:rPr>
        <w:t xml:space="preserve"> Finance </w:t>
      </w:r>
      <w:proofErr w:type="spellStart"/>
      <w:r w:rsidR="00753E78" w:rsidRPr="00767446">
        <w:rPr>
          <w:sz w:val="18"/>
          <w:szCs w:val="18"/>
        </w:rPr>
        <w:t>Statistics</w:t>
      </w:r>
      <w:proofErr w:type="spellEnd"/>
      <w:r w:rsidR="00753E78" w:rsidRPr="00767446">
        <w:rPr>
          <w:sz w:val="18"/>
          <w:szCs w:val="18"/>
        </w:rPr>
        <w:t xml:space="preserve">, </w:t>
      </w:r>
      <w:r w:rsidR="00517C5F">
        <w:rPr>
          <w:rStyle w:val="A0"/>
          <w:b/>
          <w:bCs/>
        </w:rPr>
        <w:t xml:space="preserve">GZS </w:t>
      </w:r>
      <w:r w:rsidR="00517C5F">
        <w:rPr>
          <w:rStyle w:val="A0"/>
        </w:rPr>
        <w:t xml:space="preserve">– Gospodarska zbornica Slovenije, </w:t>
      </w:r>
      <w:r w:rsidR="00753E78" w:rsidRPr="00767446">
        <w:rPr>
          <w:b/>
          <w:bCs/>
          <w:sz w:val="18"/>
          <w:szCs w:val="18"/>
        </w:rPr>
        <w:t xml:space="preserve">HICP </w:t>
      </w:r>
      <w:r w:rsidR="00753E78" w:rsidRPr="00767446">
        <w:rPr>
          <w:sz w:val="18"/>
          <w:szCs w:val="18"/>
        </w:rPr>
        <w:t xml:space="preserve">– harmonizirani indeks cen življenjskih potrebščin, </w:t>
      </w:r>
      <w:r w:rsidR="00753E78" w:rsidRPr="00767446">
        <w:rPr>
          <w:b/>
          <w:sz w:val="18"/>
          <w:szCs w:val="18"/>
        </w:rPr>
        <w:t>ICŽP</w:t>
      </w:r>
      <w:r w:rsidR="00753E78" w:rsidRPr="00767446">
        <w:rPr>
          <w:sz w:val="18"/>
          <w:szCs w:val="18"/>
        </w:rPr>
        <w:t xml:space="preserve"> – indeks cen življenjskih potrebščin,</w:t>
      </w:r>
      <w:r w:rsidR="00517C5F">
        <w:rPr>
          <w:sz w:val="18"/>
          <w:szCs w:val="18"/>
        </w:rPr>
        <w:t xml:space="preserve"> </w:t>
      </w:r>
      <w:r w:rsidR="00517C5F">
        <w:rPr>
          <w:rStyle w:val="A0"/>
          <w:b/>
          <w:bCs/>
        </w:rPr>
        <w:t xml:space="preserve">IER </w:t>
      </w:r>
      <w:r w:rsidR="00517C5F">
        <w:rPr>
          <w:rStyle w:val="A0"/>
        </w:rPr>
        <w:t>– Inštitut za ekonomska raziskovanja,</w:t>
      </w:r>
      <w:r w:rsidR="00826281">
        <w:rPr>
          <w:sz w:val="18"/>
          <w:szCs w:val="18"/>
        </w:rPr>
        <w:t xml:space="preserve"> </w:t>
      </w:r>
      <w:r w:rsidR="00753E78" w:rsidRPr="00767446">
        <w:rPr>
          <w:b/>
          <w:bCs/>
          <w:sz w:val="18"/>
          <w:szCs w:val="18"/>
        </w:rPr>
        <w:t xml:space="preserve">IMF </w:t>
      </w:r>
      <w:r w:rsidR="00753E78" w:rsidRPr="00767446">
        <w:rPr>
          <w:sz w:val="18"/>
          <w:szCs w:val="18"/>
        </w:rPr>
        <w:t xml:space="preserve">– </w:t>
      </w:r>
      <w:proofErr w:type="spellStart"/>
      <w:r w:rsidR="00753E78" w:rsidRPr="00767446">
        <w:rPr>
          <w:sz w:val="18"/>
          <w:szCs w:val="18"/>
        </w:rPr>
        <w:t>International</w:t>
      </w:r>
      <w:proofErr w:type="spellEnd"/>
      <w:r w:rsidR="00753E78" w:rsidRPr="00767446">
        <w:rPr>
          <w:sz w:val="18"/>
          <w:szCs w:val="18"/>
        </w:rPr>
        <w:t xml:space="preserve"> </w:t>
      </w:r>
      <w:proofErr w:type="spellStart"/>
      <w:r w:rsidR="00753E78" w:rsidRPr="00767446">
        <w:rPr>
          <w:sz w:val="18"/>
          <w:szCs w:val="18"/>
        </w:rPr>
        <w:t>Monetary</w:t>
      </w:r>
      <w:proofErr w:type="spellEnd"/>
      <w:r w:rsidR="00753E78" w:rsidRPr="00767446">
        <w:rPr>
          <w:sz w:val="18"/>
          <w:szCs w:val="18"/>
        </w:rPr>
        <w:t xml:space="preserve"> Fund,</w:t>
      </w:r>
      <w:r w:rsidR="00517C5F">
        <w:rPr>
          <w:sz w:val="18"/>
          <w:szCs w:val="18"/>
        </w:rPr>
        <w:t xml:space="preserve"> </w:t>
      </w:r>
      <w:r w:rsidR="00944D89">
        <w:rPr>
          <w:rStyle w:val="A0"/>
          <w:b/>
          <w:bCs/>
        </w:rPr>
        <w:t xml:space="preserve">MDS </w:t>
      </w:r>
      <w:r w:rsidR="00944D89">
        <w:rPr>
          <w:rStyle w:val="A0"/>
        </w:rPr>
        <w:t xml:space="preserve">– Mednarodni denarni sklad, </w:t>
      </w:r>
      <w:r w:rsidRPr="00542AE6">
        <w:rPr>
          <w:rStyle w:val="A0"/>
          <w:b/>
          <w:bCs/>
        </w:rPr>
        <w:t xml:space="preserve">MF </w:t>
      </w:r>
      <w:r w:rsidRPr="00542AE6">
        <w:rPr>
          <w:rStyle w:val="A0"/>
          <w:i/>
          <w:iCs/>
        </w:rPr>
        <w:t xml:space="preserve">– </w:t>
      </w:r>
      <w:r w:rsidRPr="00542AE6">
        <w:rPr>
          <w:rStyle w:val="A0"/>
        </w:rPr>
        <w:t xml:space="preserve">Ministrstvo za finance, </w:t>
      </w:r>
      <w:r w:rsidR="00753E78" w:rsidRPr="00767446">
        <w:rPr>
          <w:b/>
          <w:bCs/>
          <w:sz w:val="18"/>
          <w:szCs w:val="18"/>
        </w:rPr>
        <w:t xml:space="preserve">OECD </w:t>
      </w:r>
      <w:r w:rsidR="00753E78" w:rsidRPr="00767446">
        <w:rPr>
          <w:sz w:val="18"/>
          <w:szCs w:val="18"/>
        </w:rPr>
        <w:t xml:space="preserve">– </w:t>
      </w:r>
      <w:proofErr w:type="spellStart"/>
      <w:r w:rsidR="00753E78" w:rsidRPr="00767446">
        <w:rPr>
          <w:sz w:val="18"/>
          <w:szCs w:val="18"/>
        </w:rPr>
        <w:t>Organization</w:t>
      </w:r>
      <w:proofErr w:type="spellEnd"/>
      <w:r w:rsidR="00753E78" w:rsidRPr="00767446">
        <w:rPr>
          <w:sz w:val="18"/>
          <w:szCs w:val="18"/>
        </w:rPr>
        <w:t xml:space="preserve"> </w:t>
      </w:r>
      <w:proofErr w:type="spellStart"/>
      <w:r w:rsidR="00753E78" w:rsidRPr="00767446">
        <w:rPr>
          <w:sz w:val="18"/>
          <w:szCs w:val="18"/>
        </w:rPr>
        <w:t>for</w:t>
      </w:r>
      <w:proofErr w:type="spellEnd"/>
      <w:r w:rsidR="00753E78" w:rsidRPr="00767446">
        <w:rPr>
          <w:sz w:val="18"/>
          <w:szCs w:val="18"/>
        </w:rPr>
        <w:t xml:space="preserve"> </w:t>
      </w:r>
      <w:proofErr w:type="spellStart"/>
      <w:r w:rsidR="00753E78" w:rsidRPr="00767446">
        <w:rPr>
          <w:sz w:val="18"/>
          <w:szCs w:val="18"/>
        </w:rPr>
        <w:t>Economic</w:t>
      </w:r>
      <w:proofErr w:type="spellEnd"/>
      <w:r w:rsidR="00753E78" w:rsidRPr="00767446">
        <w:rPr>
          <w:sz w:val="18"/>
          <w:szCs w:val="18"/>
        </w:rPr>
        <w:t xml:space="preserve"> Co-</w:t>
      </w:r>
      <w:proofErr w:type="spellStart"/>
      <w:r w:rsidR="00753E78" w:rsidRPr="00767446">
        <w:rPr>
          <w:sz w:val="18"/>
          <w:szCs w:val="18"/>
        </w:rPr>
        <w:t>operation</w:t>
      </w:r>
      <w:proofErr w:type="spellEnd"/>
      <w:r w:rsidR="00753E78" w:rsidRPr="00767446">
        <w:rPr>
          <w:sz w:val="18"/>
          <w:szCs w:val="18"/>
        </w:rPr>
        <w:t xml:space="preserve"> </w:t>
      </w:r>
      <w:proofErr w:type="spellStart"/>
      <w:r w:rsidR="00753E78" w:rsidRPr="00767446">
        <w:rPr>
          <w:sz w:val="18"/>
          <w:szCs w:val="18"/>
        </w:rPr>
        <w:t>and</w:t>
      </w:r>
      <w:proofErr w:type="spellEnd"/>
      <w:r w:rsidR="00753E78" w:rsidRPr="00767446">
        <w:rPr>
          <w:sz w:val="18"/>
          <w:szCs w:val="18"/>
        </w:rPr>
        <w:t xml:space="preserve"> </w:t>
      </w:r>
      <w:proofErr w:type="spellStart"/>
      <w:r w:rsidR="00753E78" w:rsidRPr="00767446">
        <w:rPr>
          <w:sz w:val="18"/>
          <w:szCs w:val="18"/>
        </w:rPr>
        <w:t>Development</w:t>
      </w:r>
      <w:proofErr w:type="spellEnd"/>
      <w:r w:rsidR="00753E78" w:rsidRPr="00767446">
        <w:rPr>
          <w:sz w:val="18"/>
          <w:szCs w:val="18"/>
        </w:rPr>
        <w:t xml:space="preserve">, </w:t>
      </w:r>
      <w:r w:rsidR="00753E78" w:rsidRPr="00767446">
        <w:rPr>
          <w:b/>
          <w:bCs/>
          <w:sz w:val="18"/>
          <w:szCs w:val="18"/>
        </w:rPr>
        <w:t xml:space="preserve">PPS </w:t>
      </w:r>
      <w:r w:rsidR="00753E78" w:rsidRPr="00767446">
        <w:rPr>
          <w:i/>
          <w:iCs/>
          <w:sz w:val="18"/>
          <w:szCs w:val="18"/>
        </w:rPr>
        <w:t xml:space="preserve">– </w:t>
      </w:r>
      <w:proofErr w:type="spellStart"/>
      <w:r w:rsidR="00753E78" w:rsidRPr="00767446">
        <w:rPr>
          <w:sz w:val="18"/>
          <w:szCs w:val="18"/>
        </w:rPr>
        <w:t>Purchasing</w:t>
      </w:r>
      <w:proofErr w:type="spellEnd"/>
      <w:r w:rsidR="00753E78" w:rsidRPr="00767446">
        <w:rPr>
          <w:sz w:val="18"/>
          <w:szCs w:val="18"/>
        </w:rPr>
        <w:t xml:space="preserve"> </w:t>
      </w:r>
      <w:proofErr w:type="spellStart"/>
      <w:r w:rsidR="00753E78" w:rsidRPr="00767446">
        <w:rPr>
          <w:sz w:val="18"/>
          <w:szCs w:val="18"/>
        </w:rPr>
        <w:t>Power</w:t>
      </w:r>
      <w:proofErr w:type="spellEnd"/>
      <w:r w:rsidR="00753E78" w:rsidRPr="00767446">
        <w:rPr>
          <w:sz w:val="18"/>
          <w:szCs w:val="18"/>
        </w:rPr>
        <w:t xml:space="preserve"> Standard, </w:t>
      </w:r>
      <w:r w:rsidR="00753E78" w:rsidRPr="00767446">
        <w:rPr>
          <w:b/>
          <w:bCs/>
          <w:sz w:val="18"/>
          <w:szCs w:val="18"/>
        </w:rPr>
        <w:t xml:space="preserve">SURS </w:t>
      </w:r>
      <w:r w:rsidR="00753E78" w:rsidRPr="00767446">
        <w:rPr>
          <w:i/>
          <w:iCs/>
          <w:sz w:val="18"/>
          <w:szCs w:val="18"/>
        </w:rPr>
        <w:t xml:space="preserve">– </w:t>
      </w:r>
      <w:r w:rsidR="00753E78" w:rsidRPr="00767446">
        <w:rPr>
          <w:sz w:val="18"/>
          <w:szCs w:val="18"/>
        </w:rPr>
        <w:t xml:space="preserve">Statistični urad RS, </w:t>
      </w:r>
      <w:r w:rsidR="003C0B37" w:rsidRPr="00542AE6">
        <w:rPr>
          <w:rStyle w:val="A0"/>
          <w:b/>
        </w:rPr>
        <w:t>TR</w:t>
      </w:r>
      <w:r w:rsidR="003C0B37" w:rsidRPr="00542AE6">
        <w:rPr>
          <w:rStyle w:val="A0"/>
        </w:rPr>
        <w:t xml:space="preserve"> – tekoči račun, </w:t>
      </w:r>
      <w:r w:rsidR="00753E78" w:rsidRPr="00767446">
        <w:rPr>
          <w:b/>
          <w:bCs/>
          <w:sz w:val="18"/>
          <w:szCs w:val="18"/>
        </w:rPr>
        <w:t xml:space="preserve">USD </w:t>
      </w:r>
      <w:r w:rsidR="00753E78" w:rsidRPr="00767446">
        <w:rPr>
          <w:sz w:val="18"/>
          <w:szCs w:val="18"/>
        </w:rPr>
        <w:t xml:space="preserve">– ameriški dolar, </w:t>
      </w:r>
      <w:r w:rsidR="00753E78" w:rsidRPr="00767446">
        <w:rPr>
          <w:b/>
          <w:bCs/>
          <w:sz w:val="18"/>
          <w:szCs w:val="18"/>
        </w:rPr>
        <w:t xml:space="preserve">UMAR </w:t>
      </w:r>
      <w:r w:rsidR="00753E78" w:rsidRPr="00767446">
        <w:rPr>
          <w:sz w:val="18"/>
          <w:szCs w:val="18"/>
        </w:rPr>
        <w:t xml:space="preserve">– Urad RS za makroekonomske analize in razvoj, </w:t>
      </w:r>
      <w:r w:rsidR="00EA6DEA" w:rsidRPr="00EA6DEA">
        <w:rPr>
          <w:b/>
          <w:bCs/>
          <w:sz w:val="18"/>
          <w:szCs w:val="18"/>
        </w:rPr>
        <w:t xml:space="preserve">WIIW </w:t>
      </w:r>
      <w:r w:rsidR="00EA6DEA" w:rsidRPr="00EA6DEA">
        <w:rPr>
          <w:sz w:val="18"/>
          <w:szCs w:val="18"/>
        </w:rPr>
        <w:t xml:space="preserve">– </w:t>
      </w:r>
      <w:proofErr w:type="spellStart"/>
      <w:r w:rsidR="00EA6DEA" w:rsidRPr="00EA6DEA">
        <w:rPr>
          <w:sz w:val="18"/>
          <w:szCs w:val="18"/>
        </w:rPr>
        <w:t>Wiener</w:t>
      </w:r>
      <w:proofErr w:type="spellEnd"/>
      <w:r w:rsidR="00EA6DEA" w:rsidRPr="00EA6DEA">
        <w:rPr>
          <w:sz w:val="18"/>
          <w:szCs w:val="18"/>
        </w:rPr>
        <w:t xml:space="preserve"> Institut </w:t>
      </w:r>
      <w:proofErr w:type="spellStart"/>
      <w:r w:rsidR="00EA6DEA" w:rsidRPr="00EA6DEA">
        <w:rPr>
          <w:sz w:val="18"/>
          <w:szCs w:val="18"/>
        </w:rPr>
        <w:t>fuer</w:t>
      </w:r>
      <w:proofErr w:type="spellEnd"/>
      <w:r w:rsidR="00EA6DEA" w:rsidRPr="00EA6DEA">
        <w:rPr>
          <w:sz w:val="18"/>
          <w:szCs w:val="18"/>
        </w:rPr>
        <w:t xml:space="preserve"> </w:t>
      </w:r>
      <w:proofErr w:type="spellStart"/>
      <w:r w:rsidR="00EA6DEA" w:rsidRPr="00EA6DEA">
        <w:rPr>
          <w:sz w:val="18"/>
          <w:szCs w:val="18"/>
        </w:rPr>
        <w:t>Internationale</w:t>
      </w:r>
      <w:proofErr w:type="spellEnd"/>
      <w:r w:rsidR="00EA6DEA" w:rsidRPr="00EA6DEA">
        <w:rPr>
          <w:sz w:val="18"/>
          <w:szCs w:val="18"/>
        </w:rPr>
        <w:t xml:space="preserve"> </w:t>
      </w:r>
      <w:proofErr w:type="spellStart"/>
      <w:r w:rsidR="00EA6DEA" w:rsidRPr="00EA6DEA">
        <w:rPr>
          <w:sz w:val="18"/>
          <w:szCs w:val="18"/>
        </w:rPr>
        <w:t>Wirtschaftsvergleiche</w:t>
      </w:r>
      <w:proofErr w:type="spellEnd"/>
      <w:r w:rsidR="00EA6DEA" w:rsidRPr="00EA6DEA">
        <w:rPr>
          <w:sz w:val="18"/>
          <w:szCs w:val="18"/>
        </w:rPr>
        <w:t>,</w:t>
      </w:r>
      <w:r w:rsidR="00EA6DEA">
        <w:rPr>
          <w:sz w:val="18"/>
          <w:szCs w:val="18"/>
        </w:rPr>
        <w:t xml:space="preserve"> </w:t>
      </w:r>
      <w:r w:rsidR="00753E78" w:rsidRPr="00767446">
        <w:rPr>
          <w:b/>
          <w:bCs/>
          <w:sz w:val="18"/>
          <w:szCs w:val="18"/>
        </w:rPr>
        <w:t xml:space="preserve">ZDA </w:t>
      </w:r>
      <w:r w:rsidR="00753E78" w:rsidRPr="00767446">
        <w:rPr>
          <w:sz w:val="18"/>
          <w:szCs w:val="18"/>
        </w:rPr>
        <w:t xml:space="preserve">– Združene države Amerike, </w:t>
      </w:r>
      <w:r w:rsidR="00753E78" w:rsidRPr="00767446">
        <w:rPr>
          <w:b/>
          <w:sz w:val="18"/>
          <w:szCs w:val="18"/>
        </w:rPr>
        <w:t>ZK</w:t>
      </w:r>
      <w:r w:rsidR="00753E78" w:rsidRPr="00767446">
        <w:rPr>
          <w:sz w:val="18"/>
          <w:szCs w:val="18"/>
        </w:rPr>
        <w:t xml:space="preserve"> – Združeno kraljestvo</w:t>
      </w:r>
      <w:r w:rsidR="003C0B37">
        <w:rPr>
          <w:sz w:val="18"/>
          <w:szCs w:val="18"/>
        </w:rPr>
        <w:t xml:space="preserve">, </w:t>
      </w:r>
      <w:r w:rsidR="003C0B37" w:rsidRPr="00542AE6">
        <w:rPr>
          <w:rStyle w:val="A0"/>
          <w:b/>
          <w:bCs/>
        </w:rPr>
        <w:t xml:space="preserve">ZRSZ </w:t>
      </w:r>
      <w:r w:rsidR="003C0B37" w:rsidRPr="00542AE6">
        <w:rPr>
          <w:rStyle w:val="A0"/>
        </w:rPr>
        <w:t>– Zavod RS za zaposlovanje</w:t>
      </w:r>
      <w:r w:rsidR="003C0B37" w:rsidRPr="007D60BE">
        <w:rPr>
          <w:rStyle w:val="A0"/>
        </w:rPr>
        <w:t>.</w:t>
      </w:r>
    </w:p>
    <w:p w14:paraId="295B6FE5" w14:textId="2AC78CF1" w:rsidR="00753E78" w:rsidRPr="00767446" w:rsidRDefault="00753E78" w:rsidP="00753E78">
      <w:pPr>
        <w:pStyle w:val="BesediloNAPOVED"/>
        <w:rPr>
          <w:sz w:val="18"/>
          <w:szCs w:val="18"/>
        </w:rPr>
      </w:pPr>
    </w:p>
    <w:p w14:paraId="33E075CA" w14:textId="77777777" w:rsidR="00753E78" w:rsidRPr="00767446" w:rsidRDefault="00753E78" w:rsidP="00753E78">
      <w:pPr>
        <w:pStyle w:val="BesediloNAPOVED"/>
      </w:pPr>
    </w:p>
    <w:bookmarkEnd w:id="0"/>
    <w:bookmarkEnd w:id="1"/>
    <w:bookmarkEnd w:id="2"/>
    <w:bookmarkEnd w:id="9"/>
    <w:p w14:paraId="411C4569" w14:textId="561F6D13" w:rsidR="00457ACD" w:rsidRPr="00767446" w:rsidRDefault="00457ACD" w:rsidP="00753E78">
      <w:pPr>
        <w:pStyle w:val="BesediloNAPOVED"/>
      </w:pPr>
    </w:p>
    <w:sectPr w:rsidR="00457ACD" w:rsidRPr="00767446" w:rsidSect="003677EB">
      <w:headerReference w:type="default" r:id="rId54"/>
      <w:pgSz w:w="11906" w:h="16838"/>
      <w:pgMar w:top="1701" w:right="1418" w:bottom="1134" w:left="1418" w:header="567"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0406F" w14:textId="77777777" w:rsidR="00953DE0" w:rsidRDefault="00953DE0" w:rsidP="009E1648">
      <w:r>
        <w:separator/>
      </w:r>
    </w:p>
    <w:p w14:paraId="0A84840C" w14:textId="77777777" w:rsidR="00953DE0" w:rsidRDefault="00953DE0" w:rsidP="009E1648"/>
    <w:p w14:paraId="18CA69CD" w14:textId="77777777" w:rsidR="00953DE0" w:rsidRDefault="00953DE0" w:rsidP="009E1648"/>
    <w:p w14:paraId="28498967" w14:textId="77777777" w:rsidR="00953DE0" w:rsidRDefault="00953DE0" w:rsidP="009E1648"/>
    <w:p w14:paraId="2828F0FB" w14:textId="77777777" w:rsidR="00953DE0" w:rsidRDefault="00953DE0" w:rsidP="009E1648"/>
    <w:p w14:paraId="45B1962A" w14:textId="77777777" w:rsidR="00953DE0" w:rsidRDefault="00953DE0" w:rsidP="009E1648"/>
    <w:p w14:paraId="48DA9FF3" w14:textId="77777777" w:rsidR="00953DE0" w:rsidRDefault="00953DE0" w:rsidP="009E1648"/>
    <w:p w14:paraId="06370D30" w14:textId="77777777" w:rsidR="00953DE0" w:rsidRDefault="00953DE0" w:rsidP="009E1648"/>
    <w:p w14:paraId="0901B119" w14:textId="77777777" w:rsidR="00953DE0" w:rsidRDefault="00953DE0"/>
    <w:p w14:paraId="20F3CA93" w14:textId="77777777" w:rsidR="00953DE0" w:rsidRDefault="00953DE0"/>
    <w:p w14:paraId="43AF2F9C" w14:textId="77777777" w:rsidR="00953DE0" w:rsidRDefault="00953DE0" w:rsidP="00A540FA"/>
    <w:p w14:paraId="32C25514" w14:textId="77777777" w:rsidR="00953DE0" w:rsidRDefault="00953DE0" w:rsidP="00A540FA"/>
    <w:p w14:paraId="6446BF33" w14:textId="77777777" w:rsidR="00953DE0" w:rsidRDefault="00953DE0" w:rsidP="00A540FA"/>
    <w:p w14:paraId="0921E6B1" w14:textId="77777777" w:rsidR="00953DE0" w:rsidRDefault="00953DE0" w:rsidP="00A540FA"/>
    <w:p w14:paraId="749BBBA3" w14:textId="77777777" w:rsidR="00953DE0" w:rsidRDefault="00953DE0" w:rsidP="00A540FA"/>
    <w:p w14:paraId="157A43EB" w14:textId="77777777" w:rsidR="00953DE0" w:rsidRDefault="00953DE0"/>
  </w:endnote>
  <w:endnote w:type="continuationSeparator" w:id="0">
    <w:p w14:paraId="3805D9A4" w14:textId="77777777" w:rsidR="00953DE0" w:rsidRDefault="00953DE0" w:rsidP="009E1648">
      <w:r>
        <w:continuationSeparator/>
      </w:r>
    </w:p>
    <w:p w14:paraId="537B2F62" w14:textId="77777777" w:rsidR="00953DE0" w:rsidRDefault="00953DE0" w:rsidP="009E1648"/>
    <w:p w14:paraId="37D5B564" w14:textId="77777777" w:rsidR="00953DE0" w:rsidRDefault="00953DE0" w:rsidP="009E1648"/>
    <w:p w14:paraId="1C9CA1A9" w14:textId="77777777" w:rsidR="00953DE0" w:rsidRDefault="00953DE0" w:rsidP="009E1648"/>
    <w:p w14:paraId="3FF28C30" w14:textId="77777777" w:rsidR="00953DE0" w:rsidRDefault="00953DE0" w:rsidP="009E1648"/>
    <w:p w14:paraId="56F8E554" w14:textId="77777777" w:rsidR="00953DE0" w:rsidRDefault="00953DE0" w:rsidP="009E1648"/>
    <w:p w14:paraId="2582A3D4" w14:textId="77777777" w:rsidR="00953DE0" w:rsidRDefault="00953DE0" w:rsidP="009E1648"/>
    <w:p w14:paraId="1FD3CD77" w14:textId="77777777" w:rsidR="00953DE0" w:rsidRDefault="00953DE0" w:rsidP="009E1648"/>
    <w:p w14:paraId="1B7E12B8" w14:textId="77777777" w:rsidR="00953DE0" w:rsidRDefault="00953DE0"/>
    <w:p w14:paraId="4EA0D111" w14:textId="77777777" w:rsidR="00953DE0" w:rsidRDefault="00953DE0"/>
    <w:p w14:paraId="0A816A2C" w14:textId="77777777" w:rsidR="00953DE0" w:rsidRDefault="00953DE0" w:rsidP="00A540FA"/>
    <w:p w14:paraId="21D2CA2A" w14:textId="77777777" w:rsidR="00953DE0" w:rsidRDefault="00953DE0" w:rsidP="00A540FA"/>
    <w:p w14:paraId="2EA27F3B" w14:textId="77777777" w:rsidR="00953DE0" w:rsidRDefault="00953DE0" w:rsidP="00A540FA"/>
    <w:p w14:paraId="2AF7C956" w14:textId="77777777" w:rsidR="00953DE0" w:rsidRDefault="00953DE0" w:rsidP="00A540FA"/>
    <w:p w14:paraId="7EF3A5FB" w14:textId="77777777" w:rsidR="00953DE0" w:rsidRDefault="00953DE0" w:rsidP="00A540FA"/>
    <w:p w14:paraId="643381CC" w14:textId="77777777" w:rsidR="00953DE0" w:rsidRDefault="00953DE0"/>
  </w:endnote>
  <w:endnote w:type="continuationNotice" w:id="1">
    <w:p w14:paraId="5F18D1D8" w14:textId="77777777" w:rsidR="00953DE0" w:rsidRDefault="00953D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61A16" w14:textId="77777777" w:rsidR="00953DE0" w:rsidRPr="009B56EE" w:rsidRDefault="00953DE0" w:rsidP="00F534DD">
      <w:pPr>
        <w:pStyle w:val="BesediloNAPOVED"/>
        <w:spacing w:line="240" w:lineRule="auto"/>
      </w:pPr>
      <w:r w:rsidRPr="009B56EE">
        <w:separator/>
      </w:r>
    </w:p>
  </w:footnote>
  <w:footnote w:type="continuationSeparator" w:id="0">
    <w:p w14:paraId="508C198C" w14:textId="77777777" w:rsidR="00953DE0" w:rsidRDefault="00953DE0">
      <w:r>
        <w:separator/>
      </w:r>
    </w:p>
  </w:footnote>
  <w:footnote w:type="continuationNotice" w:id="1">
    <w:p w14:paraId="4E47763E" w14:textId="77777777" w:rsidR="00953DE0" w:rsidRDefault="00953DE0">
      <w:pPr>
        <w:spacing w:line="240" w:lineRule="auto"/>
      </w:pPr>
    </w:p>
  </w:footnote>
  <w:footnote w:id="2">
    <w:p w14:paraId="15B6EAF2" w14:textId="77777777" w:rsidR="00953DE0" w:rsidRPr="00742CCA" w:rsidRDefault="00953DE0" w:rsidP="00B54914">
      <w:pPr>
        <w:pStyle w:val="FootnoteText"/>
      </w:pPr>
      <w:r w:rsidRPr="00742CCA">
        <w:rPr>
          <w:rStyle w:val="FootnoteReference"/>
          <w:rFonts w:cs="Times New Roman"/>
          <w:sz w:val="16"/>
          <w:szCs w:val="16"/>
        </w:rPr>
        <w:footnoteRef/>
      </w:r>
      <w:r w:rsidRPr="00742CCA">
        <w:t xml:space="preserve"> Predpostavka cene nafte je narejena na podlagi povprečnih vrednosti terminskih pogodb i</w:t>
      </w:r>
      <w:r>
        <w:t>n vrednosti tečaja USD/EUR med 1. in 18. februarjem 2021</w:t>
      </w:r>
      <w:r w:rsidRPr="00742CCA">
        <w:t xml:space="preserve">. Predpostavka cen </w:t>
      </w:r>
      <w:proofErr w:type="spellStart"/>
      <w:r w:rsidRPr="00742CCA">
        <w:t>neenergetskih</w:t>
      </w:r>
      <w:proofErr w:type="spellEnd"/>
      <w:r w:rsidRPr="00742CCA">
        <w:t xml:space="preserve"> surovin je narejena na podlagi podatkov ECB</w:t>
      </w:r>
      <w:r>
        <w:t>, ki so bili razpoložljivi do 18. februarja 2021</w:t>
      </w:r>
      <w:r w:rsidRPr="00742CCA">
        <w:t>.</w:t>
      </w:r>
    </w:p>
  </w:footnote>
  <w:footnote w:id="3">
    <w:p w14:paraId="25600934" w14:textId="77777777" w:rsidR="00953DE0" w:rsidRDefault="00953DE0" w:rsidP="00B54914">
      <w:pPr>
        <w:pStyle w:val="FootnoteText"/>
      </w:pPr>
      <w:r w:rsidRPr="00742CCA">
        <w:rPr>
          <w:rStyle w:val="FootnoteReference"/>
          <w:rFonts w:cs="Times New Roman"/>
          <w:sz w:val="16"/>
          <w:szCs w:val="16"/>
        </w:rPr>
        <w:footnoteRef/>
      </w:r>
      <w:r w:rsidRPr="00742CCA">
        <w:t xml:space="preserve"> Predpostavljena vrednost</w:t>
      </w:r>
      <w:r>
        <w:t xml:space="preserve"> tečaja USD/EUR za obdobje po 18. februarju</w:t>
      </w:r>
      <w:r w:rsidRPr="00742CCA">
        <w:t xml:space="preserve"> j</w:t>
      </w:r>
      <w:r>
        <w:t>e enaka povprečnemu tečaju med 1. in 18. februarjem 2021</w:t>
      </w:r>
      <w:r w:rsidRPr="00742CCA">
        <w:t>.</w:t>
      </w:r>
    </w:p>
  </w:footnote>
  <w:footnote w:id="4">
    <w:p w14:paraId="2C7B3993" w14:textId="77777777" w:rsidR="00953DE0" w:rsidRPr="00264E13" w:rsidRDefault="00953DE0" w:rsidP="00532210">
      <w:pPr>
        <w:pStyle w:val="FootnoteText"/>
      </w:pPr>
      <w:r w:rsidRPr="00E735A5">
        <w:rPr>
          <w:rStyle w:val="FootnoteReference"/>
          <w:highlight w:val="yellow"/>
        </w:rPr>
        <w:footnoteRef/>
      </w:r>
      <w:r w:rsidRPr="00E735A5">
        <w:rPr>
          <w:highlight w:val="yellow"/>
        </w:rPr>
        <w:t xml:space="preserve"> </w:t>
      </w:r>
      <w:r w:rsidRPr="00022E33">
        <w:rPr>
          <w:highlight w:val="green"/>
        </w:rPr>
        <w:t>https://www.gov.si/teme/koronavirus-sars-cov-2/ukrepi-za-zajezitev-sirjenja-okuzb/.</w:t>
      </w:r>
    </w:p>
  </w:footnote>
  <w:footnote w:id="5">
    <w:p w14:paraId="6921FB23" w14:textId="77777777" w:rsidR="00953DE0" w:rsidRPr="00264E13" w:rsidRDefault="00953DE0" w:rsidP="004721FF">
      <w:pPr>
        <w:pStyle w:val="FootnoteText"/>
      </w:pPr>
      <w:r w:rsidRPr="00264E13">
        <w:rPr>
          <w:rStyle w:val="FootnoteReference"/>
        </w:rPr>
        <w:footnoteRef/>
      </w:r>
      <w:r w:rsidRPr="00264E13">
        <w:rPr>
          <w:vertAlign w:val="superscript"/>
        </w:rPr>
        <w:t xml:space="preserve"> </w:t>
      </w:r>
      <w:r w:rsidRPr="00264E13">
        <w:t xml:space="preserve">Za podrobnejšo vsebino </w:t>
      </w:r>
      <w:r>
        <w:t>preteklih</w:t>
      </w:r>
      <w:r w:rsidRPr="00264E13">
        <w:t xml:space="preserve"> ukrepov</w:t>
      </w:r>
      <w:r>
        <w:t xml:space="preserve"> glej </w:t>
      </w:r>
      <w:r w:rsidRPr="00022E33">
        <w:rPr>
          <w:highlight w:val="green"/>
        </w:rPr>
        <w:t>Pomladansko napoved 2021.</w:t>
      </w:r>
      <w:r w:rsidRPr="00264E13">
        <w:t xml:space="preserve"> </w:t>
      </w:r>
    </w:p>
  </w:footnote>
  <w:footnote w:id="6">
    <w:p w14:paraId="772C8315" w14:textId="77777777" w:rsidR="00953DE0" w:rsidRPr="00022E33" w:rsidRDefault="00953DE0" w:rsidP="00742FBD">
      <w:pPr>
        <w:pStyle w:val="FootnoteText"/>
        <w:rPr>
          <w:highlight w:val="green"/>
        </w:rPr>
      </w:pPr>
      <w:r w:rsidRPr="00264E13">
        <w:rPr>
          <w:rStyle w:val="FootnoteReference"/>
        </w:rPr>
        <w:footnoteRef/>
      </w:r>
      <w:r w:rsidRPr="00264E13">
        <w:t xml:space="preserve"> </w:t>
      </w:r>
      <w:r w:rsidRPr="00022E33">
        <w:rPr>
          <w:highlight w:val="green"/>
        </w:rPr>
        <w:t>Zakon o dodatnih ukrepih za omilitev posledic COVID-19 (ZDUOP) (dostopen na http://www.pisrs.si/Pis.web/pregledPredpisa?id=ZAKO8321).</w:t>
      </w:r>
    </w:p>
  </w:footnote>
  <w:footnote w:id="7">
    <w:p w14:paraId="478AD605" w14:textId="77777777" w:rsidR="00953DE0" w:rsidRPr="00022E33" w:rsidRDefault="00953DE0" w:rsidP="00C34D29">
      <w:pPr>
        <w:pStyle w:val="FootnoteText"/>
        <w:rPr>
          <w:highlight w:val="green"/>
        </w:rPr>
      </w:pPr>
      <w:r w:rsidRPr="00022E33">
        <w:rPr>
          <w:rStyle w:val="FootnoteReference"/>
          <w:highlight w:val="green"/>
        </w:rPr>
        <w:footnoteRef/>
      </w:r>
      <w:r w:rsidRPr="00022E33">
        <w:rPr>
          <w:highlight w:val="green"/>
        </w:rPr>
        <w:t xml:space="preserve"> Zakon o začasnih ukrepih za omilitev in odpravo posledic COVID-19 (ZZUOOP) (dostopen na: http://www.pisrs.si/Pis.web/pregledPredpisa?id=ZAKO8254).</w:t>
      </w:r>
    </w:p>
  </w:footnote>
  <w:footnote w:id="8">
    <w:p w14:paraId="7CE1B946" w14:textId="77777777" w:rsidR="00953DE0" w:rsidRPr="006D21AA" w:rsidRDefault="00953DE0" w:rsidP="00C34D29">
      <w:pPr>
        <w:pStyle w:val="FootnoteText"/>
      </w:pPr>
      <w:r w:rsidRPr="00022E33">
        <w:rPr>
          <w:rStyle w:val="FootnoteReference"/>
          <w:highlight w:val="green"/>
        </w:rPr>
        <w:footnoteRef/>
      </w:r>
      <w:r w:rsidRPr="00022E33">
        <w:rPr>
          <w:highlight w:val="green"/>
        </w:rPr>
        <w:t xml:space="preserve"> Zakon o interventnih ukrepih za pomoč pri omilitvi posledic drugega vala epidemije (ZIUPOPDVE) (dostopen na: http://www.pisrs.si/Pis.web/pregledPredpisa?id=ZAKO8304).</w:t>
      </w:r>
    </w:p>
  </w:footnote>
  <w:footnote w:id="9">
    <w:p w14:paraId="261773DC" w14:textId="6D503DA2" w:rsidR="00953DE0" w:rsidRDefault="00953DE0">
      <w:pPr>
        <w:pStyle w:val="FootnoteText"/>
      </w:pPr>
      <w:r>
        <w:rPr>
          <w:rStyle w:val="FootnoteReference"/>
        </w:rPr>
        <w:footnoteRef/>
      </w:r>
      <w:r>
        <w:t xml:space="preserve"> Sem spadajo tudi z</w:t>
      </w:r>
      <w:r w:rsidRPr="00466528">
        <w:t>aposleni</w:t>
      </w:r>
      <w:r>
        <w:t xml:space="preserve"> katerih </w:t>
      </w:r>
      <w:r w:rsidRPr="00466528">
        <w:t>mesečna plača n</w:t>
      </w:r>
      <w:r>
        <w:t>e</w:t>
      </w:r>
      <w:r w:rsidRPr="00466528">
        <w:t xml:space="preserve"> preseg</w:t>
      </w:r>
      <w:r>
        <w:t>a</w:t>
      </w:r>
      <w:r w:rsidRPr="00466528">
        <w:t xml:space="preserve"> dvakratnika minimalne plače, </w:t>
      </w:r>
      <w:r>
        <w:t xml:space="preserve">ki so k decembrski plači prejeli 200 evrov dodatka. </w:t>
      </w:r>
    </w:p>
  </w:footnote>
  <w:footnote w:id="10">
    <w:p w14:paraId="5B5CF89C" w14:textId="77777777" w:rsidR="00953DE0" w:rsidRPr="00022E33" w:rsidRDefault="00953DE0" w:rsidP="00D25ACA">
      <w:pPr>
        <w:pStyle w:val="FootnoteText"/>
        <w:rPr>
          <w:highlight w:val="green"/>
        </w:rPr>
      </w:pPr>
      <w:r w:rsidRPr="00264E13">
        <w:rPr>
          <w:rStyle w:val="FootnoteReference"/>
        </w:rPr>
        <w:footnoteRef/>
      </w:r>
      <w:r w:rsidRPr="00264E13">
        <w:t xml:space="preserve"> </w:t>
      </w:r>
      <w:r w:rsidRPr="00022E33">
        <w:rPr>
          <w:highlight w:val="green"/>
        </w:rPr>
        <w:t>Zakon o interventnih ukrepih za omilitev posledic drugega vala epidemije COVID-19 (ZIUOPDVE) (dostopen na: http://www.pisrs.si/Pis.web/pregledPredpisa?id=ZAKO8272).</w:t>
      </w:r>
    </w:p>
  </w:footnote>
  <w:footnote w:id="11">
    <w:p w14:paraId="46E72CC7" w14:textId="77777777" w:rsidR="00953DE0" w:rsidRDefault="00953DE0" w:rsidP="00736FEA">
      <w:pPr>
        <w:pStyle w:val="FootnoteText"/>
      </w:pPr>
      <w:r w:rsidRPr="00022E33">
        <w:rPr>
          <w:rStyle w:val="FootnoteReference"/>
          <w:highlight w:val="green"/>
        </w:rPr>
        <w:footnoteRef/>
      </w:r>
      <w:r w:rsidRPr="00022E33">
        <w:rPr>
          <w:highlight w:val="green"/>
        </w:rPr>
        <w:t xml:space="preserve"> Sestavljen je iz dveh zakonov, in sicer Zakona o interventnih ukrepih za pomoč gospodarstvu in turizmu pri omilitvi posledic epidemije COVID-19 (ZIUPGT) (dostopen na http://www.pisrs.si/Pis.web/pregledPredpisa?id=ZAKO8389) in Zakona o nujnih ukrepih na področju zdravstva (ZNUPZ) (dostopen na: http://www.pisrs.si/Pis.web/pregledPredpisa?id=ZAKO8360).</w:t>
      </w:r>
    </w:p>
  </w:footnote>
  <w:footnote w:id="12">
    <w:p w14:paraId="5B313715" w14:textId="77777777" w:rsidR="00953DE0" w:rsidRPr="00264E13" w:rsidRDefault="00953DE0" w:rsidP="00A72C49">
      <w:pPr>
        <w:pStyle w:val="FootnoteText"/>
      </w:pPr>
      <w:r w:rsidRPr="00264E13">
        <w:rPr>
          <w:rStyle w:val="FootnoteReference"/>
        </w:rPr>
        <w:footnoteRef/>
      </w:r>
      <w:r w:rsidRPr="00264E13">
        <w:t xml:space="preserve"> Kot so na primer </w:t>
      </w:r>
      <w:r w:rsidRPr="00264E13">
        <w:rPr>
          <w:bCs/>
        </w:rPr>
        <w:t>nakupi zaščitne opreme, izboljšanje dostopnosti do zdravstvenih storitev in zagotavljanje sredstev zaradi izpada programa.</w:t>
      </w:r>
    </w:p>
  </w:footnote>
  <w:footnote w:id="13">
    <w:p w14:paraId="12EE7220" w14:textId="77777777" w:rsidR="00953DE0" w:rsidRPr="00264E13" w:rsidRDefault="00953DE0" w:rsidP="00CC28D5">
      <w:pPr>
        <w:pStyle w:val="FootnoteText"/>
      </w:pPr>
      <w:r w:rsidRPr="00264E13">
        <w:rPr>
          <w:rStyle w:val="FootnoteReference"/>
        </w:rPr>
        <w:footnoteRef/>
      </w:r>
      <w:r w:rsidRPr="00264E13">
        <w:t xml:space="preserve"> S </w:t>
      </w:r>
      <w:r w:rsidRPr="00264E13">
        <w:rPr>
          <w:bCs/>
        </w:rPr>
        <w:t>kritjem izpada prihodkov socialnovarstvenim zavodom.</w:t>
      </w:r>
    </w:p>
  </w:footnote>
  <w:footnote w:id="14">
    <w:p w14:paraId="609CE8CD" w14:textId="3E18669F" w:rsidR="00953DE0" w:rsidRPr="00264E13" w:rsidRDefault="00953DE0" w:rsidP="00CC28D5">
      <w:pPr>
        <w:pStyle w:val="FootnoteText"/>
      </w:pPr>
      <w:r w:rsidRPr="00264E13">
        <w:rPr>
          <w:rStyle w:val="FootnoteReference"/>
        </w:rPr>
        <w:footnoteRef/>
      </w:r>
      <w:r w:rsidRPr="00264E13">
        <w:t xml:space="preserve"> </w:t>
      </w:r>
      <w:r>
        <w:t>S su</w:t>
      </w:r>
      <w:r w:rsidRPr="00264E13">
        <w:rPr>
          <w:bCs/>
        </w:rPr>
        <w:t>bvencioniranjem medicinskih pripomočkov.</w:t>
      </w:r>
    </w:p>
  </w:footnote>
  <w:footnote w:id="15">
    <w:p w14:paraId="4E9F0459" w14:textId="77777777" w:rsidR="00953DE0" w:rsidRDefault="00953DE0" w:rsidP="00736FEA">
      <w:pPr>
        <w:pStyle w:val="FootnoteText"/>
      </w:pPr>
      <w:r>
        <w:rPr>
          <w:rStyle w:val="FootnoteReference"/>
        </w:rPr>
        <w:footnoteRef/>
      </w:r>
      <w:r>
        <w:t xml:space="preserve"> Direktorjem v javnem sektorju v dejavnosti vzgoje, izobraževanja, visokega šolstva in v raziskovalni dejavnosti ter funkcionarjem v lokalnih skupnostih in občinskih upravah.  </w:t>
      </w:r>
    </w:p>
  </w:footnote>
  <w:footnote w:id="16">
    <w:p w14:paraId="4576A7C5" w14:textId="77777777" w:rsidR="00953DE0" w:rsidRDefault="00953DE0" w:rsidP="00736FEA">
      <w:pPr>
        <w:pStyle w:val="FootnoteText"/>
      </w:pPr>
      <w:r>
        <w:rPr>
          <w:rStyle w:val="FootnoteReference"/>
        </w:rPr>
        <w:footnoteRef/>
      </w:r>
      <w:r>
        <w:t xml:space="preserve"> Gre za stroške organizacije srečanj in dogodkov, stroške za produkcijo filmov in avdiovizualnih del ter stroške žičniških naprav.</w:t>
      </w:r>
    </w:p>
  </w:footnote>
  <w:footnote w:id="17">
    <w:p w14:paraId="7D37CA2B" w14:textId="77777777" w:rsidR="00953DE0" w:rsidRDefault="00953DE0" w:rsidP="00736FEA">
      <w:pPr>
        <w:pStyle w:val="FootnoteText"/>
      </w:pPr>
      <w:r>
        <w:rPr>
          <w:rStyle w:val="FootnoteReference"/>
        </w:rPr>
        <w:footnoteRef/>
      </w:r>
      <w:r>
        <w:t xml:space="preserve"> </w:t>
      </w:r>
      <w:r w:rsidRPr="00AD4E1D">
        <w:rPr>
          <w:highlight w:val="green"/>
        </w:rPr>
        <w:t>Sklep o spremembi Sklepa o podaljšanju ukrepov na področju postopkov zaradi insolventnosti (dostopen na: https://www.uradni-list.si/glasilo-uradni-list-rs/vsebina/2021-01-2192/sklep-o-spremembi-sklepa-o-podaljsanju-ukrepov-na-podrocju-postopkov-zaradi-insolventnosti).</w:t>
      </w:r>
    </w:p>
  </w:footnote>
  <w:footnote w:id="18">
    <w:p w14:paraId="6757A473" w14:textId="77777777" w:rsidR="00960AAA" w:rsidRDefault="00960AAA" w:rsidP="00960AAA">
      <w:pPr>
        <w:pStyle w:val="FootnoteText"/>
      </w:pPr>
      <w:r>
        <w:rPr>
          <w:rStyle w:val="FootnoteReference"/>
          <w:rFonts w:cs="Times New Roman"/>
        </w:rPr>
        <w:footnoteRef/>
      </w:r>
      <w:r>
        <w:t xml:space="preserve"> </w:t>
      </w:r>
      <w:r>
        <w:t xml:space="preserve">Tudi preko sprostitve nerazporejenih sredstev in sredstev kohezijske politike (iz strukturnih in naložbenih skladov) – t. i. naložbena pobuda kot odziv na </w:t>
      </w:r>
      <w:proofErr w:type="spellStart"/>
      <w:r>
        <w:t>koronavirus</w:t>
      </w:r>
      <w:proofErr w:type="spellEnd"/>
      <w:r>
        <w:t xml:space="preserve"> za podporo zdravstvu, malim in srednje velikim podjetjem in trgu dela.</w:t>
      </w:r>
    </w:p>
  </w:footnote>
  <w:footnote w:id="19">
    <w:p w14:paraId="284CC7D0" w14:textId="77777777" w:rsidR="00960AAA" w:rsidRDefault="00960AAA" w:rsidP="00960AAA">
      <w:pPr>
        <w:pStyle w:val="FootnoteText"/>
      </w:pPr>
      <w:r>
        <w:rPr>
          <w:rStyle w:val="FootnoteReference"/>
          <w:rFonts w:cs="Times New Roman"/>
        </w:rPr>
        <w:footnoteRef/>
      </w:r>
      <w:r>
        <w:t xml:space="preserve"> </w:t>
      </w:r>
      <w:r>
        <w:t xml:space="preserve">Od tega je 240 mrd EUR previdnostnih posojil iz Evropskega mehanizma za stabilnost (ESM) namenjenih podpori držav članic pri odzivu na </w:t>
      </w:r>
      <w:proofErr w:type="spellStart"/>
      <w:r>
        <w:t>pandemsko</w:t>
      </w:r>
      <w:proofErr w:type="spellEnd"/>
      <w:r>
        <w:t xml:space="preserve"> krizo, 200 mrd EUR predstavljajo garancije vseevropskega jamstvenega sklada Evropske investicijske banke (EIB) za posojila podjetjem (predvsem malim in srednje velikim), 100 mrd EUR ugodnih posojil iz vseevropske sheme za krajši delovni čas (SURE) pa je namenjenih za preprečevanje odpuščanj.</w:t>
      </w:r>
    </w:p>
  </w:footnote>
  <w:footnote w:id="20">
    <w:p w14:paraId="249A4FF4" w14:textId="77777777" w:rsidR="00960AAA" w:rsidRDefault="00960AAA" w:rsidP="00960AAA">
      <w:pPr>
        <w:pStyle w:val="FootnoteText"/>
      </w:pPr>
      <w:r>
        <w:rPr>
          <w:rStyle w:val="FootnoteReference"/>
          <w:rFonts w:cs="Times New Roman"/>
        </w:rPr>
        <w:footnoteRef/>
      </w:r>
      <w:r>
        <w:t xml:space="preserve"> </w:t>
      </w:r>
      <w:r>
        <w:t xml:space="preserve">V času pisanja Jesenske napovedi, do začetka septembra, so bili na ravni EU potrjeni načrti 16-ih držav članic. </w:t>
      </w:r>
    </w:p>
  </w:footnote>
  <w:footnote w:id="21">
    <w:p w14:paraId="4EFA11DD" w14:textId="5D42F882" w:rsidR="00960AAA" w:rsidRDefault="00960AAA" w:rsidP="00960AAA">
      <w:pPr>
        <w:pStyle w:val="FootnoteText"/>
      </w:pPr>
      <w:r>
        <w:rPr>
          <w:rStyle w:val="FootnoteReference"/>
          <w:rFonts w:cs="Times New Roman"/>
        </w:rPr>
        <w:footnoteRef/>
      </w:r>
      <w:r>
        <w:t xml:space="preserve"> </w:t>
      </w:r>
      <w:r>
        <w:t xml:space="preserve">Novi viri lastnih sredstev bodo temeljili na mehanizmu za </w:t>
      </w:r>
      <w:proofErr w:type="spellStart"/>
      <w:r>
        <w:t>ogljično</w:t>
      </w:r>
      <w:proofErr w:type="spellEnd"/>
      <w:r>
        <w:t xml:space="preserve"> prilagoditev na mejah (CBAM) in digitalnih dajatvah (predvidena uvedba 2023).</w:t>
      </w:r>
    </w:p>
  </w:footnote>
  <w:footnote w:id="22">
    <w:p w14:paraId="6A8C3D66" w14:textId="77777777" w:rsidR="00960AAA" w:rsidRDefault="00960AAA" w:rsidP="00960AAA">
      <w:pPr>
        <w:pStyle w:val="FootnoteText"/>
      </w:pPr>
      <w:r>
        <w:rPr>
          <w:rStyle w:val="FootnoteReference"/>
          <w:rFonts w:cs="Times New Roman"/>
        </w:rPr>
        <w:footnoteRef/>
      </w:r>
      <w:r>
        <w:t xml:space="preserve"> </w:t>
      </w:r>
      <w:r>
        <w:t xml:space="preserve">Sklad »Naslednja generacija EU« sestavljajo štirje programi: Mehanizem za okrevanje in odpornost (1.589 mio nepovratnih sredstev za Slovenijo, namenjen za investicije in reforme, ki so ključne za dolgoročno okrevanje, izboljšanje odpornosti držav članic ter zeleno in digitalno tranzicijo), </w:t>
      </w:r>
      <w:proofErr w:type="spellStart"/>
      <w:r>
        <w:t>React</w:t>
      </w:r>
      <w:proofErr w:type="spellEnd"/>
      <w:r>
        <w:t xml:space="preserve"> EU (312 mio, namenjen investicijam za obnovo trga dela tudi s pomočjo malim in srednje velikim podjetjem), Sklad za pravičen prehod (129 mio, namenjen regijam, ki imajo/bodo imele večje stroške zaradi prestrukturiranja iz fosilno-intenzivnih panog na </w:t>
      </w:r>
      <w:proofErr w:type="spellStart"/>
      <w:r>
        <w:t>nizkoogljično</w:t>
      </w:r>
      <w:proofErr w:type="spellEnd"/>
      <w:r>
        <w:t xml:space="preserve"> gospodarstvo in družbo do leta 2050) in Razvoj podeželja (68 mio).</w:t>
      </w:r>
    </w:p>
  </w:footnote>
  <w:footnote w:id="23">
    <w:p w14:paraId="4A2BEAD1" w14:textId="07309DFC" w:rsidR="00953DE0" w:rsidRPr="00D97BF4" w:rsidRDefault="00953DE0" w:rsidP="00532210">
      <w:pPr>
        <w:pStyle w:val="FootnoteText"/>
      </w:pPr>
      <w:r w:rsidRPr="00D97BF4">
        <w:rPr>
          <w:rStyle w:val="FootnoteReference"/>
        </w:rPr>
        <w:footnoteRef/>
      </w:r>
      <w:r w:rsidRPr="00D97BF4">
        <w:t xml:space="preserve"> </w:t>
      </w:r>
      <w:r w:rsidRPr="00D97BF4">
        <w:t>To smo ocenili na podlagi multiplikatorja</w:t>
      </w:r>
      <w:r>
        <w:t>, pri čemer smo upoštevali le iz državnega proračuna izplačane odhodke (brez odlogov, obročnih odplačil in likvidnostnih kreditov)</w:t>
      </w:r>
      <w:r w:rsidRPr="00D97BF4">
        <w:t xml:space="preserve">. Po letu 2009 so se ocene multiplikatorjev povečale (glej na primer Oliver Blanchard in Daniel </w:t>
      </w:r>
      <w:proofErr w:type="spellStart"/>
      <w:r w:rsidRPr="00D97BF4">
        <w:t>Leigh</w:t>
      </w:r>
      <w:proofErr w:type="spellEnd"/>
      <w:r w:rsidRPr="00D97BF4">
        <w:t>: "</w:t>
      </w:r>
      <w:proofErr w:type="spellStart"/>
      <w:r w:rsidRPr="00D97BF4">
        <w:t>Growth</w:t>
      </w:r>
      <w:proofErr w:type="spellEnd"/>
      <w:r w:rsidRPr="00D97BF4">
        <w:t xml:space="preserve"> </w:t>
      </w:r>
      <w:proofErr w:type="spellStart"/>
      <w:r w:rsidRPr="00D97BF4">
        <w:t>Forecast</w:t>
      </w:r>
      <w:proofErr w:type="spellEnd"/>
      <w:r w:rsidRPr="00D97BF4">
        <w:t xml:space="preserve"> </w:t>
      </w:r>
      <w:proofErr w:type="spellStart"/>
      <w:r w:rsidRPr="00D97BF4">
        <w:t>Errors</w:t>
      </w:r>
      <w:proofErr w:type="spellEnd"/>
      <w:r w:rsidRPr="00D97BF4">
        <w:t xml:space="preserve"> </w:t>
      </w:r>
      <w:proofErr w:type="spellStart"/>
      <w:r w:rsidRPr="00D97BF4">
        <w:t>and</w:t>
      </w:r>
      <w:proofErr w:type="spellEnd"/>
      <w:r w:rsidRPr="00D97BF4">
        <w:t xml:space="preserve"> </w:t>
      </w:r>
      <w:proofErr w:type="spellStart"/>
      <w:r w:rsidRPr="00D97BF4">
        <w:t>Fiscal</w:t>
      </w:r>
      <w:proofErr w:type="spellEnd"/>
      <w:r w:rsidRPr="00D97BF4">
        <w:t xml:space="preserve"> </w:t>
      </w:r>
      <w:proofErr w:type="spellStart"/>
      <w:r w:rsidRPr="00D97BF4">
        <w:t>Multipliers</w:t>
      </w:r>
      <w:proofErr w:type="spellEnd"/>
      <w:r w:rsidRPr="00D97BF4">
        <w:t xml:space="preserve">"), pogosto znatno </w:t>
      </w:r>
      <w:r>
        <w:t>nad</w:t>
      </w:r>
      <w:r w:rsidRPr="00D97BF4">
        <w:t xml:space="preserve"> 1. Naša ocena je, da je multiplikator za tekoče leto okoli 0,8. Na zmanjšanje delujeta dva dejavnika: (i) ukrepi in zaščitno ravnanje spreminjata obnašanje potrošnikov ("prisilno varčevanje") in (ii) dejstvo, da</w:t>
      </w:r>
      <w:r>
        <w:t xml:space="preserve"> so</w:t>
      </w:r>
      <w:r w:rsidRPr="00D97BF4">
        <w:t xml:space="preserve"> se nekatere fiskalne vzpodbude izvedle v drugi polovici </w:t>
      </w:r>
      <w:r>
        <w:t xml:space="preserve">lanskega </w:t>
      </w:r>
      <w:r w:rsidRPr="00D97BF4">
        <w:t xml:space="preserve">leta (in bodo tako dodatno pozitivno delovale še </w:t>
      </w:r>
      <w:r>
        <w:t>letos</w:t>
      </w:r>
      <w:r w:rsidRPr="00D97BF4">
        <w:t>).</w:t>
      </w:r>
    </w:p>
  </w:footnote>
  <w:footnote w:id="24">
    <w:p w14:paraId="11DC2899" w14:textId="77777777" w:rsidR="00953DE0" w:rsidRPr="00D97BF4" w:rsidRDefault="00953DE0" w:rsidP="00532210">
      <w:pPr>
        <w:pStyle w:val="FootnoteText"/>
      </w:pPr>
      <w:r w:rsidRPr="00D97BF4">
        <w:rPr>
          <w:rStyle w:val="FootnoteReference"/>
        </w:rPr>
        <w:footnoteRef/>
      </w:r>
      <w:r w:rsidRPr="00D97BF4">
        <w:t xml:space="preserve"> Slovenski podjetniški sklad.</w:t>
      </w:r>
    </w:p>
  </w:footnote>
  <w:footnote w:id="25">
    <w:p w14:paraId="460E32CC" w14:textId="77777777" w:rsidR="00953DE0" w:rsidRPr="00D97BF4" w:rsidRDefault="00953DE0" w:rsidP="00532210">
      <w:pPr>
        <w:pStyle w:val="FootnoteText"/>
      </w:pPr>
      <w:r w:rsidRPr="00AD4E1D">
        <w:rPr>
          <w:rStyle w:val="FootnoteReference"/>
          <w:highlight w:val="green"/>
        </w:rPr>
        <w:footnoteRef/>
      </w:r>
      <w:r w:rsidRPr="00AD4E1D">
        <w:rPr>
          <w:highlight w:val="green"/>
        </w:rPr>
        <w:t xml:space="preserve"> Fiskalni svet, Mesečna informacija, marec 2021.</w:t>
      </w:r>
    </w:p>
  </w:footnote>
  <w:footnote w:id="26">
    <w:p w14:paraId="29BFA54F" w14:textId="77777777" w:rsidR="00953DE0" w:rsidRDefault="00953DE0" w:rsidP="00532210">
      <w:pPr>
        <w:pStyle w:val="FootnoteText"/>
      </w:pPr>
      <w:r w:rsidRPr="00D97BF4">
        <w:rPr>
          <w:rStyle w:val="FootnoteReference"/>
        </w:rPr>
        <w:footnoteRef/>
      </w:r>
      <w:r w:rsidRPr="00D97BF4">
        <w:t xml:space="preserve"> Vlada je prva izhodišča za porabo teh (nepovratnih in povratnih virov) potrdila konec avgusta 2020, nov osnutek pa v decembru 2020. Trenutno so v teku nove dopolnitve zlasti reformnega dela načrta, ki </w:t>
      </w:r>
      <w:r>
        <w:t xml:space="preserve">naj </w:t>
      </w:r>
      <w:r w:rsidRPr="00D97BF4">
        <w:t>bi dopolnjeval predloge naložb. Po potrditvi končnega načrta v Sloveniji in oddaji v aprilu 2021 se bo načrt potrjeval še na ravni voditeljev EU.</w:t>
      </w:r>
    </w:p>
  </w:footnote>
  <w:footnote w:id="27">
    <w:p w14:paraId="67A2B7CF" w14:textId="77777777" w:rsidR="002915D2" w:rsidRPr="006E559A" w:rsidRDefault="002915D2" w:rsidP="002915D2">
      <w:pPr>
        <w:pStyle w:val="FootnoteText"/>
        <w:rPr>
          <w:rFonts w:ascii="Arial" w:hAnsi="Arial" w:cs="Arial"/>
        </w:rPr>
      </w:pPr>
      <w:r>
        <w:rPr>
          <w:rStyle w:val="FootnoteReference"/>
        </w:rPr>
        <w:footnoteRef/>
      </w:r>
      <w:r>
        <w:t xml:space="preserve"> </w:t>
      </w:r>
      <w:r w:rsidRPr="006E559A">
        <w:rPr>
          <w:rFonts w:ascii="Arial" w:hAnsi="Arial" w:cs="Arial"/>
        </w:rPr>
        <w:t xml:space="preserve">Povprečje 20 let do leta 2020 je </w:t>
      </w:r>
      <w:r>
        <w:rPr>
          <w:rFonts w:ascii="Arial" w:hAnsi="Arial" w:cs="Arial"/>
        </w:rPr>
        <w:t xml:space="preserve">znašalo </w:t>
      </w:r>
      <w:r w:rsidRPr="006E559A">
        <w:rPr>
          <w:rFonts w:ascii="Arial" w:hAnsi="Arial" w:cs="Arial"/>
        </w:rPr>
        <w:t>13,6 %.</w:t>
      </w:r>
    </w:p>
  </w:footnote>
  <w:footnote w:id="28">
    <w:p w14:paraId="68727CA7" w14:textId="77777777" w:rsidR="002915D2" w:rsidRPr="00BE249E" w:rsidRDefault="002915D2" w:rsidP="002915D2">
      <w:pPr>
        <w:pStyle w:val="FootnoteText"/>
        <w:rPr>
          <w:sz w:val="20"/>
        </w:rPr>
      </w:pPr>
      <w:r w:rsidRPr="00BE249E">
        <w:rPr>
          <w:rStyle w:val="FootnoteReference"/>
          <w:sz w:val="20"/>
        </w:rPr>
        <w:footnoteRef/>
      </w:r>
      <w:r w:rsidRPr="00BE249E">
        <w:rPr>
          <w:sz w:val="20"/>
        </w:rPr>
        <w:t xml:space="preserve"> </w:t>
      </w:r>
      <w:r w:rsidRPr="002D1021">
        <w:t>Stroški gradbenega materiala so bili julija za 17,3 % višje kot julija lani. Po podatkih poslovnih tendenc je julija 19% podjetij v gradbeništvu pomanjkanje materialov omenjalo kot omejitvenih dejav</w:t>
      </w:r>
      <w:r>
        <w:t>n</w:t>
      </w:r>
      <w:r w:rsidRPr="002D1021">
        <w:t>ik; pred izbruhom epidemije so le redka podjetja navajala pomanjkanje materi</w:t>
      </w:r>
      <w:r>
        <w:t>a</w:t>
      </w:r>
      <w:r w:rsidRPr="002D1021">
        <w:t>la kot omejitveni dejavnik (najvišja vrednost tega kazalnika je bila 4%).</w:t>
      </w:r>
    </w:p>
  </w:footnote>
  <w:footnote w:id="29">
    <w:p w14:paraId="0B25078F" w14:textId="77777777" w:rsidR="002915D2" w:rsidRPr="00BE249E" w:rsidRDefault="002915D2" w:rsidP="002915D2">
      <w:pPr>
        <w:pStyle w:val="FootnoteText"/>
        <w:rPr>
          <w:sz w:val="20"/>
        </w:rPr>
      </w:pPr>
      <w:r w:rsidRPr="00BE249E">
        <w:rPr>
          <w:rStyle w:val="FootnoteReference"/>
          <w:sz w:val="20"/>
        </w:rPr>
        <w:footnoteRef/>
      </w:r>
      <w:r w:rsidRPr="00BE249E">
        <w:rPr>
          <w:sz w:val="20"/>
        </w:rPr>
        <w:t xml:space="preserve"> </w:t>
      </w:r>
      <w:r w:rsidRPr="002D1021">
        <w:t>Zaloge pogodb v gradbeništvu so se v zadnjih mesecih okrepile in bile na medletni ravni višje za 25%. V zadnjih mesecih so se okrepile tudi investicije države (</w:t>
      </w:r>
      <w:r w:rsidRPr="002D1021">
        <w:rPr>
          <w:highlight w:val="yellow"/>
        </w:rPr>
        <w:t>čakam na podatke, ki pride 31.8</w:t>
      </w:r>
      <w:r w:rsidRPr="002D1021">
        <w:t xml:space="preserve">.); junija in julija so investicijski odhodki po konsolidirani bilanci javnega financiranja znatno </w:t>
      </w:r>
      <w:r>
        <w:t>p</w:t>
      </w:r>
      <w:r w:rsidRPr="002D1021">
        <w:t>resegali ravni iz lanskega leta.</w:t>
      </w:r>
    </w:p>
  </w:footnote>
  <w:footnote w:id="30">
    <w:p w14:paraId="5EFCBD14" w14:textId="77777777" w:rsidR="00953DE0" w:rsidRPr="00C45149" w:rsidRDefault="00953DE0" w:rsidP="008E0DB2">
      <w:pPr>
        <w:pStyle w:val="FootnoteText"/>
      </w:pPr>
      <w:r w:rsidRPr="00C45149">
        <w:rPr>
          <w:rStyle w:val="FootnoteReference"/>
        </w:rPr>
        <w:footnoteRef/>
      </w:r>
      <w:r w:rsidRPr="00C45149">
        <w:t xml:space="preserve"> </w:t>
      </w:r>
      <w:r w:rsidRPr="00C45149">
        <w:t>Merjenega kot tehtana rast uvoza trgovinskih partneric.</w:t>
      </w:r>
    </w:p>
  </w:footnote>
  <w:footnote w:id="31">
    <w:p w14:paraId="0045FD2F" w14:textId="77777777" w:rsidR="00953DE0" w:rsidRDefault="00953DE0" w:rsidP="0055681F">
      <w:pPr>
        <w:pStyle w:val="FootnoteText"/>
      </w:pPr>
      <w:r>
        <w:rPr>
          <w:rStyle w:val="FootnoteReference"/>
        </w:rPr>
        <w:footnoteRef/>
      </w:r>
      <w:r>
        <w:t xml:space="preserve"> </w:t>
      </w:r>
      <w:r w:rsidRPr="00B41728">
        <w:t>Za gospodinjstva in nepridobitne institucije, ki opravljajo storitve za gospodinjstva (NPISG)</w:t>
      </w:r>
      <w:r>
        <w:t>.</w:t>
      </w:r>
    </w:p>
  </w:footnote>
  <w:footnote w:id="32">
    <w:p w14:paraId="180EA621" w14:textId="77777777" w:rsidR="00953DE0" w:rsidRPr="001A6262" w:rsidRDefault="00953DE0" w:rsidP="0055681F">
      <w:pPr>
        <w:pStyle w:val="FootnoteText"/>
      </w:pPr>
      <w:r>
        <w:rPr>
          <w:rStyle w:val="FootnoteReference"/>
        </w:rPr>
        <w:footnoteRef/>
      </w:r>
      <w:r>
        <w:t xml:space="preserve"> </w:t>
      </w:r>
      <w:r w:rsidRPr="00B50EE7">
        <w:t xml:space="preserve">Hale, T., Webster, S., </w:t>
      </w:r>
      <w:proofErr w:type="spellStart"/>
      <w:r w:rsidRPr="00B50EE7">
        <w:t>Petherick</w:t>
      </w:r>
      <w:proofErr w:type="spellEnd"/>
      <w:r w:rsidRPr="00B50EE7">
        <w:t xml:space="preserve">, A., </w:t>
      </w:r>
      <w:proofErr w:type="spellStart"/>
      <w:r w:rsidRPr="00B50EE7">
        <w:t>Phillips</w:t>
      </w:r>
      <w:proofErr w:type="spellEnd"/>
      <w:r w:rsidRPr="00B50EE7">
        <w:t xml:space="preserve">, T., in </w:t>
      </w:r>
      <w:proofErr w:type="spellStart"/>
      <w:r w:rsidRPr="00B50EE7">
        <w:t>Bearitz</w:t>
      </w:r>
      <w:proofErr w:type="spellEnd"/>
      <w:r w:rsidRPr="00B50EE7">
        <w:t xml:space="preserve">, K. (2020). Oxford COVID-19 </w:t>
      </w:r>
      <w:proofErr w:type="spellStart"/>
      <w:r w:rsidRPr="00B50EE7">
        <w:t>Government</w:t>
      </w:r>
      <w:proofErr w:type="spellEnd"/>
      <w:r w:rsidRPr="00B50EE7">
        <w:t xml:space="preserve"> </w:t>
      </w:r>
      <w:proofErr w:type="spellStart"/>
      <w:r w:rsidRPr="00B50EE7">
        <w:t>Response</w:t>
      </w:r>
      <w:proofErr w:type="spellEnd"/>
      <w:r w:rsidRPr="00B50EE7">
        <w:t xml:space="preserve"> </w:t>
      </w:r>
      <w:proofErr w:type="spellStart"/>
      <w:r w:rsidRPr="00B50EE7">
        <w:t>Tracker</w:t>
      </w:r>
      <w:proofErr w:type="spellEnd"/>
      <w:r w:rsidRPr="00B50EE7">
        <w:t xml:space="preserve">. </w:t>
      </w:r>
      <w:proofErr w:type="spellStart"/>
      <w:r w:rsidRPr="00B50EE7">
        <w:t>Blavatnik</w:t>
      </w:r>
      <w:proofErr w:type="spellEnd"/>
      <w:r w:rsidRPr="00B50EE7">
        <w:t xml:space="preserve"> </w:t>
      </w:r>
      <w:proofErr w:type="spellStart"/>
      <w:r w:rsidRPr="00B50EE7">
        <w:t>School</w:t>
      </w:r>
      <w:proofErr w:type="spellEnd"/>
      <w:r w:rsidRPr="00B50EE7">
        <w:t xml:space="preserve"> </w:t>
      </w:r>
      <w:proofErr w:type="spellStart"/>
      <w:r w:rsidRPr="00B50EE7">
        <w:t>of</w:t>
      </w:r>
      <w:proofErr w:type="spellEnd"/>
      <w:r w:rsidRPr="00B50EE7">
        <w:t xml:space="preserve"> </w:t>
      </w:r>
      <w:proofErr w:type="spellStart"/>
      <w:r w:rsidRPr="00B50EE7">
        <w:t>Government</w:t>
      </w:r>
      <w:proofErr w:type="spellEnd"/>
      <w:r w:rsidRPr="00B50EE7">
        <w:t>. Pridobljeno s https://covidtracker.bsg.ox.ac.uk/</w:t>
      </w:r>
      <w:r w:rsidRPr="001A6262">
        <w:t>.</w:t>
      </w:r>
    </w:p>
  </w:footnote>
  <w:footnote w:id="33">
    <w:p w14:paraId="0508005B" w14:textId="77777777" w:rsidR="00953DE0" w:rsidRDefault="00953DE0" w:rsidP="0055681F">
      <w:pPr>
        <w:pStyle w:val="FootnoteText"/>
      </w:pPr>
      <w:r w:rsidRPr="001A6262">
        <w:rPr>
          <w:rStyle w:val="FootnoteReference"/>
        </w:rPr>
        <w:footnoteRef/>
      </w:r>
      <w:r>
        <w:t xml:space="preserve"> </w:t>
      </w:r>
      <w:r w:rsidRPr="00B43064">
        <w:t xml:space="preserve">EK. (2021). </w:t>
      </w:r>
      <w:proofErr w:type="spellStart"/>
      <w:r w:rsidRPr="00B43064">
        <w:t>European</w:t>
      </w:r>
      <w:proofErr w:type="spellEnd"/>
      <w:r w:rsidRPr="00B43064">
        <w:t xml:space="preserve"> </w:t>
      </w:r>
      <w:proofErr w:type="spellStart"/>
      <w:r w:rsidRPr="00B43064">
        <w:t>economic</w:t>
      </w:r>
      <w:proofErr w:type="spellEnd"/>
      <w:r w:rsidRPr="00B43064">
        <w:t xml:space="preserve"> </w:t>
      </w:r>
      <w:proofErr w:type="spellStart"/>
      <w:r w:rsidRPr="00B43064">
        <w:t>forecast</w:t>
      </w:r>
      <w:proofErr w:type="spellEnd"/>
      <w:r w:rsidRPr="00B43064">
        <w:t xml:space="preserve">: </w:t>
      </w:r>
      <w:proofErr w:type="spellStart"/>
      <w:r w:rsidRPr="00B43064">
        <w:t>Spring</w:t>
      </w:r>
      <w:proofErr w:type="spellEnd"/>
      <w:r w:rsidRPr="00B43064">
        <w:t xml:space="preserve"> 2021. Luxembourg: </w:t>
      </w:r>
      <w:proofErr w:type="spellStart"/>
      <w:r w:rsidRPr="00B43064">
        <w:t>European</w:t>
      </w:r>
      <w:proofErr w:type="spellEnd"/>
      <w:r w:rsidRPr="00B43064">
        <w:t xml:space="preserve"> </w:t>
      </w:r>
      <w:proofErr w:type="spellStart"/>
      <w:r w:rsidRPr="00B43064">
        <w:t>Commission</w:t>
      </w:r>
      <w:proofErr w:type="spellEnd"/>
      <w:r w:rsidRPr="00B43064">
        <w:t xml:space="preserve">. </w:t>
      </w:r>
      <w:proofErr w:type="spellStart"/>
      <w:r w:rsidRPr="00B43064">
        <w:t>Directorate</w:t>
      </w:r>
      <w:proofErr w:type="spellEnd"/>
      <w:r w:rsidRPr="00B43064">
        <w:t xml:space="preserve"> General </w:t>
      </w:r>
      <w:proofErr w:type="spellStart"/>
      <w:r w:rsidRPr="00B43064">
        <w:t>for</w:t>
      </w:r>
      <w:proofErr w:type="spellEnd"/>
      <w:r w:rsidRPr="00B43064">
        <w:t xml:space="preserve"> </w:t>
      </w:r>
      <w:proofErr w:type="spellStart"/>
      <w:r w:rsidRPr="00B43064">
        <w:t>Economic</w:t>
      </w:r>
      <w:proofErr w:type="spellEnd"/>
      <w:r w:rsidRPr="00B43064">
        <w:t xml:space="preserve"> </w:t>
      </w:r>
      <w:proofErr w:type="spellStart"/>
      <w:r w:rsidRPr="00B43064">
        <w:t>and</w:t>
      </w:r>
      <w:proofErr w:type="spellEnd"/>
      <w:r w:rsidRPr="00B43064">
        <w:t xml:space="preserve"> </w:t>
      </w:r>
      <w:proofErr w:type="spellStart"/>
      <w:r w:rsidRPr="00B43064">
        <w:t>Financial</w:t>
      </w:r>
      <w:proofErr w:type="spellEnd"/>
      <w:r w:rsidRPr="00B43064">
        <w:t xml:space="preserve"> </w:t>
      </w:r>
      <w:proofErr w:type="spellStart"/>
      <w:r w:rsidRPr="00B43064">
        <w:t>Affairs</w:t>
      </w:r>
      <w:proofErr w:type="spellEnd"/>
      <w:r w:rsidRPr="00B43064">
        <w:t>. Pridobljeno s https://data.europa.eu/doi/10.2765/66679</w:t>
      </w:r>
      <w:r w:rsidRPr="001A6262">
        <w:t>.</w:t>
      </w:r>
    </w:p>
  </w:footnote>
  <w:footnote w:id="34">
    <w:p w14:paraId="1F026607" w14:textId="77777777" w:rsidR="00953DE0" w:rsidRDefault="00953DE0" w:rsidP="0055681F">
      <w:pPr>
        <w:pStyle w:val="FootnoteText"/>
      </w:pPr>
      <w:r>
        <w:rPr>
          <w:rStyle w:val="FootnoteReference"/>
        </w:rPr>
        <w:footnoteRef/>
      </w:r>
      <w:r>
        <w:t xml:space="preserve"> </w:t>
      </w:r>
      <w:r w:rsidRPr="00C4172D">
        <w:t xml:space="preserve">de </w:t>
      </w:r>
      <w:proofErr w:type="spellStart"/>
      <w:r w:rsidRPr="00C4172D">
        <w:t>Bondt</w:t>
      </w:r>
      <w:proofErr w:type="spellEnd"/>
      <w:r w:rsidRPr="00C4172D">
        <w:t xml:space="preserve">, G., </w:t>
      </w:r>
      <w:proofErr w:type="spellStart"/>
      <w:r w:rsidRPr="00C4172D">
        <w:t>Gieseck</w:t>
      </w:r>
      <w:proofErr w:type="spellEnd"/>
      <w:r w:rsidRPr="00C4172D">
        <w:t xml:space="preserve">, A., </w:t>
      </w:r>
      <w:proofErr w:type="spellStart"/>
      <w:r w:rsidRPr="00C4172D">
        <w:t>Herrero</w:t>
      </w:r>
      <w:proofErr w:type="spellEnd"/>
      <w:r w:rsidRPr="00C4172D">
        <w:t xml:space="preserve">, P., in </w:t>
      </w:r>
      <w:proofErr w:type="spellStart"/>
      <w:r w:rsidRPr="00C4172D">
        <w:t>Zekaite</w:t>
      </w:r>
      <w:proofErr w:type="spellEnd"/>
      <w:r w:rsidRPr="00C4172D">
        <w:t xml:space="preserve">, Z. (2019). </w:t>
      </w:r>
      <w:proofErr w:type="spellStart"/>
      <w:r w:rsidRPr="00C4172D">
        <w:t>Disaggregate</w:t>
      </w:r>
      <w:proofErr w:type="spellEnd"/>
      <w:r w:rsidRPr="00C4172D">
        <w:t xml:space="preserve"> </w:t>
      </w:r>
      <w:proofErr w:type="spellStart"/>
      <w:r w:rsidRPr="00C4172D">
        <w:t>income</w:t>
      </w:r>
      <w:proofErr w:type="spellEnd"/>
      <w:r w:rsidRPr="00C4172D">
        <w:t xml:space="preserve"> </w:t>
      </w:r>
      <w:proofErr w:type="spellStart"/>
      <w:r w:rsidRPr="00C4172D">
        <w:t>and</w:t>
      </w:r>
      <w:proofErr w:type="spellEnd"/>
      <w:r w:rsidRPr="00C4172D">
        <w:t xml:space="preserve"> </w:t>
      </w:r>
      <w:proofErr w:type="spellStart"/>
      <w:r w:rsidRPr="00C4172D">
        <w:t>wealth</w:t>
      </w:r>
      <w:proofErr w:type="spellEnd"/>
      <w:r w:rsidRPr="00C4172D">
        <w:t xml:space="preserve"> </w:t>
      </w:r>
      <w:proofErr w:type="spellStart"/>
      <w:r w:rsidRPr="00C4172D">
        <w:t>effects</w:t>
      </w:r>
      <w:proofErr w:type="spellEnd"/>
      <w:r w:rsidRPr="00C4172D">
        <w:t xml:space="preserve"> in </w:t>
      </w:r>
      <w:proofErr w:type="spellStart"/>
      <w:r w:rsidRPr="00C4172D">
        <w:t>the</w:t>
      </w:r>
      <w:proofErr w:type="spellEnd"/>
      <w:r w:rsidRPr="00C4172D">
        <w:t xml:space="preserve"> </w:t>
      </w:r>
      <w:proofErr w:type="spellStart"/>
      <w:r w:rsidRPr="00C4172D">
        <w:t>largest</w:t>
      </w:r>
      <w:proofErr w:type="spellEnd"/>
      <w:r w:rsidRPr="00C4172D">
        <w:t xml:space="preserve"> euro area </w:t>
      </w:r>
      <w:proofErr w:type="spellStart"/>
      <w:r w:rsidRPr="00C4172D">
        <w:t>countries</w:t>
      </w:r>
      <w:proofErr w:type="spellEnd"/>
      <w:r w:rsidRPr="00C4172D">
        <w:t xml:space="preserve"> ECB </w:t>
      </w:r>
      <w:proofErr w:type="spellStart"/>
      <w:r w:rsidRPr="00C4172D">
        <w:t>Working</w:t>
      </w:r>
      <w:proofErr w:type="spellEnd"/>
      <w:r w:rsidRPr="00C4172D">
        <w:t xml:space="preserve"> </w:t>
      </w:r>
      <w:proofErr w:type="spellStart"/>
      <w:r w:rsidRPr="00C4172D">
        <w:t>Paper</w:t>
      </w:r>
      <w:proofErr w:type="spellEnd"/>
      <w:r w:rsidRPr="00C4172D">
        <w:t xml:space="preserve"> Št. 2343. </w:t>
      </w:r>
      <w:proofErr w:type="spellStart"/>
      <w:r w:rsidRPr="00C4172D">
        <w:t>European</w:t>
      </w:r>
      <w:proofErr w:type="spellEnd"/>
      <w:r w:rsidRPr="00C4172D">
        <w:t xml:space="preserve"> Central Bank. Pridobljeno s https://www.ecb.europa.eu/pub/pdf/scpwps/ecb.wp2343~8a1d3cdd68.en.pdf</w:t>
      </w:r>
      <w:r>
        <w:t>.</w:t>
      </w:r>
    </w:p>
  </w:footnote>
  <w:footnote w:id="35">
    <w:p w14:paraId="3A10E4B4" w14:textId="77777777" w:rsidR="00953DE0" w:rsidRDefault="00953DE0" w:rsidP="0055681F">
      <w:pPr>
        <w:pStyle w:val="FootnoteText"/>
      </w:pPr>
      <w:r>
        <w:rPr>
          <w:rStyle w:val="FootnoteReference"/>
        </w:rPr>
        <w:footnoteRef/>
      </w:r>
      <w:r>
        <w:t xml:space="preserve"> </w:t>
      </w:r>
      <w:r w:rsidRPr="00B424BD">
        <w:t xml:space="preserve">ECB. (2021). ECB </w:t>
      </w:r>
      <w:proofErr w:type="spellStart"/>
      <w:r w:rsidRPr="00B424BD">
        <w:t>Economic</w:t>
      </w:r>
      <w:proofErr w:type="spellEnd"/>
      <w:r w:rsidRPr="00B424BD">
        <w:t xml:space="preserve"> </w:t>
      </w:r>
      <w:proofErr w:type="spellStart"/>
      <w:r w:rsidRPr="00B424BD">
        <w:t>Bulletin</w:t>
      </w:r>
      <w:proofErr w:type="spellEnd"/>
      <w:r w:rsidRPr="00B424BD">
        <w:t xml:space="preserve">, </w:t>
      </w:r>
      <w:proofErr w:type="spellStart"/>
      <w:r w:rsidRPr="00B424BD">
        <w:t>Issue</w:t>
      </w:r>
      <w:proofErr w:type="spellEnd"/>
      <w:r w:rsidRPr="00B424BD">
        <w:t xml:space="preserve"> 5 / 2021. Pridobljeno s https://www.ecb.europa.eu/pub/pdf/ecbu/eb202105.en.pdf</w:t>
      </w:r>
    </w:p>
  </w:footnote>
  <w:footnote w:id="36">
    <w:p w14:paraId="3522A85B" w14:textId="77777777" w:rsidR="00953DE0" w:rsidRDefault="00953DE0" w:rsidP="0055681F">
      <w:pPr>
        <w:pStyle w:val="FootnoteText"/>
      </w:pPr>
      <w:r>
        <w:rPr>
          <w:rStyle w:val="FootnoteReference"/>
        </w:rPr>
        <w:footnoteRef/>
      </w:r>
      <w:r>
        <w:t xml:space="preserve"> Kjer sicer še ostajajo nekatere omejitve pri poslovanju (pogoj PCT za obiskovalce, zasedenost sedišč, omejitev pri največjem številu udeležencev, omejitev delovnega časa…).</w:t>
      </w:r>
    </w:p>
  </w:footnote>
  <w:footnote w:id="37">
    <w:p w14:paraId="0B3EF470" w14:textId="77178AB1" w:rsidR="00953DE0" w:rsidRPr="0044764F" w:rsidRDefault="00953DE0" w:rsidP="0043463A">
      <w:pPr>
        <w:pStyle w:val="FootnoteText"/>
      </w:pPr>
      <w:r w:rsidRPr="00C91B3D">
        <w:rPr>
          <w:rStyle w:val="FootnoteReference"/>
        </w:rPr>
        <w:footnoteRef/>
      </w:r>
      <w:r w:rsidRPr="00C91B3D">
        <w:t xml:space="preserve"> V teh dejavnostih</w:t>
      </w:r>
      <w:r>
        <w:t xml:space="preserve"> se je v prvi polovici letošnjega leta nadaljevalo zaposlovanje s ciljem odpravljanja pomanjkanja zdravstvenih delavcev. Zaposlovanje je bilo najvišje v dejavnosti socialnega varstva, kjer je PKP4 zagotovil dodatna sredstva, in osebne asistente v oskrbi na domu. Visoka rast se bo nadaljevala letos in v prihodnjih letih zaradi odprtja novih domov za ostarele in nadaljnjega povečanja osebne asistence na domu, kjer močno primanjkuje zmogljivosti. Rast v teh dejavnostih bo podprta tudi z EU sredstvi, ki so namenjena blaženju povečanih potreb po storitvah povezanih s staranjem prebivalstva.</w:t>
      </w:r>
    </w:p>
  </w:footnote>
  <w:footnote w:id="38">
    <w:p w14:paraId="1B436951" w14:textId="670AF183" w:rsidR="00953DE0" w:rsidRPr="00C91B3D" w:rsidRDefault="00953DE0" w:rsidP="00C41816">
      <w:pPr>
        <w:pStyle w:val="FootnoteText"/>
      </w:pPr>
      <w:r w:rsidRPr="00C91B3D">
        <w:rPr>
          <w:rStyle w:val="FootnoteReference"/>
        </w:rPr>
        <w:footnoteRef/>
      </w:r>
      <w:r w:rsidRPr="00C91B3D">
        <w:t xml:space="preserve"> Izobraževanje je bila edina dejavnost med javnimi storitvami, ki je lani zabeležila padec dodane vrednosti. </w:t>
      </w:r>
      <w:r>
        <w:t xml:space="preserve">Razmeroma visoka </w:t>
      </w:r>
      <w:r w:rsidRPr="00C91B3D">
        <w:t xml:space="preserve">rast </w:t>
      </w:r>
      <w:r>
        <w:t xml:space="preserve">letos in drugo leto </w:t>
      </w:r>
      <w:r w:rsidRPr="00C91B3D">
        <w:t xml:space="preserve">je torej predvsem posledica okrevanja ob postopni normalizaciji razmer. </w:t>
      </w:r>
    </w:p>
  </w:footnote>
  <w:footnote w:id="39">
    <w:p w14:paraId="7A754123" w14:textId="77777777" w:rsidR="00953DE0" w:rsidRDefault="00953DE0" w:rsidP="00814665">
      <w:pPr>
        <w:pStyle w:val="FootnoteText"/>
      </w:pPr>
      <w:r>
        <w:rPr>
          <w:rStyle w:val="FootnoteReference"/>
        </w:rPr>
        <w:footnoteRef/>
      </w:r>
      <w:r>
        <w:t xml:space="preserve"> Da je bil odziv trga dela manjši kot pričakovano na podlagi preteklih dolgoročnih gibanj, kaže tudi analiza gibanja dejanske stopnje anketne brezposelnosti in njene napovedi, ki izhaja iz Okunovega zakona, tj. dolgoročne povezave med BDP in brezposelnostjo (</w:t>
      </w:r>
      <w:r w:rsidRPr="00F31F48">
        <w:rPr>
          <w:highlight w:val="green"/>
        </w:rPr>
        <w:t>glej Poročilo o razvoju 2021, poglavje 1.1).</w:t>
      </w:r>
    </w:p>
  </w:footnote>
  <w:footnote w:id="40">
    <w:p w14:paraId="7F50C31D" w14:textId="77777777" w:rsidR="00953DE0" w:rsidRDefault="00953DE0" w:rsidP="00814665">
      <w:pPr>
        <w:pStyle w:val="FootnoteText"/>
      </w:pPr>
      <w:r>
        <w:rPr>
          <w:rStyle w:val="FootnoteReference"/>
        </w:rPr>
        <w:footnoteRef/>
      </w:r>
      <w:r>
        <w:t xml:space="preserve"> V nekaterih dejavnostih (npr. gradbeništvo, promet in IKT) je bila zaposlenost tudi večja kot v drugem četrtletju leta 2019.</w:t>
      </w:r>
    </w:p>
  </w:footnote>
  <w:footnote w:id="41">
    <w:p w14:paraId="0B0B6CA2" w14:textId="77777777" w:rsidR="00953DE0" w:rsidRDefault="00953DE0" w:rsidP="004C6615">
      <w:pPr>
        <w:pStyle w:val="FootnoteText"/>
      </w:pPr>
      <w:r>
        <w:rPr>
          <w:rStyle w:val="FootnoteReference"/>
        </w:rPr>
        <w:footnoteRef/>
      </w:r>
      <w:r>
        <w:t xml:space="preserve"> Stopnja prostih delovnih mest je izračunana kot delež prostih delovnih mest od vseh delovnih mestih skupaj (prostih in zasedenih).</w:t>
      </w:r>
    </w:p>
  </w:footnote>
  <w:footnote w:id="42">
    <w:p w14:paraId="3EC818C8" w14:textId="77777777" w:rsidR="00953DE0" w:rsidRDefault="00953DE0" w:rsidP="00DC0171">
      <w:pPr>
        <w:pStyle w:val="FootnoteText"/>
      </w:pPr>
      <w:r>
        <w:rPr>
          <w:rStyle w:val="FootnoteReference"/>
        </w:rPr>
        <w:footnoteRef/>
      </w:r>
      <w:r>
        <w:t xml:space="preserve"> </w:t>
      </w:r>
      <w:proofErr w:type="spellStart"/>
      <w:r w:rsidRPr="00292E77">
        <w:rPr>
          <w:highlight w:val="yellow"/>
        </w:rPr>
        <w:t>Fusnota</w:t>
      </w:r>
      <w:proofErr w:type="spellEnd"/>
      <w:r w:rsidRPr="00292E77">
        <w:rPr>
          <w:highlight w:val="yellow"/>
        </w:rPr>
        <w:t xml:space="preserve"> o prehodu v neaktivnost… Ta je bil precej manjši kot v povprečju EU.</w:t>
      </w:r>
    </w:p>
  </w:footnote>
  <w:footnote w:id="43">
    <w:p w14:paraId="1D6B8B8C" w14:textId="77777777" w:rsidR="00953DE0" w:rsidRDefault="00953DE0" w:rsidP="00DC0171">
      <w:pPr>
        <w:pStyle w:val="FootnoteText"/>
      </w:pPr>
      <w:r>
        <w:rPr>
          <w:rStyle w:val="FootnoteReference"/>
        </w:rPr>
        <w:footnoteRef/>
      </w:r>
      <w:r>
        <w:t xml:space="preserve"> </w:t>
      </w:r>
      <w:proofErr w:type="spellStart"/>
      <w:r w:rsidRPr="00292E77">
        <w:rPr>
          <w:highlight w:val="yellow"/>
        </w:rPr>
        <w:t>Fusnota</w:t>
      </w:r>
      <w:proofErr w:type="spellEnd"/>
      <w:r w:rsidRPr="00292E77">
        <w:rPr>
          <w:highlight w:val="yellow"/>
        </w:rPr>
        <w:t xml:space="preserve"> o migracijah…</w:t>
      </w:r>
    </w:p>
  </w:footnote>
  <w:footnote w:id="44">
    <w:p w14:paraId="3C3B0B3A" w14:textId="77777777" w:rsidR="00953DE0" w:rsidRPr="00F31F48" w:rsidRDefault="00953DE0" w:rsidP="00E067D5">
      <w:pPr>
        <w:pStyle w:val="FootnoteText"/>
        <w:rPr>
          <w:highlight w:val="green"/>
        </w:rPr>
      </w:pPr>
      <w:r>
        <w:rPr>
          <w:rStyle w:val="FootnoteReference"/>
        </w:rPr>
        <w:footnoteRef/>
      </w:r>
      <w:r>
        <w:t xml:space="preserve"> </w:t>
      </w:r>
      <w:r w:rsidRPr="00F31F48">
        <w:rPr>
          <w:highlight w:val="green"/>
        </w:rPr>
        <w:t>Citat…</w:t>
      </w:r>
    </w:p>
  </w:footnote>
  <w:footnote w:id="45">
    <w:p w14:paraId="402A741B" w14:textId="77777777" w:rsidR="00953DE0" w:rsidRDefault="00953DE0" w:rsidP="00E067D5">
      <w:pPr>
        <w:pStyle w:val="FootnoteText"/>
      </w:pPr>
      <w:r w:rsidRPr="00F31F48">
        <w:rPr>
          <w:rStyle w:val="FootnoteReference"/>
          <w:highlight w:val="green"/>
        </w:rPr>
        <w:footnoteRef/>
      </w:r>
      <w:r w:rsidRPr="00F31F48">
        <w:rPr>
          <w:highlight w:val="green"/>
        </w:rPr>
        <w:t xml:space="preserve"> </w:t>
      </w:r>
      <w:proofErr w:type="spellStart"/>
      <w:r w:rsidRPr="00F31F48">
        <w:rPr>
          <w:highlight w:val="green"/>
        </w:rPr>
        <w:t>International</w:t>
      </w:r>
      <w:proofErr w:type="spellEnd"/>
      <w:r w:rsidRPr="00F31F48">
        <w:rPr>
          <w:highlight w:val="green"/>
        </w:rPr>
        <w:t xml:space="preserve"> </w:t>
      </w:r>
      <w:proofErr w:type="spellStart"/>
      <w:r w:rsidRPr="00F31F48">
        <w:rPr>
          <w:highlight w:val="green"/>
        </w:rPr>
        <w:t>Monetary</w:t>
      </w:r>
      <w:proofErr w:type="spellEnd"/>
      <w:r w:rsidRPr="00F31F48">
        <w:rPr>
          <w:highlight w:val="green"/>
        </w:rPr>
        <w:t xml:space="preserve"> Fund. (2021). </w:t>
      </w:r>
      <w:proofErr w:type="spellStart"/>
      <w:r w:rsidRPr="00F31F48">
        <w:rPr>
          <w:highlight w:val="green"/>
        </w:rPr>
        <w:t>World</w:t>
      </w:r>
      <w:proofErr w:type="spellEnd"/>
      <w:r w:rsidRPr="00F31F48">
        <w:rPr>
          <w:highlight w:val="green"/>
        </w:rPr>
        <w:t xml:space="preserve"> </w:t>
      </w:r>
      <w:proofErr w:type="spellStart"/>
      <w:r w:rsidRPr="00F31F48">
        <w:rPr>
          <w:highlight w:val="green"/>
        </w:rPr>
        <w:t>Economic</w:t>
      </w:r>
      <w:proofErr w:type="spellEnd"/>
      <w:r w:rsidRPr="00F31F48">
        <w:rPr>
          <w:highlight w:val="green"/>
        </w:rPr>
        <w:t xml:space="preserve"> Outlook - April 2021.</w:t>
      </w:r>
    </w:p>
  </w:footnote>
  <w:footnote w:id="46">
    <w:p w14:paraId="6995C487" w14:textId="77777777" w:rsidR="00953DE0" w:rsidRDefault="00953DE0" w:rsidP="00563EB0">
      <w:pPr>
        <w:pStyle w:val="FootnoteText"/>
      </w:pPr>
      <w:r w:rsidRPr="00A85071">
        <w:rPr>
          <w:rStyle w:val="FootnoteReference"/>
        </w:rPr>
        <w:footnoteRef/>
      </w:r>
      <w:r w:rsidRPr="00A85071">
        <w:t xml:space="preserve"> Boljši odraz gibanja dohodkov zaposlenih so sredstva za zaposlene po statistiki nacionalnih računov, ki po svoji definiciji poleg bruto plač in drugih prejemkov prebivalstva (npr. regres, nadomestila za prehrano in prevoz, študentsko delo, prejemki iz pogodbenih zaposlitev) vključujejo tudi izplačila države</w:t>
      </w:r>
      <w:r>
        <w:t>,</w:t>
      </w:r>
      <w:r w:rsidRPr="00A85071">
        <w:t xml:space="preserve"> izplačana v okviru interventnih ukrepov za ohranjanje delovnih mest. Rast sredstev za zaposlene je bila v lanskem letu sicer 1,1-odstotna, kar je precej manj kot ocena rasti mase bruto plač (po statistiki plač pri pravnih osebah) z vključenimi izplačili države. To je zlasti posledica nižje (ali negativne) rasti nekaterih ostalih prejemkov, zlasti regresa, ki so del sredstev za zaposlene, ne pa tudi del mase bruto plač po plačni statistiki. Zaradi nizke lanske ravni in letošnjega predvidenega okrevanja ostalih kategorij prejemkov bo rast sredstev za zaposlene letos višja (</w:t>
      </w:r>
      <w:r w:rsidRPr="007F5C03">
        <w:rPr>
          <w:highlight w:val="yellow"/>
        </w:rPr>
        <w:t>3,8 %</w:t>
      </w:r>
      <w:r w:rsidRPr="00A85071">
        <w:t>) kot ocenjena rast mase bruto plač po plačni statistiki z vključenimi izplačili države (</w:t>
      </w:r>
      <w:r w:rsidRPr="007F5C03">
        <w:rPr>
          <w:highlight w:val="yellow"/>
        </w:rPr>
        <w:t>-0,9 %</w:t>
      </w:r>
      <w:r w:rsidRPr="00A85071">
        <w:t xml:space="preserve">), ta učinek pa bo vplival tudi na razliko v rasti v prihodnjem letu. Ocenjujemo, da bosta rasti sredstev in mase bruto plač z letom 2023 znova podobni, kot je veljalo </w:t>
      </w:r>
      <w:r>
        <w:t xml:space="preserve">tudi </w:t>
      </w:r>
      <w:r w:rsidRPr="00A85071">
        <w:t>za obdobje pred uveljavitvijo interventnih ukrepov.</w:t>
      </w:r>
    </w:p>
  </w:footnote>
  <w:footnote w:id="47">
    <w:p w14:paraId="31A14F8D" w14:textId="77777777" w:rsidR="00953DE0" w:rsidRPr="00A85071" w:rsidRDefault="00953DE0" w:rsidP="00563EB0">
      <w:pPr>
        <w:pStyle w:val="FootnoteText"/>
      </w:pPr>
      <w:r w:rsidRPr="00A85071">
        <w:rPr>
          <w:rStyle w:val="FootnoteReference"/>
        </w:rPr>
        <w:footnoteRef/>
      </w:r>
      <w:r w:rsidRPr="00A85071">
        <w:t xml:space="preserve"> Na prikazano maso plač je v večji meri vplival ukrep čakanja na delo, saj je bil uveden že v marcu</w:t>
      </w:r>
      <w:r>
        <w:t xml:space="preserve"> 2020</w:t>
      </w:r>
      <w:r w:rsidRPr="00A85071">
        <w:t xml:space="preserve">, ukrep skrajšanja polnega delovnega časa pa je bil uveden z </w:t>
      </w:r>
      <w:r>
        <w:t xml:space="preserve">lanskim </w:t>
      </w:r>
      <w:r w:rsidRPr="00A85071">
        <w:t>junijem. Prav tako je bilo število vključenih zaposlenih v ukrep čakanja precej večje kot v skrajšan delovni čas.</w:t>
      </w:r>
    </w:p>
  </w:footnote>
  <w:footnote w:id="48">
    <w:p w14:paraId="1475AC44" w14:textId="77777777" w:rsidR="00953DE0" w:rsidRPr="00A85071" w:rsidRDefault="00953DE0" w:rsidP="00563EB0">
      <w:pPr>
        <w:pStyle w:val="FootnoteText"/>
      </w:pPr>
      <w:r w:rsidRPr="00A85071">
        <w:rPr>
          <w:rStyle w:val="FootnoteReference"/>
        </w:rPr>
        <w:footnoteRef/>
      </w:r>
      <w:r w:rsidRPr="00A85071">
        <w:t xml:space="preserve"> Začasna uvedba dodatka zaposlenim za delo za nevarnost in posebne obremenitve ter dodatek za delo v rizičnih razmerah (po kolektivni pogodbi) v javnem sektorju in izplačilo dodatka za delo v času epidemije v zasebnem sektorju.</w:t>
      </w:r>
    </w:p>
  </w:footnote>
  <w:footnote w:id="49">
    <w:p w14:paraId="47478210" w14:textId="77777777" w:rsidR="00953DE0" w:rsidRPr="008B123B" w:rsidRDefault="00953DE0" w:rsidP="006405AA">
      <w:pPr>
        <w:pStyle w:val="FootnoteText"/>
      </w:pPr>
      <w:r w:rsidRPr="008B123B">
        <w:rPr>
          <w:rStyle w:val="FootnoteReference"/>
        </w:rPr>
        <w:footnoteRef/>
      </w:r>
      <w:r w:rsidRPr="008B123B">
        <w:t xml:space="preserve"> Povišanje minimalne plače se sicer ne bo v celoti odrazilo v statistično prikazani povprečni plači, saj PKP8 določa sofinanciranje povišanja minimalne plače v višini 50 eur v prvi polovici leta, kar zaradi metodološke specifike ne bo prikazano v povprečni bruto plači. V drugi polovici pa naj bi država razbremenila delodajalce prispevkov za socialno varnost z znižanjem minimalne osnove za obračun prispevkov na raven minimalne plače. </w:t>
      </w:r>
    </w:p>
  </w:footnote>
  <w:footnote w:id="50">
    <w:p w14:paraId="56237055" w14:textId="77777777" w:rsidR="00953DE0" w:rsidRDefault="00953DE0" w:rsidP="005852B5">
      <w:pPr>
        <w:pStyle w:val="FootnoteText"/>
      </w:pPr>
      <w:r>
        <w:rPr>
          <w:rStyle w:val="FootnoteReference"/>
        </w:rPr>
        <w:footnoteRef/>
      </w:r>
      <w:r>
        <w:t xml:space="preserve"> Toliko znaša povprečna medletna rast v prvih sedmih mesecih, medletna rast julija pa je bila že 2 %.</w:t>
      </w:r>
    </w:p>
  </w:footnote>
  <w:footnote w:id="51">
    <w:p w14:paraId="28995C13" w14:textId="77777777" w:rsidR="00953DE0" w:rsidRDefault="00953DE0" w:rsidP="005852B5">
      <w:pPr>
        <w:pStyle w:val="FootnoteText"/>
      </w:pPr>
      <w:r>
        <w:rPr>
          <w:rStyle w:val="FootnoteReference"/>
        </w:rPr>
        <w:footnoteRef/>
      </w:r>
      <w:r>
        <w:t xml:space="preserve"> Takrat so ob padcu globalnega povpraševanja padle cene naftnih derivatov, znižale pa so se tudi cene električne energije, ki jih je Vlada z namenom blaženja posledic kriznih razmer znižala za gospodinjstva in malo gospodarstvo od začetka marca do konca maja. </w:t>
      </w:r>
    </w:p>
  </w:footnote>
  <w:footnote w:id="52">
    <w:p w14:paraId="1E6E0DA9" w14:textId="77777777" w:rsidR="00953DE0" w:rsidRDefault="00953DE0" w:rsidP="005852B5">
      <w:pPr>
        <w:pStyle w:val="FootnoteText"/>
      </w:pPr>
      <w:r>
        <w:rPr>
          <w:rStyle w:val="FootnoteReference"/>
        </w:rPr>
        <w:footnoteRef/>
      </w:r>
      <w:r>
        <w:t xml:space="preserve"> Cene pomorskega tovornega prometa so medletno višje za skoraj 130 %</w:t>
      </w:r>
    </w:p>
  </w:footnote>
  <w:footnote w:id="53">
    <w:p w14:paraId="7F0ECE2E" w14:textId="77777777" w:rsidR="00953DE0" w:rsidRDefault="00953DE0" w:rsidP="005852B5">
      <w:pPr>
        <w:pStyle w:val="FootnoteText"/>
      </w:pPr>
      <w:r w:rsidRPr="006C21A6">
        <w:rPr>
          <w:rStyle w:val="FootnoteReference"/>
        </w:rPr>
        <w:footnoteRef/>
      </w:r>
      <w:r>
        <w:t xml:space="preserve"> </w:t>
      </w:r>
      <w:r w:rsidRPr="006C21A6">
        <w:t>Zaradi spremenjene strukture trošenja, ki je povezana z epidemije</w:t>
      </w:r>
      <w:r>
        <w:t>,</w:t>
      </w:r>
      <w:r w:rsidRPr="006C21A6">
        <w:t xml:space="preserve"> so se v letu 2021 nekoliko izraziteje spremenile tudi uteži posameznih skupin v indeksu cen življenjskih potrebščin. Okrepil se je delež hrane, </w:t>
      </w:r>
      <w:r>
        <w:t xml:space="preserve">znižal pa </w:t>
      </w:r>
      <w:r w:rsidRPr="006C21A6">
        <w:t>delež energentov (predvsem naftnih derivatov) in storitev (najbolj počitnic v paketu).</w:t>
      </w:r>
    </w:p>
  </w:footnote>
  <w:footnote w:id="54">
    <w:p w14:paraId="48E775AD" w14:textId="38B3B17C" w:rsidR="00953DE0" w:rsidRPr="0034232B" w:rsidRDefault="00953DE0" w:rsidP="0075762D">
      <w:pPr>
        <w:pStyle w:val="FootnoteText"/>
      </w:pPr>
      <w:r w:rsidRPr="0034232B">
        <w:rPr>
          <w:rStyle w:val="FootnoteReference"/>
        </w:rPr>
        <w:footnoteRef/>
      </w:r>
      <w:r w:rsidRPr="0034232B">
        <w:t xml:space="preserve"> </w:t>
      </w:r>
      <w:r w:rsidRPr="005F7865">
        <w:rPr>
          <w:highlight w:val="yellow"/>
        </w:rPr>
        <w:t>V letih 2022 in 2023 pričakujemo nespremenjene pogoje menjave</w:t>
      </w:r>
      <w:r w:rsidRPr="0034232B">
        <w:t xml:space="preserve">. Ob razmeroma majhni </w:t>
      </w:r>
      <w:proofErr w:type="spellStart"/>
      <w:r w:rsidRPr="0034232B">
        <w:t>volatilnosti</w:t>
      </w:r>
      <w:proofErr w:type="spellEnd"/>
      <w:r w:rsidRPr="0034232B">
        <w:t xml:space="preserve"> cen energentov in ostalih surovin, kot izhaja iz tehničnih predpostavk, bo namreč </w:t>
      </w:r>
      <w:r>
        <w:t xml:space="preserve">razmerje med </w:t>
      </w:r>
      <w:r w:rsidRPr="0034232B">
        <w:t>izvozni</w:t>
      </w:r>
      <w:r>
        <w:t>mi</w:t>
      </w:r>
      <w:r w:rsidRPr="0034232B">
        <w:t xml:space="preserve"> in uvozni</w:t>
      </w:r>
      <w:r>
        <w:t>mi</w:t>
      </w:r>
      <w:r w:rsidRPr="0034232B">
        <w:t xml:space="preserve"> cen</w:t>
      </w:r>
      <w:r>
        <w:t>ami</w:t>
      </w:r>
      <w:r w:rsidRPr="0034232B">
        <w:t xml:space="preserve"> </w:t>
      </w:r>
      <w:proofErr w:type="spellStart"/>
      <w:r>
        <w:t>stavbilno</w:t>
      </w:r>
      <w:proofErr w:type="spellEnd"/>
      <w:r w:rsidRPr="0034232B">
        <w:t>.</w:t>
      </w:r>
    </w:p>
  </w:footnote>
  <w:footnote w:id="55">
    <w:p w14:paraId="26D0992D" w14:textId="77777777" w:rsidR="00953DE0" w:rsidRPr="0034232B" w:rsidRDefault="00953DE0" w:rsidP="0075762D">
      <w:pPr>
        <w:pStyle w:val="FootnoteText"/>
      </w:pPr>
      <w:r w:rsidRPr="0034232B">
        <w:rPr>
          <w:rStyle w:val="FootnoteReference"/>
        </w:rPr>
        <w:footnoteRef/>
      </w:r>
      <w:r w:rsidRPr="0034232B">
        <w:t xml:space="preserve"> </w:t>
      </w:r>
      <w:r w:rsidRPr="0034232B">
        <w:rPr>
          <w:bCs/>
        </w:rPr>
        <w:t xml:space="preserve">Država se je namreč zaradi ukrepov za blažitev posledic pandemije v letu 2020 občutno zadolžila do tujih </w:t>
      </w:r>
      <w:proofErr w:type="spellStart"/>
      <w:r w:rsidRPr="0034232B">
        <w:rPr>
          <w:bCs/>
        </w:rPr>
        <w:t>portfeljskih</w:t>
      </w:r>
      <w:proofErr w:type="spellEnd"/>
      <w:r w:rsidRPr="0034232B">
        <w:rPr>
          <w:bCs/>
        </w:rPr>
        <w:t xml:space="preserve"> vlagateljev, z namenom financiranja proračunskega primanjkljaja ter odplačila glavnic državnega dolga.</w:t>
      </w:r>
    </w:p>
  </w:footnote>
  <w:footnote w:id="56">
    <w:p w14:paraId="2B911C1B" w14:textId="34BC328A" w:rsidR="00953DE0" w:rsidRPr="0034232B" w:rsidRDefault="00953DE0" w:rsidP="0075762D">
      <w:pPr>
        <w:pStyle w:val="FootnoteText"/>
      </w:pPr>
      <w:r w:rsidRPr="0034232B">
        <w:rPr>
          <w:rStyle w:val="FootnoteReference"/>
        </w:rPr>
        <w:footnoteRef/>
      </w:r>
      <w:r w:rsidRPr="0034232B">
        <w:t xml:space="preserve"> Večin</w:t>
      </w:r>
      <w:r>
        <w:t>o</w:t>
      </w:r>
      <w:r w:rsidRPr="0034232B">
        <w:t xml:space="preserve"> subvencij predstavljajo sredstva </w:t>
      </w:r>
      <w:r w:rsidRPr="0034232B">
        <w:rPr>
          <w:noProof/>
        </w:rPr>
        <w:t xml:space="preserve">za izvajanje skupne kmetijske in ribiške politike, del subvencij pa so sredstva iz mehanizma za okrevanje in odpornost. Pretežni del sredstev, ki jih bo Slovenija prejela iz proračuna EU pa predstavljajo investicijski transferi, ki se po plačilnobilančni statistiki izkazujejo na kapitalskem računu plačilne bilance. </w:t>
      </w:r>
    </w:p>
  </w:footnote>
  <w:footnote w:id="57">
    <w:p w14:paraId="78EFF998" w14:textId="77777777" w:rsidR="00953DE0" w:rsidRDefault="00953DE0" w:rsidP="0075762D">
      <w:pPr>
        <w:pStyle w:val="FootnoteText"/>
      </w:pPr>
      <w:r w:rsidRPr="0034232B">
        <w:rPr>
          <w:rStyle w:val="FootnoteReference"/>
        </w:rPr>
        <w:footnoteRef/>
      </w:r>
      <w:r w:rsidRPr="0034232B">
        <w:t xml:space="preserve"> Iz Evropskega socialnega sklada so sredstva tekočega večletnega finančnega okvira večinoma že </w:t>
      </w:r>
      <w:proofErr w:type="spellStart"/>
      <w:r w:rsidRPr="0034232B">
        <w:t>počrpana</w:t>
      </w:r>
      <w:proofErr w:type="spellEnd"/>
      <w:r w:rsidRPr="0034232B">
        <w:t>.</w:t>
      </w:r>
      <w:r>
        <w:t xml:space="preserve"> </w:t>
      </w:r>
    </w:p>
  </w:footnote>
  <w:footnote w:id="58">
    <w:p w14:paraId="3D4659C8" w14:textId="77777777" w:rsidR="00953DE0" w:rsidRPr="0025017A" w:rsidRDefault="00953DE0" w:rsidP="00F41F9C">
      <w:pPr>
        <w:pStyle w:val="FootnoteText"/>
      </w:pPr>
      <w:r w:rsidRPr="0025017A">
        <w:rPr>
          <w:rStyle w:val="FootnoteReference"/>
        </w:rPr>
        <w:footnoteRef/>
      </w:r>
      <w:r w:rsidRPr="0025017A">
        <w:t xml:space="preserve"> </w:t>
      </w:r>
      <w:bookmarkStart w:id="54" w:name="_GoBack"/>
      <w:bookmarkEnd w:id="54"/>
      <w:r w:rsidRPr="00B309FB">
        <w:rPr>
          <w:highlight w:val="green"/>
        </w:rPr>
        <w:t>https://ec.europa.eu/info/files/one-year-outbreak-covid-19-fiscal-policy-response_en.</w:t>
      </w:r>
    </w:p>
  </w:footnote>
  <w:footnote w:id="59">
    <w:p w14:paraId="4EEF2F36" w14:textId="77777777" w:rsidR="00953DE0" w:rsidRDefault="00953DE0" w:rsidP="00F41F9C">
      <w:pPr>
        <w:pStyle w:val="FootnoteText"/>
      </w:pPr>
      <w:r w:rsidRPr="0025017A">
        <w:rPr>
          <w:rStyle w:val="FootnoteReference"/>
        </w:rPr>
        <w:footnoteRef/>
      </w:r>
      <w:r w:rsidRPr="0025017A">
        <w:t xml:space="preserve"> O tem bo sicer ponovno presojala na podlagi svoje letošnje Pomladanske napovedi.</w:t>
      </w:r>
    </w:p>
  </w:footnote>
  <w:footnote w:id="60">
    <w:p w14:paraId="43604AA9" w14:textId="77777777" w:rsidR="00953DE0" w:rsidRPr="00AC0AF9" w:rsidRDefault="00953DE0" w:rsidP="007F58C8">
      <w:pPr>
        <w:pStyle w:val="FootnoteText"/>
      </w:pPr>
      <w:r w:rsidRPr="00AC0AF9">
        <w:rPr>
          <w:rStyle w:val="FootnoteReference"/>
        </w:rPr>
        <w:footnoteRef/>
      </w:r>
      <w:r w:rsidRPr="00AC0AF9">
        <w:t xml:space="preserve"> P</w:t>
      </w:r>
      <w:r w:rsidRPr="00AC0AF9">
        <w:rPr>
          <w:color w:val="000000"/>
        </w:rPr>
        <w:t>otencialni bruto domači proizvod je makroekonomski indikator, ki kaže, kakšen obseg proizvodnje lahko gospodarstvo doseže, ne da bi tvorilo dodatne inflacijske pritiske (s »pregrevanjem«). Kadar se gospodarstvo (dejanski BDP) nahaja nad ravnijo potencialnega BDP, to povzroči naraščanje inflacije. Razliko med dejanskim BDP in potencialnim BDP, izraženo v odstotkih potencialnega BDP, imenujemo proizvodna vrzel. Na UMAR i</w:t>
      </w:r>
      <w:r w:rsidRPr="00AC0AF9">
        <w:t xml:space="preserve">zračun potencialnega BDP temelji na metodi proizvodne funkcije, ki se v bistvenih značilnostih ne razlikuje od metode, ki jo uporablja Evropska komisija. Metoda predpostavlja, da je potencialni BDP kombinacija proizvodnih dejavnikov </w:t>
      </w:r>
      <w:r w:rsidRPr="00AC0AF9">
        <w:rPr>
          <w:i/>
        </w:rPr>
        <w:t>potencialnega dela</w:t>
      </w:r>
      <w:r w:rsidRPr="00AC0AF9">
        <w:t xml:space="preserve"> (ta je odvisen od demografskih dejavnikov, stopnje aktivnosti in naravne stopnje brezposelnosti) in </w:t>
      </w:r>
      <w:r w:rsidRPr="00AC0AF9">
        <w:rPr>
          <w:i/>
        </w:rPr>
        <w:t>kapitala</w:t>
      </w:r>
      <w:r w:rsidRPr="00AC0AF9">
        <w:t xml:space="preserve"> ter </w:t>
      </w:r>
      <w:r w:rsidRPr="00AC0AF9">
        <w:rPr>
          <w:i/>
        </w:rPr>
        <w:t>skupne faktorske produktivnosti</w:t>
      </w:r>
      <w:r w:rsidRPr="00AC0AF9">
        <w:t xml:space="preserve">. Razlike med izračuni potencialnega BDP oz. proizvodne vrzeli med UMAR in EK so predvsem posledica: i) različnega časovnega obdobja napovedi, ii) razlik v samih napovedih makroekonomskih kazalnikov in iii) nekaterih vhodnih podatkih (na UMAR uporabimo avgustovsko revizijo podatkov SURS, posodobljene demografske projekcije, izračunane z </w:t>
      </w:r>
      <w:proofErr w:type="spellStart"/>
      <w:r w:rsidRPr="00AC0AF9">
        <w:t>mikrosimulacijskim</w:t>
      </w:r>
      <w:proofErr w:type="spellEnd"/>
      <w:r w:rsidRPr="00AC0AF9">
        <w:t xml:space="preserve"> modelom IER (vir: SURS), pri seriji zaposlenosti po statistiki nacionalnih računov upoštevamo popravek zaradi preloma v seriji v letu 2002).</w:t>
      </w:r>
    </w:p>
  </w:footnote>
  <w:footnote w:id="61">
    <w:p w14:paraId="601D1B99" w14:textId="34BD8EE7" w:rsidR="00953DE0" w:rsidRPr="00C3317B" w:rsidRDefault="00953DE0" w:rsidP="007F58C8">
      <w:pPr>
        <w:pStyle w:val="FootnoteText"/>
      </w:pPr>
      <w:r w:rsidRPr="00AC0AF9">
        <w:rPr>
          <w:rStyle w:val="FootnoteReference"/>
        </w:rPr>
        <w:footnoteRef/>
      </w:r>
      <w:r w:rsidRPr="00AC0AF9">
        <w:t xml:space="preserve"> Prispevek kapitala k potencialni rasti BDP je v obdobju 2000</w:t>
      </w:r>
      <w:r w:rsidRPr="007F58C8">
        <w:rPr>
          <w:rFonts w:ascii="Arial" w:hAnsi="Arial"/>
          <w:bCs/>
          <w:sz w:val="20"/>
        </w:rPr>
        <w:t>–</w:t>
      </w:r>
      <w:r w:rsidRPr="00AC0AF9">
        <w:t>2008, ko je bil tudi razmeroma stabilen, v povprečju  znašal 1,7 o. 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CellMar>
        <w:left w:w="0" w:type="dxa"/>
        <w:right w:w="0" w:type="dxa"/>
      </w:tblCellMar>
      <w:tblLook w:val="04A0" w:firstRow="1" w:lastRow="0" w:firstColumn="1" w:lastColumn="0" w:noHBand="0" w:noVBand="1"/>
    </w:tblPr>
    <w:tblGrid>
      <w:gridCol w:w="8276"/>
      <w:gridCol w:w="796"/>
    </w:tblGrid>
    <w:tr w:rsidR="00953DE0" w:rsidRPr="00A540FA" w14:paraId="30DD25E4" w14:textId="77777777" w:rsidTr="00C17605">
      <w:trPr>
        <w:trHeight w:val="552"/>
      </w:trPr>
      <w:tc>
        <w:tcPr>
          <w:tcW w:w="8276" w:type="dxa"/>
        </w:tcPr>
        <w:p w14:paraId="76093C5C" w14:textId="6F26EBC6" w:rsidR="00953DE0" w:rsidRPr="00812B40" w:rsidRDefault="00953DE0" w:rsidP="00812B40">
          <w:pPr>
            <w:pStyle w:val="Header"/>
            <w:tabs>
              <w:tab w:val="clear" w:pos="4536"/>
              <w:tab w:val="clear" w:pos="9072"/>
              <w:tab w:val="right" w:pos="8276"/>
            </w:tabs>
            <w:spacing w:line="240" w:lineRule="auto"/>
            <w:rPr>
              <w:rFonts w:cstheme="minorHAnsi"/>
              <w:bCs/>
            </w:rPr>
          </w:pPr>
          <w:r w:rsidRPr="00812B40">
            <w:rPr>
              <w:rFonts w:cstheme="minorHAnsi"/>
              <w:bCs/>
            </w:rPr>
            <w:t xml:space="preserve">UMAR  </w:t>
          </w:r>
          <w:r w:rsidRPr="00812B40">
            <w:rPr>
              <w:rFonts w:cstheme="minorHAnsi"/>
              <w:bCs/>
              <w:noProof/>
              <w:lang w:eastAsia="sl-SI"/>
            </w:rPr>
            <w:drawing>
              <wp:inline distT="0" distB="0" distL="0" distR="0" wp14:anchorId="2F257C91" wp14:editId="4C289473">
                <wp:extent cx="58825" cy="76332"/>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059" cy="148005"/>
                        </a:xfrm>
                        <a:prstGeom prst="rect">
                          <a:avLst/>
                        </a:prstGeom>
                        <a:noFill/>
                        <a:ln>
                          <a:noFill/>
                        </a:ln>
                      </pic:spPr>
                    </pic:pic>
                  </a:graphicData>
                </a:graphic>
              </wp:inline>
            </w:drawing>
          </w:r>
          <w:r w:rsidRPr="00812B40">
            <w:rPr>
              <w:rFonts w:cstheme="minorHAnsi"/>
              <w:bCs/>
            </w:rPr>
            <w:t xml:space="preserve">  </w:t>
          </w:r>
          <w:r>
            <w:rPr>
              <w:rFonts w:cstheme="minorHAnsi"/>
              <w:bCs/>
            </w:rPr>
            <w:t>Jesenska napoved gospodarskih gibanj 2021</w:t>
          </w:r>
          <w:r w:rsidRPr="00812B40">
            <w:rPr>
              <w:rFonts w:cstheme="minorHAnsi"/>
              <w:bCs/>
            </w:rPr>
            <w:tab/>
          </w:r>
        </w:p>
      </w:tc>
      <w:tc>
        <w:tcPr>
          <w:tcW w:w="796" w:type="dxa"/>
        </w:tcPr>
        <w:p w14:paraId="5B5D99AB" w14:textId="77777777" w:rsidR="00953DE0" w:rsidRPr="00B607E3" w:rsidRDefault="00953DE0" w:rsidP="00812B40">
          <w:pPr>
            <w:pStyle w:val="Header"/>
            <w:tabs>
              <w:tab w:val="left" w:pos="332"/>
              <w:tab w:val="center" w:pos="398"/>
              <w:tab w:val="right" w:pos="511"/>
              <w:tab w:val="right" w:pos="796"/>
            </w:tabs>
            <w:jc w:val="right"/>
            <w:rPr>
              <w:rFonts w:cstheme="minorHAnsi"/>
              <w:b/>
              <w:szCs w:val="16"/>
            </w:rPr>
          </w:pPr>
          <w:r w:rsidRPr="00B607E3">
            <w:rPr>
              <w:rFonts w:cstheme="minorHAnsi"/>
              <w:b/>
              <w:szCs w:val="16"/>
            </w:rPr>
            <w:fldChar w:fldCharType="begin"/>
          </w:r>
          <w:r w:rsidRPr="00B607E3">
            <w:rPr>
              <w:rFonts w:cstheme="minorHAnsi"/>
              <w:b/>
              <w:szCs w:val="16"/>
            </w:rPr>
            <w:instrText xml:space="preserve"> PAGE  \* Arabic  \* MERGEFORMAT </w:instrText>
          </w:r>
          <w:r w:rsidRPr="00B607E3">
            <w:rPr>
              <w:rFonts w:cstheme="minorHAnsi"/>
              <w:b/>
              <w:szCs w:val="16"/>
            </w:rPr>
            <w:fldChar w:fldCharType="separate"/>
          </w:r>
          <w:r>
            <w:rPr>
              <w:rFonts w:cstheme="minorHAnsi"/>
              <w:b/>
              <w:noProof/>
              <w:szCs w:val="16"/>
            </w:rPr>
            <w:t>31</w:t>
          </w:r>
          <w:r w:rsidRPr="00B607E3">
            <w:rPr>
              <w:rFonts w:cstheme="minorHAnsi"/>
              <w:b/>
              <w:szCs w:val="16"/>
            </w:rPr>
            <w:fldChar w:fldCharType="end"/>
          </w:r>
        </w:p>
      </w:tc>
    </w:tr>
  </w:tbl>
  <w:p w14:paraId="2F035D77" w14:textId="77777777" w:rsidR="00953DE0" w:rsidRDefault="00953D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9AC"/>
    <w:multiLevelType w:val="hybridMultilevel"/>
    <w:tmpl w:val="409ABE48"/>
    <w:lvl w:ilvl="0" w:tplc="4ABEB312">
      <w:start w:val="1"/>
      <w:numFmt w:val="decimal"/>
      <w:lvlText w:val="%1."/>
      <w:lvlJc w:val="left"/>
      <w:pPr>
        <w:ind w:left="36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2F6580"/>
    <w:multiLevelType w:val="hybridMultilevel"/>
    <w:tmpl w:val="6302B7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C0F2798"/>
    <w:multiLevelType w:val="hybridMultilevel"/>
    <w:tmpl w:val="7DAEEB40"/>
    <w:lvl w:ilvl="0" w:tplc="D1426184">
      <w:start w:val="8"/>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0CE2C76"/>
    <w:multiLevelType w:val="hybridMultilevel"/>
    <w:tmpl w:val="DDAE03A8"/>
    <w:lvl w:ilvl="0" w:tplc="BE60DF16">
      <w:start w:val="14"/>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18240A5"/>
    <w:multiLevelType w:val="hybridMultilevel"/>
    <w:tmpl w:val="6D3877C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147356"/>
    <w:multiLevelType w:val="hybridMultilevel"/>
    <w:tmpl w:val="D1F2B814"/>
    <w:styleLink w:val="Numbered"/>
    <w:lvl w:ilvl="0" w:tplc="67664328">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7B07634">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5257FE">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E725832">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9EA52B8">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74AE0B2">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5281E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A8F7EC">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6C07E8">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38E7EC6"/>
    <w:multiLevelType w:val="hybridMultilevel"/>
    <w:tmpl w:val="02607BC0"/>
    <w:lvl w:ilvl="0" w:tplc="E17261E6">
      <w:start w:val="1"/>
      <w:numFmt w:val="upperRoman"/>
      <w:pStyle w:val="BesediloalinejeNAPOVED"/>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B060CD8"/>
    <w:multiLevelType w:val="multilevel"/>
    <w:tmpl w:val="3E04AC4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0675E2E"/>
    <w:multiLevelType w:val="hybridMultilevel"/>
    <w:tmpl w:val="001811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2561E5A"/>
    <w:multiLevelType w:val="hybridMultilevel"/>
    <w:tmpl w:val="137CF0FE"/>
    <w:lvl w:ilvl="0" w:tplc="0424000F">
      <w:start w:val="1"/>
      <w:numFmt w:val="decimal"/>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0" w15:restartNumberingAfterBreak="0">
    <w:nsid w:val="5B050C0A"/>
    <w:multiLevelType w:val="hybridMultilevel"/>
    <w:tmpl w:val="26D072E0"/>
    <w:lvl w:ilvl="0" w:tplc="76AC1A70">
      <w:start w:val="49"/>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66A94"/>
    <w:multiLevelType w:val="singleLevel"/>
    <w:tmpl w:val="BEAEA458"/>
    <w:lvl w:ilvl="0">
      <w:start w:val="1"/>
      <w:numFmt w:val="decimal"/>
      <w:pStyle w:val="LiteraturaNAPOVED"/>
      <w:lvlText w:val="%1."/>
      <w:lvlJc w:val="left"/>
      <w:pPr>
        <w:tabs>
          <w:tab w:val="num" w:pos="360"/>
        </w:tabs>
        <w:ind w:left="360" w:hanging="360"/>
      </w:pPr>
      <w:rPr>
        <w:rFonts w:hint="default"/>
      </w:rPr>
    </w:lvl>
  </w:abstractNum>
  <w:abstractNum w:abstractNumId="12" w15:restartNumberingAfterBreak="0">
    <w:nsid w:val="5E202E6B"/>
    <w:multiLevelType w:val="hybridMultilevel"/>
    <w:tmpl w:val="500669D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66EC393B"/>
    <w:multiLevelType w:val="multilevel"/>
    <w:tmpl w:val="40EE65B8"/>
    <w:lvl w:ilvl="0">
      <w:start w:val="1"/>
      <w:numFmt w:val="decimal"/>
      <w:lvlText w:val="%1."/>
      <w:lvlJc w:val="left"/>
      <w:pPr>
        <w:ind w:left="72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67377FB1"/>
    <w:multiLevelType w:val="multilevel"/>
    <w:tmpl w:val="40EE65B8"/>
    <w:lvl w:ilvl="0">
      <w:start w:val="1"/>
      <w:numFmt w:val="decimal"/>
      <w:lvlText w:val="%1."/>
      <w:lvlJc w:val="left"/>
      <w:pPr>
        <w:ind w:left="72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5" w15:restartNumberingAfterBreak="0">
    <w:nsid w:val="68292E0F"/>
    <w:multiLevelType w:val="hybridMultilevel"/>
    <w:tmpl w:val="5F7804F6"/>
    <w:lvl w:ilvl="0" w:tplc="0000000D">
      <w:numFmt w:val="bullet"/>
      <w:lvlText w:val="-"/>
      <w:lvlJc w:val="left"/>
      <w:pPr>
        <w:ind w:left="720" w:hanging="360"/>
      </w:pPr>
      <w:rPr>
        <w:rFonts w:ascii="Arial" w:hAnsi="Arial" w:cs="Arial" w:hint="default"/>
        <w:b w:val="0"/>
        <w:color w:val="0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ACA6C11"/>
    <w:multiLevelType w:val="hybridMultilevel"/>
    <w:tmpl w:val="89F03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23D11"/>
    <w:multiLevelType w:val="hybridMultilevel"/>
    <w:tmpl w:val="8AD46E6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5"/>
  </w:num>
  <w:num w:numId="5">
    <w:abstractNumId w:val="6"/>
  </w:num>
  <w:num w:numId="6">
    <w:abstractNumId w:val="4"/>
  </w:num>
  <w:num w:numId="7">
    <w:abstractNumId w:val="9"/>
  </w:num>
  <w:num w:numId="8">
    <w:abstractNumId w:val="17"/>
  </w:num>
  <w:num w:numId="9">
    <w:abstractNumId w:val="2"/>
  </w:num>
  <w:num w:numId="10">
    <w:abstractNumId w:val="13"/>
  </w:num>
  <w:num w:numId="11">
    <w:abstractNumId w:val="7"/>
    <w:lvlOverride w:ilvl="0">
      <w:startOverride w:val="1"/>
    </w:lvlOverride>
    <w:lvlOverride w:ilvl="1">
      <w:startOverride w:val="1"/>
    </w:lvlOverride>
  </w:num>
  <w:num w:numId="12">
    <w:abstractNumId w:val="7"/>
    <w:lvlOverride w:ilvl="0">
      <w:startOverride w:val="1"/>
    </w:lvlOverride>
    <w:lvlOverride w:ilvl="1">
      <w:startOverride w:val="1"/>
    </w:lvlOverride>
  </w:num>
  <w:num w:numId="13">
    <w:abstractNumId w:val="7"/>
    <w:lvlOverride w:ilvl="0">
      <w:startOverride w:val="1"/>
    </w:lvlOverride>
    <w:lvlOverride w:ilvl="1">
      <w:startOverride w:val="1"/>
    </w:lvlOverride>
  </w:num>
  <w:num w:numId="14">
    <w:abstractNumId w:val="7"/>
    <w:lvlOverride w:ilvl="0">
      <w:startOverride w:val="1"/>
    </w:lvlOverride>
    <w:lvlOverride w:ilvl="1">
      <w:startOverride w:val="1"/>
    </w:lvlOverride>
  </w:num>
  <w:num w:numId="15">
    <w:abstractNumId w:val="7"/>
    <w:lvlOverride w:ilvl="0">
      <w:startOverride w:val="1"/>
    </w:lvlOverride>
    <w:lvlOverride w:ilvl="1">
      <w:startOverride w:val="1"/>
    </w:lvlOverride>
  </w:num>
  <w:num w:numId="16">
    <w:abstractNumId w:val="7"/>
    <w:lvlOverride w:ilvl="0">
      <w:startOverride w:val="1"/>
    </w:lvlOverride>
    <w:lvlOverride w:ilvl="1">
      <w:startOverride w:val="1"/>
    </w:lvlOverride>
  </w:num>
  <w:num w:numId="17">
    <w:abstractNumId w:val="7"/>
    <w:lvlOverride w:ilvl="0">
      <w:startOverride w:val="1"/>
    </w:lvlOverride>
    <w:lvlOverride w:ilvl="1">
      <w:startOverride w:val="1"/>
    </w:lvlOverride>
  </w:num>
  <w:num w:numId="18">
    <w:abstractNumId w:val="1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
  </w:num>
  <w:num w:numId="22">
    <w:abstractNumId w:val="15"/>
  </w:num>
  <w:num w:numId="23">
    <w:abstractNumId w:val="12"/>
  </w:num>
  <w:num w:numId="24">
    <w:abstractNumId w:val="1"/>
  </w:num>
  <w:num w:numId="25">
    <w:abstractNumId w:val="14"/>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791"/>
    <w:rsid w:val="00000175"/>
    <w:rsid w:val="00000B22"/>
    <w:rsid w:val="0000162B"/>
    <w:rsid w:val="00001752"/>
    <w:rsid w:val="00001A6C"/>
    <w:rsid w:val="000025AC"/>
    <w:rsid w:val="000026EC"/>
    <w:rsid w:val="00002ADC"/>
    <w:rsid w:val="00002B3F"/>
    <w:rsid w:val="00002CAF"/>
    <w:rsid w:val="000030C5"/>
    <w:rsid w:val="000032F1"/>
    <w:rsid w:val="0000353C"/>
    <w:rsid w:val="0000380A"/>
    <w:rsid w:val="00003E9D"/>
    <w:rsid w:val="0000431F"/>
    <w:rsid w:val="00004388"/>
    <w:rsid w:val="00004DAC"/>
    <w:rsid w:val="00004DBA"/>
    <w:rsid w:val="00005716"/>
    <w:rsid w:val="000064A0"/>
    <w:rsid w:val="000064D7"/>
    <w:rsid w:val="00006657"/>
    <w:rsid w:val="00006975"/>
    <w:rsid w:val="00006A81"/>
    <w:rsid w:val="00006BC6"/>
    <w:rsid w:val="000070C9"/>
    <w:rsid w:val="000071B5"/>
    <w:rsid w:val="000073D0"/>
    <w:rsid w:val="00007719"/>
    <w:rsid w:val="00007D93"/>
    <w:rsid w:val="000111C0"/>
    <w:rsid w:val="00011692"/>
    <w:rsid w:val="0001177A"/>
    <w:rsid w:val="00011BD7"/>
    <w:rsid w:val="00013166"/>
    <w:rsid w:val="00013848"/>
    <w:rsid w:val="000141E1"/>
    <w:rsid w:val="00014DA7"/>
    <w:rsid w:val="000152AC"/>
    <w:rsid w:val="00015417"/>
    <w:rsid w:val="000157D8"/>
    <w:rsid w:val="000166BE"/>
    <w:rsid w:val="00016E82"/>
    <w:rsid w:val="00016F53"/>
    <w:rsid w:val="00017920"/>
    <w:rsid w:val="000204F1"/>
    <w:rsid w:val="00020751"/>
    <w:rsid w:val="00020FAD"/>
    <w:rsid w:val="00021509"/>
    <w:rsid w:val="00021914"/>
    <w:rsid w:val="00022170"/>
    <w:rsid w:val="00022E33"/>
    <w:rsid w:val="00022EAD"/>
    <w:rsid w:val="00023120"/>
    <w:rsid w:val="000237E7"/>
    <w:rsid w:val="00023A5C"/>
    <w:rsid w:val="00023FFD"/>
    <w:rsid w:val="0002452C"/>
    <w:rsid w:val="00024FA0"/>
    <w:rsid w:val="000251D8"/>
    <w:rsid w:val="000266E0"/>
    <w:rsid w:val="000267E2"/>
    <w:rsid w:val="00026ACB"/>
    <w:rsid w:val="00026F58"/>
    <w:rsid w:val="00027302"/>
    <w:rsid w:val="000277EB"/>
    <w:rsid w:val="00027861"/>
    <w:rsid w:val="0003011B"/>
    <w:rsid w:val="000308FB"/>
    <w:rsid w:val="000309F9"/>
    <w:rsid w:val="00031709"/>
    <w:rsid w:val="00031963"/>
    <w:rsid w:val="00032434"/>
    <w:rsid w:val="00032DCF"/>
    <w:rsid w:val="00032E07"/>
    <w:rsid w:val="00032E3B"/>
    <w:rsid w:val="000337CE"/>
    <w:rsid w:val="00033FF7"/>
    <w:rsid w:val="0003482B"/>
    <w:rsid w:val="00035FBD"/>
    <w:rsid w:val="0003619C"/>
    <w:rsid w:val="000361B4"/>
    <w:rsid w:val="000365D0"/>
    <w:rsid w:val="00036E1B"/>
    <w:rsid w:val="0003751E"/>
    <w:rsid w:val="00037DCD"/>
    <w:rsid w:val="00037DDD"/>
    <w:rsid w:val="0004114D"/>
    <w:rsid w:val="00041696"/>
    <w:rsid w:val="00041BCA"/>
    <w:rsid w:val="00041FA0"/>
    <w:rsid w:val="0004231E"/>
    <w:rsid w:val="000424F0"/>
    <w:rsid w:val="000425B5"/>
    <w:rsid w:val="00042B8F"/>
    <w:rsid w:val="000438D4"/>
    <w:rsid w:val="00044BC1"/>
    <w:rsid w:val="00044D5E"/>
    <w:rsid w:val="00044F48"/>
    <w:rsid w:val="00045A0E"/>
    <w:rsid w:val="0004617B"/>
    <w:rsid w:val="00046FD7"/>
    <w:rsid w:val="0004712B"/>
    <w:rsid w:val="000502D8"/>
    <w:rsid w:val="00051E19"/>
    <w:rsid w:val="0005277B"/>
    <w:rsid w:val="00052F93"/>
    <w:rsid w:val="0005346F"/>
    <w:rsid w:val="0005357D"/>
    <w:rsid w:val="000535FF"/>
    <w:rsid w:val="000536C4"/>
    <w:rsid w:val="00054645"/>
    <w:rsid w:val="0005475A"/>
    <w:rsid w:val="000547F0"/>
    <w:rsid w:val="00055371"/>
    <w:rsid w:val="000555D7"/>
    <w:rsid w:val="00055F62"/>
    <w:rsid w:val="00055F74"/>
    <w:rsid w:val="00055FE9"/>
    <w:rsid w:val="0005665A"/>
    <w:rsid w:val="00056BD5"/>
    <w:rsid w:val="000572B9"/>
    <w:rsid w:val="00057346"/>
    <w:rsid w:val="00057C74"/>
    <w:rsid w:val="00060302"/>
    <w:rsid w:val="00060547"/>
    <w:rsid w:val="000605D3"/>
    <w:rsid w:val="0006082E"/>
    <w:rsid w:val="00060E22"/>
    <w:rsid w:val="0006207B"/>
    <w:rsid w:val="000620BA"/>
    <w:rsid w:val="000623FF"/>
    <w:rsid w:val="00064676"/>
    <w:rsid w:val="00065E57"/>
    <w:rsid w:val="000660ED"/>
    <w:rsid w:val="0006653A"/>
    <w:rsid w:val="00066A45"/>
    <w:rsid w:val="00066AEF"/>
    <w:rsid w:val="0007025B"/>
    <w:rsid w:val="000705B1"/>
    <w:rsid w:val="00070B55"/>
    <w:rsid w:val="00071544"/>
    <w:rsid w:val="0007155C"/>
    <w:rsid w:val="0007181A"/>
    <w:rsid w:val="00071F28"/>
    <w:rsid w:val="00072122"/>
    <w:rsid w:val="000729C7"/>
    <w:rsid w:val="00072E0A"/>
    <w:rsid w:val="0007354C"/>
    <w:rsid w:val="00073D37"/>
    <w:rsid w:val="00073E9C"/>
    <w:rsid w:val="000748F0"/>
    <w:rsid w:val="00075995"/>
    <w:rsid w:val="00075D73"/>
    <w:rsid w:val="00075D76"/>
    <w:rsid w:val="0007613D"/>
    <w:rsid w:val="0007689F"/>
    <w:rsid w:val="000769C9"/>
    <w:rsid w:val="00077993"/>
    <w:rsid w:val="00077C63"/>
    <w:rsid w:val="00077E9C"/>
    <w:rsid w:val="00077F0B"/>
    <w:rsid w:val="00080E3B"/>
    <w:rsid w:val="00080E90"/>
    <w:rsid w:val="0008109A"/>
    <w:rsid w:val="000810AC"/>
    <w:rsid w:val="00081619"/>
    <w:rsid w:val="00081954"/>
    <w:rsid w:val="0008378B"/>
    <w:rsid w:val="00083A42"/>
    <w:rsid w:val="00083E22"/>
    <w:rsid w:val="000840BC"/>
    <w:rsid w:val="00084484"/>
    <w:rsid w:val="0008615E"/>
    <w:rsid w:val="00086855"/>
    <w:rsid w:val="00086F3E"/>
    <w:rsid w:val="000876ED"/>
    <w:rsid w:val="0009057A"/>
    <w:rsid w:val="000918F3"/>
    <w:rsid w:val="000921ED"/>
    <w:rsid w:val="0009247A"/>
    <w:rsid w:val="000929C6"/>
    <w:rsid w:val="00092DA8"/>
    <w:rsid w:val="000936DA"/>
    <w:rsid w:val="00094765"/>
    <w:rsid w:val="00095135"/>
    <w:rsid w:val="0009518A"/>
    <w:rsid w:val="000968B4"/>
    <w:rsid w:val="000969D0"/>
    <w:rsid w:val="00096DB6"/>
    <w:rsid w:val="0009727E"/>
    <w:rsid w:val="000975F8"/>
    <w:rsid w:val="00097A6B"/>
    <w:rsid w:val="000A0AD0"/>
    <w:rsid w:val="000A0EE6"/>
    <w:rsid w:val="000A1301"/>
    <w:rsid w:val="000A1CA9"/>
    <w:rsid w:val="000A1F78"/>
    <w:rsid w:val="000A3602"/>
    <w:rsid w:val="000A528A"/>
    <w:rsid w:val="000A6E55"/>
    <w:rsid w:val="000A701D"/>
    <w:rsid w:val="000A78C0"/>
    <w:rsid w:val="000A7CF7"/>
    <w:rsid w:val="000A7F31"/>
    <w:rsid w:val="000B03F1"/>
    <w:rsid w:val="000B0C7C"/>
    <w:rsid w:val="000B14C4"/>
    <w:rsid w:val="000B177F"/>
    <w:rsid w:val="000B1E80"/>
    <w:rsid w:val="000B1E8B"/>
    <w:rsid w:val="000B2247"/>
    <w:rsid w:val="000B2CC4"/>
    <w:rsid w:val="000B3619"/>
    <w:rsid w:val="000B36F7"/>
    <w:rsid w:val="000B3732"/>
    <w:rsid w:val="000B48FF"/>
    <w:rsid w:val="000B495A"/>
    <w:rsid w:val="000B562A"/>
    <w:rsid w:val="000B6195"/>
    <w:rsid w:val="000B75F3"/>
    <w:rsid w:val="000B7919"/>
    <w:rsid w:val="000C0453"/>
    <w:rsid w:val="000C1A27"/>
    <w:rsid w:val="000C1C5A"/>
    <w:rsid w:val="000C2218"/>
    <w:rsid w:val="000C2CAF"/>
    <w:rsid w:val="000C2FEF"/>
    <w:rsid w:val="000C31F4"/>
    <w:rsid w:val="000C3A5E"/>
    <w:rsid w:val="000C3D6D"/>
    <w:rsid w:val="000C43BF"/>
    <w:rsid w:val="000C43F9"/>
    <w:rsid w:val="000C4C5C"/>
    <w:rsid w:val="000C4E62"/>
    <w:rsid w:val="000C5063"/>
    <w:rsid w:val="000C507E"/>
    <w:rsid w:val="000C66F6"/>
    <w:rsid w:val="000C6CEF"/>
    <w:rsid w:val="000C6D8F"/>
    <w:rsid w:val="000C7A63"/>
    <w:rsid w:val="000C7B3E"/>
    <w:rsid w:val="000D052C"/>
    <w:rsid w:val="000D0C8F"/>
    <w:rsid w:val="000D1E72"/>
    <w:rsid w:val="000D209E"/>
    <w:rsid w:val="000D330B"/>
    <w:rsid w:val="000D3B89"/>
    <w:rsid w:val="000D3EA0"/>
    <w:rsid w:val="000D4CA8"/>
    <w:rsid w:val="000D6313"/>
    <w:rsid w:val="000D707A"/>
    <w:rsid w:val="000D7476"/>
    <w:rsid w:val="000D7F1E"/>
    <w:rsid w:val="000E008B"/>
    <w:rsid w:val="000E061A"/>
    <w:rsid w:val="000E06F5"/>
    <w:rsid w:val="000E0B25"/>
    <w:rsid w:val="000E0D99"/>
    <w:rsid w:val="000E1358"/>
    <w:rsid w:val="000E22C2"/>
    <w:rsid w:val="000E2A24"/>
    <w:rsid w:val="000E2ED9"/>
    <w:rsid w:val="000E35C6"/>
    <w:rsid w:val="000E3BEC"/>
    <w:rsid w:val="000E3F9E"/>
    <w:rsid w:val="000E57A0"/>
    <w:rsid w:val="000E5A3B"/>
    <w:rsid w:val="000E70CE"/>
    <w:rsid w:val="000E71E2"/>
    <w:rsid w:val="000E734E"/>
    <w:rsid w:val="000E7793"/>
    <w:rsid w:val="000E77FD"/>
    <w:rsid w:val="000E7B27"/>
    <w:rsid w:val="000E7BCB"/>
    <w:rsid w:val="000F0B06"/>
    <w:rsid w:val="000F0D63"/>
    <w:rsid w:val="000F1D2C"/>
    <w:rsid w:val="000F23D6"/>
    <w:rsid w:val="000F2B1C"/>
    <w:rsid w:val="000F311F"/>
    <w:rsid w:val="000F37C8"/>
    <w:rsid w:val="000F398C"/>
    <w:rsid w:val="000F3CF8"/>
    <w:rsid w:val="000F430B"/>
    <w:rsid w:val="000F491A"/>
    <w:rsid w:val="000F49DB"/>
    <w:rsid w:val="000F4B06"/>
    <w:rsid w:val="000F4F0D"/>
    <w:rsid w:val="000F5377"/>
    <w:rsid w:val="000F60CE"/>
    <w:rsid w:val="000F6F5D"/>
    <w:rsid w:val="000F747B"/>
    <w:rsid w:val="000F7641"/>
    <w:rsid w:val="00100DB9"/>
    <w:rsid w:val="0010109E"/>
    <w:rsid w:val="001010A9"/>
    <w:rsid w:val="00101B1D"/>
    <w:rsid w:val="00101D15"/>
    <w:rsid w:val="001022AC"/>
    <w:rsid w:val="0010250F"/>
    <w:rsid w:val="00102756"/>
    <w:rsid w:val="00102F22"/>
    <w:rsid w:val="001030A7"/>
    <w:rsid w:val="0010366B"/>
    <w:rsid w:val="00104116"/>
    <w:rsid w:val="00104446"/>
    <w:rsid w:val="0010458E"/>
    <w:rsid w:val="0010507E"/>
    <w:rsid w:val="00105493"/>
    <w:rsid w:val="0010553F"/>
    <w:rsid w:val="00105A87"/>
    <w:rsid w:val="00105D95"/>
    <w:rsid w:val="0010651B"/>
    <w:rsid w:val="00106B4D"/>
    <w:rsid w:val="00106BE5"/>
    <w:rsid w:val="001072F9"/>
    <w:rsid w:val="00107A6B"/>
    <w:rsid w:val="00107A7C"/>
    <w:rsid w:val="00110452"/>
    <w:rsid w:val="00110C49"/>
    <w:rsid w:val="00110FEB"/>
    <w:rsid w:val="001112AE"/>
    <w:rsid w:val="001115DB"/>
    <w:rsid w:val="001118E5"/>
    <w:rsid w:val="00114D56"/>
    <w:rsid w:val="00115051"/>
    <w:rsid w:val="00115124"/>
    <w:rsid w:val="00115372"/>
    <w:rsid w:val="001153EC"/>
    <w:rsid w:val="0011551D"/>
    <w:rsid w:val="0011578D"/>
    <w:rsid w:val="0011677C"/>
    <w:rsid w:val="001168BC"/>
    <w:rsid w:val="001170C5"/>
    <w:rsid w:val="00117115"/>
    <w:rsid w:val="00117342"/>
    <w:rsid w:val="0011783D"/>
    <w:rsid w:val="00117D5B"/>
    <w:rsid w:val="001213EB"/>
    <w:rsid w:val="00121772"/>
    <w:rsid w:val="001219B1"/>
    <w:rsid w:val="00122E3C"/>
    <w:rsid w:val="001234BC"/>
    <w:rsid w:val="00123DAB"/>
    <w:rsid w:val="00124937"/>
    <w:rsid w:val="00124C9D"/>
    <w:rsid w:val="00125343"/>
    <w:rsid w:val="00125920"/>
    <w:rsid w:val="00125B63"/>
    <w:rsid w:val="00127B1E"/>
    <w:rsid w:val="0013064B"/>
    <w:rsid w:val="00130A1A"/>
    <w:rsid w:val="00132229"/>
    <w:rsid w:val="0013312D"/>
    <w:rsid w:val="0013312E"/>
    <w:rsid w:val="0013548A"/>
    <w:rsid w:val="00135716"/>
    <w:rsid w:val="00135CF8"/>
    <w:rsid w:val="001367D8"/>
    <w:rsid w:val="001369C7"/>
    <w:rsid w:val="00137A9F"/>
    <w:rsid w:val="00137AB5"/>
    <w:rsid w:val="00140257"/>
    <w:rsid w:val="001406F5"/>
    <w:rsid w:val="00140706"/>
    <w:rsid w:val="00140B38"/>
    <w:rsid w:val="00140C2A"/>
    <w:rsid w:val="00140ED2"/>
    <w:rsid w:val="0014107C"/>
    <w:rsid w:val="00141E1A"/>
    <w:rsid w:val="0014265C"/>
    <w:rsid w:val="00142ADB"/>
    <w:rsid w:val="00142C52"/>
    <w:rsid w:val="001431FE"/>
    <w:rsid w:val="00143E7F"/>
    <w:rsid w:val="001455D8"/>
    <w:rsid w:val="0014646D"/>
    <w:rsid w:val="001464E4"/>
    <w:rsid w:val="0014662A"/>
    <w:rsid w:val="00147913"/>
    <w:rsid w:val="00147CE2"/>
    <w:rsid w:val="00150E9F"/>
    <w:rsid w:val="001510B5"/>
    <w:rsid w:val="00151462"/>
    <w:rsid w:val="00151A46"/>
    <w:rsid w:val="00151D19"/>
    <w:rsid w:val="001523D6"/>
    <w:rsid w:val="0015333B"/>
    <w:rsid w:val="00153ABF"/>
    <w:rsid w:val="00153E12"/>
    <w:rsid w:val="00154B09"/>
    <w:rsid w:val="0015528E"/>
    <w:rsid w:val="0015669B"/>
    <w:rsid w:val="00157171"/>
    <w:rsid w:val="00157184"/>
    <w:rsid w:val="001574F4"/>
    <w:rsid w:val="00157872"/>
    <w:rsid w:val="001578B9"/>
    <w:rsid w:val="00157B1B"/>
    <w:rsid w:val="0016105E"/>
    <w:rsid w:val="00161445"/>
    <w:rsid w:val="00161611"/>
    <w:rsid w:val="0016173F"/>
    <w:rsid w:val="00162561"/>
    <w:rsid w:val="00162DEE"/>
    <w:rsid w:val="00164D76"/>
    <w:rsid w:val="00165810"/>
    <w:rsid w:val="00165901"/>
    <w:rsid w:val="0016603D"/>
    <w:rsid w:val="00166544"/>
    <w:rsid w:val="001667A9"/>
    <w:rsid w:val="00166B3C"/>
    <w:rsid w:val="001673B5"/>
    <w:rsid w:val="001673FC"/>
    <w:rsid w:val="00167A10"/>
    <w:rsid w:val="001709CB"/>
    <w:rsid w:val="00171296"/>
    <w:rsid w:val="0017192F"/>
    <w:rsid w:val="001720F1"/>
    <w:rsid w:val="001727A5"/>
    <w:rsid w:val="00173820"/>
    <w:rsid w:val="00173E34"/>
    <w:rsid w:val="00175219"/>
    <w:rsid w:val="00175D93"/>
    <w:rsid w:val="00176106"/>
    <w:rsid w:val="001764AB"/>
    <w:rsid w:val="00176947"/>
    <w:rsid w:val="001770F0"/>
    <w:rsid w:val="0017728E"/>
    <w:rsid w:val="00177D87"/>
    <w:rsid w:val="00177DDA"/>
    <w:rsid w:val="001800CD"/>
    <w:rsid w:val="00180753"/>
    <w:rsid w:val="00180B09"/>
    <w:rsid w:val="00181502"/>
    <w:rsid w:val="00181CCA"/>
    <w:rsid w:val="00183D47"/>
    <w:rsid w:val="00184271"/>
    <w:rsid w:val="001846B5"/>
    <w:rsid w:val="0018519C"/>
    <w:rsid w:val="001861BC"/>
    <w:rsid w:val="0018624C"/>
    <w:rsid w:val="00186B04"/>
    <w:rsid w:val="0019033C"/>
    <w:rsid w:val="001908FD"/>
    <w:rsid w:val="001910C2"/>
    <w:rsid w:val="001917B6"/>
    <w:rsid w:val="001918F5"/>
    <w:rsid w:val="00191BA8"/>
    <w:rsid w:val="0019292D"/>
    <w:rsid w:val="0019480A"/>
    <w:rsid w:val="00194EF3"/>
    <w:rsid w:val="00195394"/>
    <w:rsid w:val="00195F97"/>
    <w:rsid w:val="00196D27"/>
    <w:rsid w:val="0019720D"/>
    <w:rsid w:val="00197375"/>
    <w:rsid w:val="001A07C2"/>
    <w:rsid w:val="001A0885"/>
    <w:rsid w:val="001A0AB9"/>
    <w:rsid w:val="001A0B31"/>
    <w:rsid w:val="001A1629"/>
    <w:rsid w:val="001A4063"/>
    <w:rsid w:val="001A48F6"/>
    <w:rsid w:val="001A540C"/>
    <w:rsid w:val="001A54A4"/>
    <w:rsid w:val="001A78EF"/>
    <w:rsid w:val="001A7D35"/>
    <w:rsid w:val="001B0054"/>
    <w:rsid w:val="001B0962"/>
    <w:rsid w:val="001B0BB9"/>
    <w:rsid w:val="001B13C4"/>
    <w:rsid w:val="001B2352"/>
    <w:rsid w:val="001B23EE"/>
    <w:rsid w:val="001B2503"/>
    <w:rsid w:val="001B26E1"/>
    <w:rsid w:val="001B2949"/>
    <w:rsid w:val="001B2F40"/>
    <w:rsid w:val="001B3A3F"/>
    <w:rsid w:val="001B42E2"/>
    <w:rsid w:val="001B44DC"/>
    <w:rsid w:val="001B4C45"/>
    <w:rsid w:val="001B6322"/>
    <w:rsid w:val="001B6398"/>
    <w:rsid w:val="001B6838"/>
    <w:rsid w:val="001B6B64"/>
    <w:rsid w:val="001C04BC"/>
    <w:rsid w:val="001C10D5"/>
    <w:rsid w:val="001C20B3"/>
    <w:rsid w:val="001C2772"/>
    <w:rsid w:val="001C3A0A"/>
    <w:rsid w:val="001C3BB1"/>
    <w:rsid w:val="001C453E"/>
    <w:rsid w:val="001C487D"/>
    <w:rsid w:val="001C4D46"/>
    <w:rsid w:val="001C543C"/>
    <w:rsid w:val="001C5820"/>
    <w:rsid w:val="001C5AF2"/>
    <w:rsid w:val="001C5EB2"/>
    <w:rsid w:val="001C63CC"/>
    <w:rsid w:val="001C6A04"/>
    <w:rsid w:val="001D0961"/>
    <w:rsid w:val="001D0A6E"/>
    <w:rsid w:val="001D0B2F"/>
    <w:rsid w:val="001D0F71"/>
    <w:rsid w:val="001D17FE"/>
    <w:rsid w:val="001D1834"/>
    <w:rsid w:val="001D20F5"/>
    <w:rsid w:val="001D33BC"/>
    <w:rsid w:val="001D37DB"/>
    <w:rsid w:val="001D3823"/>
    <w:rsid w:val="001D3A3F"/>
    <w:rsid w:val="001D41B6"/>
    <w:rsid w:val="001D45E2"/>
    <w:rsid w:val="001D473D"/>
    <w:rsid w:val="001D4D20"/>
    <w:rsid w:val="001D5991"/>
    <w:rsid w:val="001D61A1"/>
    <w:rsid w:val="001D65E7"/>
    <w:rsid w:val="001D663D"/>
    <w:rsid w:val="001D6BC0"/>
    <w:rsid w:val="001D7A13"/>
    <w:rsid w:val="001D7AFD"/>
    <w:rsid w:val="001D7EAC"/>
    <w:rsid w:val="001E07FD"/>
    <w:rsid w:val="001E0960"/>
    <w:rsid w:val="001E16EE"/>
    <w:rsid w:val="001E1CA0"/>
    <w:rsid w:val="001E22A9"/>
    <w:rsid w:val="001E2563"/>
    <w:rsid w:val="001E34CB"/>
    <w:rsid w:val="001E4346"/>
    <w:rsid w:val="001E498C"/>
    <w:rsid w:val="001E4DCB"/>
    <w:rsid w:val="001E50A0"/>
    <w:rsid w:val="001E50AB"/>
    <w:rsid w:val="001E53E6"/>
    <w:rsid w:val="001E5B5F"/>
    <w:rsid w:val="001E6184"/>
    <w:rsid w:val="001E7BEE"/>
    <w:rsid w:val="001F013E"/>
    <w:rsid w:val="001F0482"/>
    <w:rsid w:val="001F0D86"/>
    <w:rsid w:val="001F1385"/>
    <w:rsid w:val="001F1537"/>
    <w:rsid w:val="001F166C"/>
    <w:rsid w:val="001F1D85"/>
    <w:rsid w:val="001F1F26"/>
    <w:rsid w:val="001F21D1"/>
    <w:rsid w:val="001F2EA5"/>
    <w:rsid w:val="001F3795"/>
    <w:rsid w:val="001F379C"/>
    <w:rsid w:val="001F3D79"/>
    <w:rsid w:val="001F3EB1"/>
    <w:rsid w:val="001F511E"/>
    <w:rsid w:val="001F5510"/>
    <w:rsid w:val="001F60CF"/>
    <w:rsid w:val="001F62CF"/>
    <w:rsid w:val="001F63B6"/>
    <w:rsid w:val="001F641B"/>
    <w:rsid w:val="001F784F"/>
    <w:rsid w:val="00200129"/>
    <w:rsid w:val="002001F1"/>
    <w:rsid w:val="00200770"/>
    <w:rsid w:val="00201217"/>
    <w:rsid w:val="00201EE3"/>
    <w:rsid w:val="00203BDD"/>
    <w:rsid w:val="00203C04"/>
    <w:rsid w:val="00204CAB"/>
    <w:rsid w:val="00204EE6"/>
    <w:rsid w:val="00204F6D"/>
    <w:rsid w:val="00205616"/>
    <w:rsid w:val="00205DB7"/>
    <w:rsid w:val="00205F18"/>
    <w:rsid w:val="002067AF"/>
    <w:rsid w:val="00206A47"/>
    <w:rsid w:val="0020747D"/>
    <w:rsid w:val="002076A1"/>
    <w:rsid w:val="0020779B"/>
    <w:rsid w:val="00207A74"/>
    <w:rsid w:val="002111FC"/>
    <w:rsid w:val="00212697"/>
    <w:rsid w:val="00213C11"/>
    <w:rsid w:val="00213CCB"/>
    <w:rsid w:val="00214084"/>
    <w:rsid w:val="0021486E"/>
    <w:rsid w:val="00214A8B"/>
    <w:rsid w:val="00214EB1"/>
    <w:rsid w:val="00215F37"/>
    <w:rsid w:val="00215F7D"/>
    <w:rsid w:val="00216600"/>
    <w:rsid w:val="0021687D"/>
    <w:rsid w:val="00216B07"/>
    <w:rsid w:val="0021704B"/>
    <w:rsid w:val="0021759B"/>
    <w:rsid w:val="00217E32"/>
    <w:rsid w:val="00220351"/>
    <w:rsid w:val="002203B3"/>
    <w:rsid w:val="00220A86"/>
    <w:rsid w:val="00220D75"/>
    <w:rsid w:val="00220E84"/>
    <w:rsid w:val="002225D3"/>
    <w:rsid w:val="00222773"/>
    <w:rsid w:val="0022296F"/>
    <w:rsid w:val="00222A40"/>
    <w:rsid w:val="00223345"/>
    <w:rsid w:val="0022399D"/>
    <w:rsid w:val="00224A94"/>
    <w:rsid w:val="00224B9C"/>
    <w:rsid w:val="00225004"/>
    <w:rsid w:val="00225170"/>
    <w:rsid w:val="00225327"/>
    <w:rsid w:val="0022533F"/>
    <w:rsid w:val="0022559E"/>
    <w:rsid w:val="00225660"/>
    <w:rsid w:val="002257A9"/>
    <w:rsid w:val="0022592B"/>
    <w:rsid w:val="00225D77"/>
    <w:rsid w:val="00226D8F"/>
    <w:rsid w:val="00227770"/>
    <w:rsid w:val="00227BEE"/>
    <w:rsid w:val="00227D61"/>
    <w:rsid w:val="00230DE5"/>
    <w:rsid w:val="00231792"/>
    <w:rsid w:val="00231A36"/>
    <w:rsid w:val="00231D7A"/>
    <w:rsid w:val="002325E3"/>
    <w:rsid w:val="00232BBE"/>
    <w:rsid w:val="00232E9F"/>
    <w:rsid w:val="0023374A"/>
    <w:rsid w:val="00233920"/>
    <w:rsid w:val="00234020"/>
    <w:rsid w:val="00234CFA"/>
    <w:rsid w:val="00234DFD"/>
    <w:rsid w:val="002355A9"/>
    <w:rsid w:val="00235E12"/>
    <w:rsid w:val="00236F32"/>
    <w:rsid w:val="002376A6"/>
    <w:rsid w:val="0023771E"/>
    <w:rsid w:val="00237B9F"/>
    <w:rsid w:val="00240276"/>
    <w:rsid w:val="002406A0"/>
    <w:rsid w:val="00241358"/>
    <w:rsid w:val="002417F3"/>
    <w:rsid w:val="0024201E"/>
    <w:rsid w:val="00243D25"/>
    <w:rsid w:val="00243F60"/>
    <w:rsid w:val="00244290"/>
    <w:rsid w:val="00244362"/>
    <w:rsid w:val="0024457B"/>
    <w:rsid w:val="0024493A"/>
    <w:rsid w:val="00244E0B"/>
    <w:rsid w:val="00244F6C"/>
    <w:rsid w:val="00246269"/>
    <w:rsid w:val="00246433"/>
    <w:rsid w:val="002475CC"/>
    <w:rsid w:val="00247E6B"/>
    <w:rsid w:val="00247EA0"/>
    <w:rsid w:val="0025010A"/>
    <w:rsid w:val="00250B99"/>
    <w:rsid w:val="002510C7"/>
    <w:rsid w:val="002512F5"/>
    <w:rsid w:val="0025179B"/>
    <w:rsid w:val="00252487"/>
    <w:rsid w:val="00252660"/>
    <w:rsid w:val="00252F81"/>
    <w:rsid w:val="002531D4"/>
    <w:rsid w:val="00253467"/>
    <w:rsid w:val="00253561"/>
    <w:rsid w:val="00253567"/>
    <w:rsid w:val="00253684"/>
    <w:rsid w:val="002537E0"/>
    <w:rsid w:val="00254C37"/>
    <w:rsid w:val="00255440"/>
    <w:rsid w:val="0025558D"/>
    <w:rsid w:val="0025633D"/>
    <w:rsid w:val="002572F0"/>
    <w:rsid w:val="002577FF"/>
    <w:rsid w:val="002614D2"/>
    <w:rsid w:val="00261EDD"/>
    <w:rsid w:val="002623FD"/>
    <w:rsid w:val="002628DA"/>
    <w:rsid w:val="00263450"/>
    <w:rsid w:val="00263E3D"/>
    <w:rsid w:val="00264923"/>
    <w:rsid w:val="00264ADD"/>
    <w:rsid w:val="00264EBA"/>
    <w:rsid w:val="00265611"/>
    <w:rsid w:val="002659B1"/>
    <w:rsid w:val="00265B02"/>
    <w:rsid w:val="00265E7B"/>
    <w:rsid w:val="00266B89"/>
    <w:rsid w:val="00266EAD"/>
    <w:rsid w:val="00267B26"/>
    <w:rsid w:val="002700ED"/>
    <w:rsid w:val="002703ED"/>
    <w:rsid w:val="00270FC6"/>
    <w:rsid w:val="002716A3"/>
    <w:rsid w:val="00271C01"/>
    <w:rsid w:val="00271EBD"/>
    <w:rsid w:val="00272C68"/>
    <w:rsid w:val="00273239"/>
    <w:rsid w:val="0027350C"/>
    <w:rsid w:val="0027380A"/>
    <w:rsid w:val="00274A6B"/>
    <w:rsid w:val="00274B4D"/>
    <w:rsid w:val="002750B5"/>
    <w:rsid w:val="0027515D"/>
    <w:rsid w:val="0027546E"/>
    <w:rsid w:val="00275776"/>
    <w:rsid w:val="00275CAC"/>
    <w:rsid w:val="00275E68"/>
    <w:rsid w:val="00276762"/>
    <w:rsid w:val="002767CE"/>
    <w:rsid w:val="002767E7"/>
    <w:rsid w:val="00277199"/>
    <w:rsid w:val="00277459"/>
    <w:rsid w:val="00277D6F"/>
    <w:rsid w:val="002800D2"/>
    <w:rsid w:val="00280AE7"/>
    <w:rsid w:val="00281246"/>
    <w:rsid w:val="00281355"/>
    <w:rsid w:val="00281A65"/>
    <w:rsid w:val="00282A01"/>
    <w:rsid w:val="00282B36"/>
    <w:rsid w:val="00282FBD"/>
    <w:rsid w:val="00283FB6"/>
    <w:rsid w:val="00284871"/>
    <w:rsid w:val="00285203"/>
    <w:rsid w:val="00285998"/>
    <w:rsid w:val="00285E42"/>
    <w:rsid w:val="00286DA4"/>
    <w:rsid w:val="00286E3E"/>
    <w:rsid w:val="00287AF5"/>
    <w:rsid w:val="00287C4E"/>
    <w:rsid w:val="002901C9"/>
    <w:rsid w:val="00290255"/>
    <w:rsid w:val="00290AAC"/>
    <w:rsid w:val="00291052"/>
    <w:rsid w:val="002915D2"/>
    <w:rsid w:val="00291A53"/>
    <w:rsid w:val="00291B55"/>
    <w:rsid w:val="00291D16"/>
    <w:rsid w:val="0029204B"/>
    <w:rsid w:val="00293020"/>
    <w:rsid w:val="00293638"/>
    <w:rsid w:val="00293BA1"/>
    <w:rsid w:val="00294C0C"/>
    <w:rsid w:val="00295489"/>
    <w:rsid w:val="002957EE"/>
    <w:rsid w:val="00295DFC"/>
    <w:rsid w:val="00296655"/>
    <w:rsid w:val="00296ADF"/>
    <w:rsid w:val="00296B59"/>
    <w:rsid w:val="002977AE"/>
    <w:rsid w:val="002978FB"/>
    <w:rsid w:val="002A0434"/>
    <w:rsid w:val="002A0B41"/>
    <w:rsid w:val="002A0E59"/>
    <w:rsid w:val="002A1940"/>
    <w:rsid w:val="002A26A3"/>
    <w:rsid w:val="002A368E"/>
    <w:rsid w:val="002A3D10"/>
    <w:rsid w:val="002A3D33"/>
    <w:rsid w:val="002A4896"/>
    <w:rsid w:val="002A56E9"/>
    <w:rsid w:val="002A59EA"/>
    <w:rsid w:val="002A5F18"/>
    <w:rsid w:val="002A66C8"/>
    <w:rsid w:val="002A6BB5"/>
    <w:rsid w:val="002A6C97"/>
    <w:rsid w:val="002A710A"/>
    <w:rsid w:val="002A79D2"/>
    <w:rsid w:val="002A7B88"/>
    <w:rsid w:val="002B03CC"/>
    <w:rsid w:val="002B0559"/>
    <w:rsid w:val="002B06FB"/>
    <w:rsid w:val="002B0778"/>
    <w:rsid w:val="002B0DDE"/>
    <w:rsid w:val="002B0F2C"/>
    <w:rsid w:val="002B344F"/>
    <w:rsid w:val="002B3773"/>
    <w:rsid w:val="002B3890"/>
    <w:rsid w:val="002B3955"/>
    <w:rsid w:val="002B3FA8"/>
    <w:rsid w:val="002B44C5"/>
    <w:rsid w:val="002B4654"/>
    <w:rsid w:val="002B46C2"/>
    <w:rsid w:val="002B591E"/>
    <w:rsid w:val="002B5937"/>
    <w:rsid w:val="002B5978"/>
    <w:rsid w:val="002B5D48"/>
    <w:rsid w:val="002B631F"/>
    <w:rsid w:val="002B7D8F"/>
    <w:rsid w:val="002C0D76"/>
    <w:rsid w:val="002C147F"/>
    <w:rsid w:val="002C2E86"/>
    <w:rsid w:val="002C337C"/>
    <w:rsid w:val="002C38BB"/>
    <w:rsid w:val="002C3ED8"/>
    <w:rsid w:val="002C42D3"/>
    <w:rsid w:val="002C561D"/>
    <w:rsid w:val="002C5672"/>
    <w:rsid w:val="002C602F"/>
    <w:rsid w:val="002C6DAE"/>
    <w:rsid w:val="002C6E71"/>
    <w:rsid w:val="002D05B6"/>
    <w:rsid w:val="002D0ABB"/>
    <w:rsid w:val="002D0D1B"/>
    <w:rsid w:val="002D1021"/>
    <w:rsid w:val="002D14D8"/>
    <w:rsid w:val="002D1D30"/>
    <w:rsid w:val="002D4281"/>
    <w:rsid w:val="002D460E"/>
    <w:rsid w:val="002D5011"/>
    <w:rsid w:val="002D5102"/>
    <w:rsid w:val="002D5513"/>
    <w:rsid w:val="002D5B4E"/>
    <w:rsid w:val="002D649D"/>
    <w:rsid w:val="002D67B9"/>
    <w:rsid w:val="002D6E1E"/>
    <w:rsid w:val="002D7106"/>
    <w:rsid w:val="002D7286"/>
    <w:rsid w:val="002D76F9"/>
    <w:rsid w:val="002D78FA"/>
    <w:rsid w:val="002D7C37"/>
    <w:rsid w:val="002D7FEC"/>
    <w:rsid w:val="002E0164"/>
    <w:rsid w:val="002E032A"/>
    <w:rsid w:val="002E084C"/>
    <w:rsid w:val="002E24D0"/>
    <w:rsid w:val="002E31D5"/>
    <w:rsid w:val="002E37AA"/>
    <w:rsid w:val="002E45C6"/>
    <w:rsid w:val="002E4677"/>
    <w:rsid w:val="002E4AC9"/>
    <w:rsid w:val="002E5326"/>
    <w:rsid w:val="002E5406"/>
    <w:rsid w:val="002E7071"/>
    <w:rsid w:val="002E77B7"/>
    <w:rsid w:val="002F060A"/>
    <w:rsid w:val="002F082D"/>
    <w:rsid w:val="002F3196"/>
    <w:rsid w:val="002F3428"/>
    <w:rsid w:val="002F36AC"/>
    <w:rsid w:val="002F3BDE"/>
    <w:rsid w:val="002F40AD"/>
    <w:rsid w:val="002F43A7"/>
    <w:rsid w:val="002F5D0F"/>
    <w:rsid w:val="002F62CB"/>
    <w:rsid w:val="002F63C1"/>
    <w:rsid w:val="002F6605"/>
    <w:rsid w:val="002F70AA"/>
    <w:rsid w:val="0030011D"/>
    <w:rsid w:val="003001A3"/>
    <w:rsid w:val="003014DC"/>
    <w:rsid w:val="00301FF1"/>
    <w:rsid w:val="0030351C"/>
    <w:rsid w:val="0030475B"/>
    <w:rsid w:val="00304B4C"/>
    <w:rsid w:val="003050D4"/>
    <w:rsid w:val="00305924"/>
    <w:rsid w:val="00306706"/>
    <w:rsid w:val="003068A3"/>
    <w:rsid w:val="00306EC6"/>
    <w:rsid w:val="00307007"/>
    <w:rsid w:val="003077DD"/>
    <w:rsid w:val="003119D2"/>
    <w:rsid w:val="00312032"/>
    <w:rsid w:val="00312173"/>
    <w:rsid w:val="00312695"/>
    <w:rsid w:val="00314F92"/>
    <w:rsid w:val="00315379"/>
    <w:rsid w:val="00315406"/>
    <w:rsid w:val="0031550F"/>
    <w:rsid w:val="00315E58"/>
    <w:rsid w:val="00315EA7"/>
    <w:rsid w:val="00316964"/>
    <w:rsid w:val="00316E4E"/>
    <w:rsid w:val="00317932"/>
    <w:rsid w:val="00320219"/>
    <w:rsid w:val="00321599"/>
    <w:rsid w:val="00321AA8"/>
    <w:rsid w:val="00321E9C"/>
    <w:rsid w:val="00323CFD"/>
    <w:rsid w:val="00323F34"/>
    <w:rsid w:val="0032464B"/>
    <w:rsid w:val="0032537F"/>
    <w:rsid w:val="003272E2"/>
    <w:rsid w:val="0032761B"/>
    <w:rsid w:val="00327DD1"/>
    <w:rsid w:val="00330829"/>
    <w:rsid w:val="0033107B"/>
    <w:rsid w:val="00331187"/>
    <w:rsid w:val="003312A2"/>
    <w:rsid w:val="003314A8"/>
    <w:rsid w:val="003315BC"/>
    <w:rsid w:val="0033233B"/>
    <w:rsid w:val="003331AD"/>
    <w:rsid w:val="003333CB"/>
    <w:rsid w:val="00333ED5"/>
    <w:rsid w:val="00334607"/>
    <w:rsid w:val="00334937"/>
    <w:rsid w:val="00334E88"/>
    <w:rsid w:val="00335245"/>
    <w:rsid w:val="00335C39"/>
    <w:rsid w:val="003363F3"/>
    <w:rsid w:val="00336899"/>
    <w:rsid w:val="00337016"/>
    <w:rsid w:val="00337FB9"/>
    <w:rsid w:val="00340070"/>
    <w:rsid w:val="0034017D"/>
    <w:rsid w:val="00340546"/>
    <w:rsid w:val="0034152B"/>
    <w:rsid w:val="00341E37"/>
    <w:rsid w:val="00341EEF"/>
    <w:rsid w:val="00343039"/>
    <w:rsid w:val="00343196"/>
    <w:rsid w:val="003448AF"/>
    <w:rsid w:val="00344940"/>
    <w:rsid w:val="00344BDA"/>
    <w:rsid w:val="00344FE4"/>
    <w:rsid w:val="003451ED"/>
    <w:rsid w:val="00345814"/>
    <w:rsid w:val="003458FD"/>
    <w:rsid w:val="0034602A"/>
    <w:rsid w:val="00347515"/>
    <w:rsid w:val="003478FB"/>
    <w:rsid w:val="0035101E"/>
    <w:rsid w:val="0035126D"/>
    <w:rsid w:val="00351BD0"/>
    <w:rsid w:val="0035257E"/>
    <w:rsid w:val="00352903"/>
    <w:rsid w:val="003529F5"/>
    <w:rsid w:val="00352BB7"/>
    <w:rsid w:val="00353175"/>
    <w:rsid w:val="00353CE3"/>
    <w:rsid w:val="00353D73"/>
    <w:rsid w:val="003542F1"/>
    <w:rsid w:val="003548CC"/>
    <w:rsid w:val="00354A68"/>
    <w:rsid w:val="0035541E"/>
    <w:rsid w:val="00355743"/>
    <w:rsid w:val="00355D20"/>
    <w:rsid w:val="00356116"/>
    <w:rsid w:val="003562F0"/>
    <w:rsid w:val="00357180"/>
    <w:rsid w:val="0035731D"/>
    <w:rsid w:val="0036112D"/>
    <w:rsid w:val="0036229C"/>
    <w:rsid w:val="00362322"/>
    <w:rsid w:val="00362674"/>
    <w:rsid w:val="00364A62"/>
    <w:rsid w:val="00364CEA"/>
    <w:rsid w:val="00364EB2"/>
    <w:rsid w:val="003656BC"/>
    <w:rsid w:val="00365B36"/>
    <w:rsid w:val="00365CA9"/>
    <w:rsid w:val="00366054"/>
    <w:rsid w:val="00366152"/>
    <w:rsid w:val="003663C9"/>
    <w:rsid w:val="00366B04"/>
    <w:rsid w:val="00366D60"/>
    <w:rsid w:val="00367549"/>
    <w:rsid w:val="003677EB"/>
    <w:rsid w:val="0036783B"/>
    <w:rsid w:val="00367CE4"/>
    <w:rsid w:val="00367E28"/>
    <w:rsid w:val="00370AC5"/>
    <w:rsid w:val="00370E88"/>
    <w:rsid w:val="0037329B"/>
    <w:rsid w:val="00373847"/>
    <w:rsid w:val="00373951"/>
    <w:rsid w:val="00373DE8"/>
    <w:rsid w:val="00373E63"/>
    <w:rsid w:val="00374268"/>
    <w:rsid w:val="003743DD"/>
    <w:rsid w:val="00374A64"/>
    <w:rsid w:val="00374CA9"/>
    <w:rsid w:val="00374E52"/>
    <w:rsid w:val="00375C3D"/>
    <w:rsid w:val="00376037"/>
    <w:rsid w:val="00376234"/>
    <w:rsid w:val="00376BD9"/>
    <w:rsid w:val="0037706A"/>
    <w:rsid w:val="003778CB"/>
    <w:rsid w:val="003804AB"/>
    <w:rsid w:val="003807A5"/>
    <w:rsid w:val="003807F9"/>
    <w:rsid w:val="00380DEB"/>
    <w:rsid w:val="00382CD3"/>
    <w:rsid w:val="00382CE9"/>
    <w:rsid w:val="00382E87"/>
    <w:rsid w:val="00383880"/>
    <w:rsid w:val="00383BD4"/>
    <w:rsid w:val="00383F11"/>
    <w:rsid w:val="003840E0"/>
    <w:rsid w:val="003844E5"/>
    <w:rsid w:val="00384EB3"/>
    <w:rsid w:val="003850F9"/>
    <w:rsid w:val="00385490"/>
    <w:rsid w:val="00385568"/>
    <w:rsid w:val="003855CC"/>
    <w:rsid w:val="003858CE"/>
    <w:rsid w:val="00385B5B"/>
    <w:rsid w:val="00385DC3"/>
    <w:rsid w:val="0038607F"/>
    <w:rsid w:val="0038688C"/>
    <w:rsid w:val="00386ACD"/>
    <w:rsid w:val="00387061"/>
    <w:rsid w:val="00387343"/>
    <w:rsid w:val="003874C6"/>
    <w:rsid w:val="0038783C"/>
    <w:rsid w:val="00390F8A"/>
    <w:rsid w:val="00391645"/>
    <w:rsid w:val="00391672"/>
    <w:rsid w:val="003926AD"/>
    <w:rsid w:val="0039273E"/>
    <w:rsid w:val="00393100"/>
    <w:rsid w:val="0039327B"/>
    <w:rsid w:val="00393333"/>
    <w:rsid w:val="003936E4"/>
    <w:rsid w:val="00394200"/>
    <w:rsid w:val="003944B6"/>
    <w:rsid w:val="00394AE9"/>
    <w:rsid w:val="00394B17"/>
    <w:rsid w:val="00395593"/>
    <w:rsid w:val="003959A4"/>
    <w:rsid w:val="00396660"/>
    <w:rsid w:val="00396876"/>
    <w:rsid w:val="00396AE0"/>
    <w:rsid w:val="00396D9B"/>
    <w:rsid w:val="00397DCB"/>
    <w:rsid w:val="003A130C"/>
    <w:rsid w:val="003A1A86"/>
    <w:rsid w:val="003A1CC3"/>
    <w:rsid w:val="003A2451"/>
    <w:rsid w:val="003A271E"/>
    <w:rsid w:val="003A2EB1"/>
    <w:rsid w:val="003A4AD8"/>
    <w:rsid w:val="003A4B98"/>
    <w:rsid w:val="003A4C58"/>
    <w:rsid w:val="003A4F5C"/>
    <w:rsid w:val="003A56C7"/>
    <w:rsid w:val="003A5848"/>
    <w:rsid w:val="003A599A"/>
    <w:rsid w:val="003A5F7C"/>
    <w:rsid w:val="003A6C2F"/>
    <w:rsid w:val="003A73B4"/>
    <w:rsid w:val="003A7D45"/>
    <w:rsid w:val="003A7F44"/>
    <w:rsid w:val="003A7F70"/>
    <w:rsid w:val="003B005C"/>
    <w:rsid w:val="003B0C51"/>
    <w:rsid w:val="003B0D42"/>
    <w:rsid w:val="003B0FEA"/>
    <w:rsid w:val="003B1040"/>
    <w:rsid w:val="003B1147"/>
    <w:rsid w:val="003B116C"/>
    <w:rsid w:val="003B159A"/>
    <w:rsid w:val="003B1BDA"/>
    <w:rsid w:val="003B22F9"/>
    <w:rsid w:val="003B2688"/>
    <w:rsid w:val="003B2A8A"/>
    <w:rsid w:val="003B2D45"/>
    <w:rsid w:val="003B2E0E"/>
    <w:rsid w:val="003B3D3D"/>
    <w:rsid w:val="003B4D0A"/>
    <w:rsid w:val="003B4DFA"/>
    <w:rsid w:val="003B5427"/>
    <w:rsid w:val="003B5F73"/>
    <w:rsid w:val="003B5FFA"/>
    <w:rsid w:val="003B64A5"/>
    <w:rsid w:val="003B68D8"/>
    <w:rsid w:val="003B7417"/>
    <w:rsid w:val="003B7CD1"/>
    <w:rsid w:val="003B7D54"/>
    <w:rsid w:val="003B7E42"/>
    <w:rsid w:val="003B7F7C"/>
    <w:rsid w:val="003C0B37"/>
    <w:rsid w:val="003C2270"/>
    <w:rsid w:val="003C39B8"/>
    <w:rsid w:val="003C3E4B"/>
    <w:rsid w:val="003C4E18"/>
    <w:rsid w:val="003C5C57"/>
    <w:rsid w:val="003C5D9A"/>
    <w:rsid w:val="003C76ED"/>
    <w:rsid w:val="003C7F2A"/>
    <w:rsid w:val="003D0A96"/>
    <w:rsid w:val="003D0BE8"/>
    <w:rsid w:val="003D1AC8"/>
    <w:rsid w:val="003D1F89"/>
    <w:rsid w:val="003D2EFD"/>
    <w:rsid w:val="003D36DB"/>
    <w:rsid w:val="003D39EE"/>
    <w:rsid w:val="003D431F"/>
    <w:rsid w:val="003D5247"/>
    <w:rsid w:val="003D5710"/>
    <w:rsid w:val="003D64E2"/>
    <w:rsid w:val="003D65E1"/>
    <w:rsid w:val="003D6DA2"/>
    <w:rsid w:val="003D6F78"/>
    <w:rsid w:val="003D7EE3"/>
    <w:rsid w:val="003D7F2F"/>
    <w:rsid w:val="003E0B22"/>
    <w:rsid w:val="003E1592"/>
    <w:rsid w:val="003E193D"/>
    <w:rsid w:val="003E1D01"/>
    <w:rsid w:val="003E217A"/>
    <w:rsid w:val="003E2ADD"/>
    <w:rsid w:val="003E2B65"/>
    <w:rsid w:val="003E2BA4"/>
    <w:rsid w:val="003E31F6"/>
    <w:rsid w:val="003E33F8"/>
    <w:rsid w:val="003E35C2"/>
    <w:rsid w:val="003E396C"/>
    <w:rsid w:val="003E3A2D"/>
    <w:rsid w:val="003E4990"/>
    <w:rsid w:val="003E5473"/>
    <w:rsid w:val="003E5C63"/>
    <w:rsid w:val="003E6AAA"/>
    <w:rsid w:val="003E6D93"/>
    <w:rsid w:val="003E7365"/>
    <w:rsid w:val="003E7B38"/>
    <w:rsid w:val="003E7FB5"/>
    <w:rsid w:val="003F0130"/>
    <w:rsid w:val="003F0314"/>
    <w:rsid w:val="003F058C"/>
    <w:rsid w:val="003F090C"/>
    <w:rsid w:val="003F166C"/>
    <w:rsid w:val="003F18D2"/>
    <w:rsid w:val="003F1B14"/>
    <w:rsid w:val="003F1D22"/>
    <w:rsid w:val="003F1E59"/>
    <w:rsid w:val="003F26A8"/>
    <w:rsid w:val="003F2F27"/>
    <w:rsid w:val="003F3B96"/>
    <w:rsid w:val="003F458C"/>
    <w:rsid w:val="003F492A"/>
    <w:rsid w:val="003F5ADE"/>
    <w:rsid w:val="003F5FD3"/>
    <w:rsid w:val="003F621A"/>
    <w:rsid w:val="003F64E1"/>
    <w:rsid w:val="003F65C2"/>
    <w:rsid w:val="003F6727"/>
    <w:rsid w:val="003F6756"/>
    <w:rsid w:val="003F6AB1"/>
    <w:rsid w:val="003F6BA9"/>
    <w:rsid w:val="003F6DB4"/>
    <w:rsid w:val="003F6FBB"/>
    <w:rsid w:val="003F78EE"/>
    <w:rsid w:val="00400465"/>
    <w:rsid w:val="00400DD3"/>
    <w:rsid w:val="00400DE5"/>
    <w:rsid w:val="00400E66"/>
    <w:rsid w:val="0040116F"/>
    <w:rsid w:val="004016AB"/>
    <w:rsid w:val="00402400"/>
    <w:rsid w:val="004029BB"/>
    <w:rsid w:val="00402B00"/>
    <w:rsid w:val="00403101"/>
    <w:rsid w:val="0040366D"/>
    <w:rsid w:val="00404473"/>
    <w:rsid w:val="0040469A"/>
    <w:rsid w:val="00404841"/>
    <w:rsid w:val="004049B7"/>
    <w:rsid w:val="004051C1"/>
    <w:rsid w:val="0040551F"/>
    <w:rsid w:val="00405C37"/>
    <w:rsid w:val="00405D6D"/>
    <w:rsid w:val="00405F89"/>
    <w:rsid w:val="004060F9"/>
    <w:rsid w:val="00406782"/>
    <w:rsid w:val="00406C8E"/>
    <w:rsid w:val="00406D35"/>
    <w:rsid w:val="00407C0D"/>
    <w:rsid w:val="00407E3C"/>
    <w:rsid w:val="00411E9B"/>
    <w:rsid w:val="00411FE9"/>
    <w:rsid w:val="0041390C"/>
    <w:rsid w:val="00413A61"/>
    <w:rsid w:val="00414072"/>
    <w:rsid w:val="0041424F"/>
    <w:rsid w:val="004146F9"/>
    <w:rsid w:val="00414F5D"/>
    <w:rsid w:val="0041519D"/>
    <w:rsid w:val="004155C8"/>
    <w:rsid w:val="00415D75"/>
    <w:rsid w:val="004168F4"/>
    <w:rsid w:val="00416D9C"/>
    <w:rsid w:val="0041742C"/>
    <w:rsid w:val="004174E7"/>
    <w:rsid w:val="00420B94"/>
    <w:rsid w:val="0042112A"/>
    <w:rsid w:val="0042147B"/>
    <w:rsid w:val="004214AC"/>
    <w:rsid w:val="004222FA"/>
    <w:rsid w:val="0042350D"/>
    <w:rsid w:val="00423D6C"/>
    <w:rsid w:val="00423EF0"/>
    <w:rsid w:val="004243DC"/>
    <w:rsid w:val="004248C0"/>
    <w:rsid w:val="00424C3F"/>
    <w:rsid w:val="004251F3"/>
    <w:rsid w:val="0042577D"/>
    <w:rsid w:val="004258AC"/>
    <w:rsid w:val="00425D13"/>
    <w:rsid w:val="00425FFE"/>
    <w:rsid w:val="00426236"/>
    <w:rsid w:val="00426390"/>
    <w:rsid w:val="00426D00"/>
    <w:rsid w:val="004275C8"/>
    <w:rsid w:val="00427933"/>
    <w:rsid w:val="00427E7B"/>
    <w:rsid w:val="00427F1C"/>
    <w:rsid w:val="00430310"/>
    <w:rsid w:val="00430947"/>
    <w:rsid w:val="00431166"/>
    <w:rsid w:val="00431676"/>
    <w:rsid w:val="004316F7"/>
    <w:rsid w:val="00431FB3"/>
    <w:rsid w:val="00432DB8"/>
    <w:rsid w:val="00432E7F"/>
    <w:rsid w:val="00433520"/>
    <w:rsid w:val="00433F95"/>
    <w:rsid w:val="00433FE6"/>
    <w:rsid w:val="0043463A"/>
    <w:rsid w:val="0043480D"/>
    <w:rsid w:val="00435423"/>
    <w:rsid w:val="004356D5"/>
    <w:rsid w:val="00435B38"/>
    <w:rsid w:val="00435CCA"/>
    <w:rsid w:val="0043672F"/>
    <w:rsid w:val="00436CC0"/>
    <w:rsid w:val="004372F6"/>
    <w:rsid w:val="00437BBD"/>
    <w:rsid w:val="00437CB6"/>
    <w:rsid w:val="004407D6"/>
    <w:rsid w:val="004408C9"/>
    <w:rsid w:val="00440C14"/>
    <w:rsid w:val="00440D4C"/>
    <w:rsid w:val="00440FB2"/>
    <w:rsid w:val="00441504"/>
    <w:rsid w:val="00441A56"/>
    <w:rsid w:val="004421A6"/>
    <w:rsid w:val="0044242E"/>
    <w:rsid w:val="0044262C"/>
    <w:rsid w:val="004438CD"/>
    <w:rsid w:val="0044421E"/>
    <w:rsid w:val="004448D1"/>
    <w:rsid w:val="00444F1D"/>
    <w:rsid w:val="0044578E"/>
    <w:rsid w:val="00445DFC"/>
    <w:rsid w:val="00446186"/>
    <w:rsid w:val="00446810"/>
    <w:rsid w:val="00446F2B"/>
    <w:rsid w:val="0044754D"/>
    <w:rsid w:val="00447861"/>
    <w:rsid w:val="00447A71"/>
    <w:rsid w:val="00447B69"/>
    <w:rsid w:val="00447BF8"/>
    <w:rsid w:val="00447C12"/>
    <w:rsid w:val="004501BC"/>
    <w:rsid w:val="00450C79"/>
    <w:rsid w:val="0045139C"/>
    <w:rsid w:val="004517AF"/>
    <w:rsid w:val="00452B84"/>
    <w:rsid w:val="00454751"/>
    <w:rsid w:val="00454801"/>
    <w:rsid w:val="00455047"/>
    <w:rsid w:val="004553F6"/>
    <w:rsid w:val="00455E52"/>
    <w:rsid w:val="00456EF3"/>
    <w:rsid w:val="00457ACD"/>
    <w:rsid w:val="00457C59"/>
    <w:rsid w:val="004608B3"/>
    <w:rsid w:val="00460F51"/>
    <w:rsid w:val="004610CF"/>
    <w:rsid w:val="00461535"/>
    <w:rsid w:val="00461D3C"/>
    <w:rsid w:val="004620CD"/>
    <w:rsid w:val="00463654"/>
    <w:rsid w:val="0046366D"/>
    <w:rsid w:val="00464546"/>
    <w:rsid w:val="0046547A"/>
    <w:rsid w:val="00465555"/>
    <w:rsid w:val="00465FF5"/>
    <w:rsid w:val="00466528"/>
    <w:rsid w:val="004667D8"/>
    <w:rsid w:val="0046700B"/>
    <w:rsid w:val="0046774D"/>
    <w:rsid w:val="00467B42"/>
    <w:rsid w:val="00470031"/>
    <w:rsid w:val="00470EBD"/>
    <w:rsid w:val="00471237"/>
    <w:rsid w:val="00471568"/>
    <w:rsid w:val="00471D85"/>
    <w:rsid w:val="00471EFF"/>
    <w:rsid w:val="004721FF"/>
    <w:rsid w:val="004730B8"/>
    <w:rsid w:val="00474A9B"/>
    <w:rsid w:val="00474CE7"/>
    <w:rsid w:val="00474F4F"/>
    <w:rsid w:val="0047533F"/>
    <w:rsid w:val="00475EE7"/>
    <w:rsid w:val="0047635E"/>
    <w:rsid w:val="00477053"/>
    <w:rsid w:val="0047725A"/>
    <w:rsid w:val="00477391"/>
    <w:rsid w:val="004774EA"/>
    <w:rsid w:val="004774F9"/>
    <w:rsid w:val="00477C37"/>
    <w:rsid w:val="00477DBE"/>
    <w:rsid w:val="00480334"/>
    <w:rsid w:val="00480405"/>
    <w:rsid w:val="00480C3D"/>
    <w:rsid w:val="00480CC1"/>
    <w:rsid w:val="00481B30"/>
    <w:rsid w:val="00481E14"/>
    <w:rsid w:val="00483DFE"/>
    <w:rsid w:val="0048461E"/>
    <w:rsid w:val="00484DF1"/>
    <w:rsid w:val="0048505E"/>
    <w:rsid w:val="00485096"/>
    <w:rsid w:val="00485174"/>
    <w:rsid w:val="0048532A"/>
    <w:rsid w:val="004856A5"/>
    <w:rsid w:val="0048594C"/>
    <w:rsid w:val="0048599C"/>
    <w:rsid w:val="00485BA5"/>
    <w:rsid w:val="0048601F"/>
    <w:rsid w:val="00487171"/>
    <w:rsid w:val="00487357"/>
    <w:rsid w:val="00487443"/>
    <w:rsid w:val="004879ED"/>
    <w:rsid w:val="00487BEB"/>
    <w:rsid w:val="00487D9F"/>
    <w:rsid w:val="00487DB9"/>
    <w:rsid w:val="00487E4A"/>
    <w:rsid w:val="00487FA1"/>
    <w:rsid w:val="00490131"/>
    <w:rsid w:val="004901C2"/>
    <w:rsid w:val="0049100C"/>
    <w:rsid w:val="004910A2"/>
    <w:rsid w:val="004911A0"/>
    <w:rsid w:val="0049158A"/>
    <w:rsid w:val="00491B49"/>
    <w:rsid w:val="00492084"/>
    <w:rsid w:val="0049345B"/>
    <w:rsid w:val="0049356B"/>
    <w:rsid w:val="004945BD"/>
    <w:rsid w:val="004946E0"/>
    <w:rsid w:val="00494CCD"/>
    <w:rsid w:val="00495854"/>
    <w:rsid w:val="00495889"/>
    <w:rsid w:val="004960B5"/>
    <w:rsid w:val="00496165"/>
    <w:rsid w:val="004964EE"/>
    <w:rsid w:val="004965F1"/>
    <w:rsid w:val="004966F7"/>
    <w:rsid w:val="004966FB"/>
    <w:rsid w:val="00496C7D"/>
    <w:rsid w:val="00496E5D"/>
    <w:rsid w:val="0049733F"/>
    <w:rsid w:val="00497805"/>
    <w:rsid w:val="00497F64"/>
    <w:rsid w:val="004A0DE3"/>
    <w:rsid w:val="004A16F7"/>
    <w:rsid w:val="004A1B51"/>
    <w:rsid w:val="004A2E84"/>
    <w:rsid w:val="004A318E"/>
    <w:rsid w:val="004A3312"/>
    <w:rsid w:val="004A3EAD"/>
    <w:rsid w:val="004A45DA"/>
    <w:rsid w:val="004A58BA"/>
    <w:rsid w:val="004A747C"/>
    <w:rsid w:val="004A7AE1"/>
    <w:rsid w:val="004A7B3F"/>
    <w:rsid w:val="004A7CD2"/>
    <w:rsid w:val="004B0F4B"/>
    <w:rsid w:val="004B2749"/>
    <w:rsid w:val="004B275E"/>
    <w:rsid w:val="004B3384"/>
    <w:rsid w:val="004B356E"/>
    <w:rsid w:val="004B39ED"/>
    <w:rsid w:val="004B4B25"/>
    <w:rsid w:val="004B4B54"/>
    <w:rsid w:val="004B4BCF"/>
    <w:rsid w:val="004B4D1D"/>
    <w:rsid w:val="004B5B07"/>
    <w:rsid w:val="004B6417"/>
    <w:rsid w:val="004C0122"/>
    <w:rsid w:val="004C0235"/>
    <w:rsid w:val="004C1290"/>
    <w:rsid w:val="004C1588"/>
    <w:rsid w:val="004C160B"/>
    <w:rsid w:val="004C1673"/>
    <w:rsid w:val="004C16A3"/>
    <w:rsid w:val="004C22C6"/>
    <w:rsid w:val="004C3C6D"/>
    <w:rsid w:val="004C3D81"/>
    <w:rsid w:val="004C54C9"/>
    <w:rsid w:val="004C5AD3"/>
    <w:rsid w:val="004C5BF4"/>
    <w:rsid w:val="004C6469"/>
    <w:rsid w:val="004C6615"/>
    <w:rsid w:val="004C6A9C"/>
    <w:rsid w:val="004C6B99"/>
    <w:rsid w:val="004C6FF1"/>
    <w:rsid w:val="004C72A2"/>
    <w:rsid w:val="004C72AF"/>
    <w:rsid w:val="004D0997"/>
    <w:rsid w:val="004D0C15"/>
    <w:rsid w:val="004D1933"/>
    <w:rsid w:val="004D1C81"/>
    <w:rsid w:val="004D22FB"/>
    <w:rsid w:val="004D23D5"/>
    <w:rsid w:val="004D2507"/>
    <w:rsid w:val="004D2971"/>
    <w:rsid w:val="004D2B31"/>
    <w:rsid w:val="004D3119"/>
    <w:rsid w:val="004D33D1"/>
    <w:rsid w:val="004D372F"/>
    <w:rsid w:val="004D3C81"/>
    <w:rsid w:val="004D3E63"/>
    <w:rsid w:val="004D3F0D"/>
    <w:rsid w:val="004D46EB"/>
    <w:rsid w:val="004D4EFB"/>
    <w:rsid w:val="004D51EA"/>
    <w:rsid w:val="004D5225"/>
    <w:rsid w:val="004D5670"/>
    <w:rsid w:val="004D5B74"/>
    <w:rsid w:val="004D678A"/>
    <w:rsid w:val="004D6D6F"/>
    <w:rsid w:val="004D7650"/>
    <w:rsid w:val="004D78A9"/>
    <w:rsid w:val="004D7E36"/>
    <w:rsid w:val="004E00FD"/>
    <w:rsid w:val="004E076C"/>
    <w:rsid w:val="004E08B5"/>
    <w:rsid w:val="004E1540"/>
    <w:rsid w:val="004E2454"/>
    <w:rsid w:val="004E25F4"/>
    <w:rsid w:val="004E26C0"/>
    <w:rsid w:val="004E2CC5"/>
    <w:rsid w:val="004E2E1A"/>
    <w:rsid w:val="004E40FB"/>
    <w:rsid w:val="004E4AD5"/>
    <w:rsid w:val="004E538D"/>
    <w:rsid w:val="004E5CA9"/>
    <w:rsid w:val="004E5EC3"/>
    <w:rsid w:val="004E6214"/>
    <w:rsid w:val="004E62FA"/>
    <w:rsid w:val="004E7378"/>
    <w:rsid w:val="004E7DF1"/>
    <w:rsid w:val="004F09ED"/>
    <w:rsid w:val="004F0F3E"/>
    <w:rsid w:val="004F1053"/>
    <w:rsid w:val="004F1662"/>
    <w:rsid w:val="004F1872"/>
    <w:rsid w:val="004F25F6"/>
    <w:rsid w:val="004F260C"/>
    <w:rsid w:val="004F266D"/>
    <w:rsid w:val="004F288C"/>
    <w:rsid w:val="004F2BE3"/>
    <w:rsid w:val="004F38FC"/>
    <w:rsid w:val="004F3C08"/>
    <w:rsid w:val="004F3D31"/>
    <w:rsid w:val="004F466C"/>
    <w:rsid w:val="004F54A2"/>
    <w:rsid w:val="004F62F9"/>
    <w:rsid w:val="004F645E"/>
    <w:rsid w:val="004F6617"/>
    <w:rsid w:val="004F6889"/>
    <w:rsid w:val="004F6E9A"/>
    <w:rsid w:val="004F705E"/>
    <w:rsid w:val="004F7A5E"/>
    <w:rsid w:val="004F7E10"/>
    <w:rsid w:val="0050010C"/>
    <w:rsid w:val="00501109"/>
    <w:rsid w:val="00501B23"/>
    <w:rsid w:val="00501BD9"/>
    <w:rsid w:val="00501C8D"/>
    <w:rsid w:val="00502BD2"/>
    <w:rsid w:val="00502FA8"/>
    <w:rsid w:val="00502FC5"/>
    <w:rsid w:val="005034BB"/>
    <w:rsid w:val="00503CE0"/>
    <w:rsid w:val="00503DAD"/>
    <w:rsid w:val="0050400E"/>
    <w:rsid w:val="005041E7"/>
    <w:rsid w:val="0050450D"/>
    <w:rsid w:val="0050550D"/>
    <w:rsid w:val="0050584F"/>
    <w:rsid w:val="00505E56"/>
    <w:rsid w:val="00506E58"/>
    <w:rsid w:val="00507640"/>
    <w:rsid w:val="0050798F"/>
    <w:rsid w:val="00507F59"/>
    <w:rsid w:val="00510461"/>
    <w:rsid w:val="00510CCB"/>
    <w:rsid w:val="005113BA"/>
    <w:rsid w:val="00511550"/>
    <w:rsid w:val="005133C2"/>
    <w:rsid w:val="005139FA"/>
    <w:rsid w:val="00513F8E"/>
    <w:rsid w:val="0051424F"/>
    <w:rsid w:val="005145C6"/>
    <w:rsid w:val="005147B5"/>
    <w:rsid w:val="0051582D"/>
    <w:rsid w:val="00515A24"/>
    <w:rsid w:val="00515C6D"/>
    <w:rsid w:val="005164D0"/>
    <w:rsid w:val="0051702C"/>
    <w:rsid w:val="00517C5F"/>
    <w:rsid w:val="00517D4F"/>
    <w:rsid w:val="00520E00"/>
    <w:rsid w:val="00521994"/>
    <w:rsid w:val="005221FC"/>
    <w:rsid w:val="00522E79"/>
    <w:rsid w:val="00522F4B"/>
    <w:rsid w:val="005230B6"/>
    <w:rsid w:val="005237FD"/>
    <w:rsid w:val="0052455B"/>
    <w:rsid w:val="00524822"/>
    <w:rsid w:val="00524CD3"/>
    <w:rsid w:val="0052552A"/>
    <w:rsid w:val="00525D9A"/>
    <w:rsid w:val="00525FE4"/>
    <w:rsid w:val="00526075"/>
    <w:rsid w:val="005267F5"/>
    <w:rsid w:val="00526B56"/>
    <w:rsid w:val="00526BB5"/>
    <w:rsid w:val="00527C31"/>
    <w:rsid w:val="00530590"/>
    <w:rsid w:val="0053069C"/>
    <w:rsid w:val="00530E16"/>
    <w:rsid w:val="00531FD5"/>
    <w:rsid w:val="00532210"/>
    <w:rsid w:val="0053228F"/>
    <w:rsid w:val="00532FEB"/>
    <w:rsid w:val="005331FB"/>
    <w:rsid w:val="005338AB"/>
    <w:rsid w:val="00534995"/>
    <w:rsid w:val="00535558"/>
    <w:rsid w:val="005357C2"/>
    <w:rsid w:val="00537053"/>
    <w:rsid w:val="0053799C"/>
    <w:rsid w:val="00537F95"/>
    <w:rsid w:val="0054083E"/>
    <w:rsid w:val="0054276B"/>
    <w:rsid w:val="0054288B"/>
    <w:rsid w:val="00543646"/>
    <w:rsid w:val="00543748"/>
    <w:rsid w:val="005437F6"/>
    <w:rsid w:val="00543DD2"/>
    <w:rsid w:val="00544FD2"/>
    <w:rsid w:val="005454A8"/>
    <w:rsid w:val="00545914"/>
    <w:rsid w:val="00545FD5"/>
    <w:rsid w:val="0054632F"/>
    <w:rsid w:val="0054650F"/>
    <w:rsid w:val="00546836"/>
    <w:rsid w:val="005470BF"/>
    <w:rsid w:val="005472C7"/>
    <w:rsid w:val="005475FE"/>
    <w:rsid w:val="00547AA9"/>
    <w:rsid w:val="00547AAD"/>
    <w:rsid w:val="00550662"/>
    <w:rsid w:val="00550CC1"/>
    <w:rsid w:val="00551677"/>
    <w:rsid w:val="005531B8"/>
    <w:rsid w:val="00553582"/>
    <w:rsid w:val="00553D9D"/>
    <w:rsid w:val="00554197"/>
    <w:rsid w:val="00554D9B"/>
    <w:rsid w:val="00555663"/>
    <w:rsid w:val="00555671"/>
    <w:rsid w:val="00555B14"/>
    <w:rsid w:val="005565F6"/>
    <w:rsid w:val="0055681F"/>
    <w:rsid w:val="00556D86"/>
    <w:rsid w:val="0055721F"/>
    <w:rsid w:val="0055724C"/>
    <w:rsid w:val="0056034F"/>
    <w:rsid w:val="005604EC"/>
    <w:rsid w:val="005609CA"/>
    <w:rsid w:val="00561083"/>
    <w:rsid w:val="0056113D"/>
    <w:rsid w:val="00561415"/>
    <w:rsid w:val="0056182B"/>
    <w:rsid w:val="00561B97"/>
    <w:rsid w:val="00562453"/>
    <w:rsid w:val="00562E62"/>
    <w:rsid w:val="005633C7"/>
    <w:rsid w:val="00563A25"/>
    <w:rsid w:val="00563EB0"/>
    <w:rsid w:val="00564764"/>
    <w:rsid w:val="00564898"/>
    <w:rsid w:val="00565B5E"/>
    <w:rsid w:val="00566480"/>
    <w:rsid w:val="00567237"/>
    <w:rsid w:val="00567375"/>
    <w:rsid w:val="005702E2"/>
    <w:rsid w:val="005705E1"/>
    <w:rsid w:val="0057093C"/>
    <w:rsid w:val="005714D8"/>
    <w:rsid w:val="00571B93"/>
    <w:rsid w:val="0057239E"/>
    <w:rsid w:val="0057264E"/>
    <w:rsid w:val="005726CA"/>
    <w:rsid w:val="005727D4"/>
    <w:rsid w:val="005732D6"/>
    <w:rsid w:val="0057330A"/>
    <w:rsid w:val="005733E8"/>
    <w:rsid w:val="00573577"/>
    <w:rsid w:val="00573628"/>
    <w:rsid w:val="00573AF7"/>
    <w:rsid w:val="005754B1"/>
    <w:rsid w:val="00575C6D"/>
    <w:rsid w:val="00576995"/>
    <w:rsid w:val="00577202"/>
    <w:rsid w:val="005772A8"/>
    <w:rsid w:val="00577D88"/>
    <w:rsid w:val="005801E1"/>
    <w:rsid w:val="0058150C"/>
    <w:rsid w:val="005817F8"/>
    <w:rsid w:val="00581CE0"/>
    <w:rsid w:val="00582292"/>
    <w:rsid w:val="00582544"/>
    <w:rsid w:val="00582A88"/>
    <w:rsid w:val="00582DE2"/>
    <w:rsid w:val="00583202"/>
    <w:rsid w:val="00583417"/>
    <w:rsid w:val="00583500"/>
    <w:rsid w:val="0058369A"/>
    <w:rsid w:val="005847DB"/>
    <w:rsid w:val="00584E2C"/>
    <w:rsid w:val="005852B5"/>
    <w:rsid w:val="00585593"/>
    <w:rsid w:val="00585BFC"/>
    <w:rsid w:val="00585C7B"/>
    <w:rsid w:val="005861F1"/>
    <w:rsid w:val="0058622D"/>
    <w:rsid w:val="00586370"/>
    <w:rsid w:val="00586C8F"/>
    <w:rsid w:val="005874F9"/>
    <w:rsid w:val="00587AA5"/>
    <w:rsid w:val="00590676"/>
    <w:rsid w:val="00590B67"/>
    <w:rsid w:val="00590F0A"/>
    <w:rsid w:val="00591D05"/>
    <w:rsid w:val="0059204C"/>
    <w:rsid w:val="0059231A"/>
    <w:rsid w:val="00592620"/>
    <w:rsid w:val="00592847"/>
    <w:rsid w:val="00592A36"/>
    <w:rsid w:val="00593328"/>
    <w:rsid w:val="00593F77"/>
    <w:rsid w:val="0059486E"/>
    <w:rsid w:val="00594AC2"/>
    <w:rsid w:val="00594ACA"/>
    <w:rsid w:val="00594B4F"/>
    <w:rsid w:val="00594E04"/>
    <w:rsid w:val="005955CD"/>
    <w:rsid w:val="00595670"/>
    <w:rsid w:val="00596071"/>
    <w:rsid w:val="00596705"/>
    <w:rsid w:val="00596BFA"/>
    <w:rsid w:val="00596D1E"/>
    <w:rsid w:val="0059738A"/>
    <w:rsid w:val="00597884"/>
    <w:rsid w:val="005979F9"/>
    <w:rsid w:val="005A1D18"/>
    <w:rsid w:val="005A1DFF"/>
    <w:rsid w:val="005A265B"/>
    <w:rsid w:val="005A31CE"/>
    <w:rsid w:val="005A32CF"/>
    <w:rsid w:val="005A4722"/>
    <w:rsid w:val="005A4ABF"/>
    <w:rsid w:val="005A51FE"/>
    <w:rsid w:val="005A72CA"/>
    <w:rsid w:val="005A785A"/>
    <w:rsid w:val="005A7B15"/>
    <w:rsid w:val="005A7B66"/>
    <w:rsid w:val="005A7F55"/>
    <w:rsid w:val="005B0540"/>
    <w:rsid w:val="005B0889"/>
    <w:rsid w:val="005B0D84"/>
    <w:rsid w:val="005B13DF"/>
    <w:rsid w:val="005B27B1"/>
    <w:rsid w:val="005B2C77"/>
    <w:rsid w:val="005B3500"/>
    <w:rsid w:val="005B352E"/>
    <w:rsid w:val="005B3B73"/>
    <w:rsid w:val="005B413D"/>
    <w:rsid w:val="005B4654"/>
    <w:rsid w:val="005B4F90"/>
    <w:rsid w:val="005B5B86"/>
    <w:rsid w:val="005B5CD1"/>
    <w:rsid w:val="005B6392"/>
    <w:rsid w:val="005B6E4D"/>
    <w:rsid w:val="005B7088"/>
    <w:rsid w:val="005B78F6"/>
    <w:rsid w:val="005B7D51"/>
    <w:rsid w:val="005C00FC"/>
    <w:rsid w:val="005C1014"/>
    <w:rsid w:val="005C103D"/>
    <w:rsid w:val="005C161F"/>
    <w:rsid w:val="005C1F9A"/>
    <w:rsid w:val="005C2384"/>
    <w:rsid w:val="005C2433"/>
    <w:rsid w:val="005C24A8"/>
    <w:rsid w:val="005C2526"/>
    <w:rsid w:val="005C2CEA"/>
    <w:rsid w:val="005C383A"/>
    <w:rsid w:val="005C3F49"/>
    <w:rsid w:val="005C441B"/>
    <w:rsid w:val="005C5A4C"/>
    <w:rsid w:val="005C5C18"/>
    <w:rsid w:val="005C60C3"/>
    <w:rsid w:val="005C60DF"/>
    <w:rsid w:val="005C6830"/>
    <w:rsid w:val="005C6CD5"/>
    <w:rsid w:val="005C768C"/>
    <w:rsid w:val="005C7B82"/>
    <w:rsid w:val="005D01B9"/>
    <w:rsid w:val="005D03F3"/>
    <w:rsid w:val="005D0532"/>
    <w:rsid w:val="005D0B4C"/>
    <w:rsid w:val="005D0DF9"/>
    <w:rsid w:val="005D0FE6"/>
    <w:rsid w:val="005D1010"/>
    <w:rsid w:val="005D17C6"/>
    <w:rsid w:val="005D1D02"/>
    <w:rsid w:val="005D1FEF"/>
    <w:rsid w:val="005D213C"/>
    <w:rsid w:val="005D2A9E"/>
    <w:rsid w:val="005D2BB1"/>
    <w:rsid w:val="005D313D"/>
    <w:rsid w:val="005D40BC"/>
    <w:rsid w:val="005D42C6"/>
    <w:rsid w:val="005D46FD"/>
    <w:rsid w:val="005D4F8E"/>
    <w:rsid w:val="005D50A8"/>
    <w:rsid w:val="005D5101"/>
    <w:rsid w:val="005D66F1"/>
    <w:rsid w:val="005D6BEE"/>
    <w:rsid w:val="005D6EE4"/>
    <w:rsid w:val="005D741E"/>
    <w:rsid w:val="005D7725"/>
    <w:rsid w:val="005E07BE"/>
    <w:rsid w:val="005E0C0B"/>
    <w:rsid w:val="005E1E39"/>
    <w:rsid w:val="005E20F9"/>
    <w:rsid w:val="005E2A7C"/>
    <w:rsid w:val="005E2CA0"/>
    <w:rsid w:val="005E2E4C"/>
    <w:rsid w:val="005E31D9"/>
    <w:rsid w:val="005E3233"/>
    <w:rsid w:val="005E3DEA"/>
    <w:rsid w:val="005E3FE5"/>
    <w:rsid w:val="005E4586"/>
    <w:rsid w:val="005E52AF"/>
    <w:rsid w:val="005E5586"/>
    <w:rsid w:val="005E6E03"/>
    <w:rsid w:val="005E7BC1"/>
    <w:rsid w:val="005F03BE"/>
    <w:rsid w:val="005F0C69"/>
    <w:rsid w:val="005F0FF0"/>
    <w:rsid w:val="005F14EA"/>
    <w:rsid w:val="005F21B1"/>
    <w:rsid w:val="005F21CD"/>
    <w:rsid w:val="005F2B6C"/>
    <w:rsid w:val="005F333F"/>
    <w:rsid w:val="005F3BD9"/>
    <w:rsid w:val="005F3C8A"/>
    <w:rsid w:val="005F4578"/>
    <w:rsid w:val="005F4B6E"/>
    <w:rsid w:val="005F52F4"/>
    <w:rsid w:val="005F5759"/>
    <w:rsid w:val="005F610B"/>
    <w:rsid w:val="005F7865"/>
    <w:rsid w:val="005F7F5A"/>
    <w:rsid w:val="006000A1"/>
    <w:rsid w:val="00600B2C"/>
    <w:rsid w:val="00600E26"/>
    <w:rsid w:val="00602E3D"/>
    <w:rsid w:val="006033AB"/>
    <w:rsid w:val="006040E6"/>
    <w:rsid w:val="00604372"/>
    <w:rsid w:val="00604B7F"/>
    <w:rsid w:val="00604D51"/>
    <w:rsid w:val="00604F53"/>
    <w:rsid w:val="00605632"/>
    <w:rsid w:val="00605B8A"/>
    <w:rsid w:val="00606C8A"/>
    <w:rsid w:val="00607170"/>
    <w:rsid w:val="00607434"/>
    <w:rsid w:val="0061031F"/>
    <w:rsid w:val="006110B5"/>
    <w:rsid w:val="00611146"/>
    <w:rsid w:val="006119CB"/>
    <w:rsid w:val="006134EC"/>
    <w:rsid w:val="0061384F"/>
    <w:rsid w:val="00613982"/>
    <w:rsid w:val="0061453E"/>
    <w:rsid w:val="006151CF"/>
    <w:rsid w:val="0061586C"/>
    <w:rsid w:val="006168CD"/>
    <w:rsid w:val="00617374"/>
    <w:rsid w:val="00617A5B"/>
    <w:rsid w:val="00617F94"/>
    <w:rsid w:val="006200DC"/>
    <w:rsid w:val="00620CC4"/>
    <w:rsid w:val="006217FD"/>
    <w:rsid w:val="00622629"/>
    <w:rsid w:val="00622948"/>
    <w:rsid w:val="00622A40"/>
    <w:rsid w:val="00622DA6"/>
    <w:rsid w:val="0062323C"/>
    <w:rsid w:val="006235CD"/>
    <w:rsid w:val="00623793"/>
    <w:rsid w:val="0062431E"/>
    <w:rsid w:val="00624694"/>
    <w:rsid w:val="006246AD"/>
    <w:rsid w:val="00625B2B"/>
    <w:rsid w:val="00626525"/>
    <w:rsid w:val="00630CC9"/>
    <w:rsid w:val="006315A5"/>
    <w:rsid w:val="00631CA3"/>
    <w:rsid w:val="00632129"/>
    <w:rsid w:val="00632650"/>
    <w:rsid w:val="0063281E"/>
    <w:rsid w:val="00632C88"/>
    <w:rsid w:val="00633521"/>
    <w:rsid w:val="006337F3"/>
    <w:rsid w:val="00633AA6"/>
    <w:rsid w:val="00633FCF"/>
    <w:rsid w:val="00634592"/>
    <w:rsid w:val="00634597"/>
    <w:rsid w:val="00634822"/>
    <w:rsid w:val="00634D6B"/>
    <w:rsid w:val="006353A6"/>
    <w:rsid w:val="0063628F"/>
    <w:rsid w:val="00637604"/>
    <w:rsid w:val="006379C7"/>
    <w:rsid w:val="006379CB"/>
    <w:rsid w:val="00637ECF"/>
    <w:rsid w:val="006405AA"/>
    <w:rsid w:val="00641386"/>
    <w:rsid w:val="00641695"/>
    <w:rsid w:val="00642483"/>
    <w:rsid w:val="006445AD"/>
    <w:rsid w:val="0064491A"/>
    <w:rsid w:val="00644A06"/>
    <w:rsid w:val="00644DA0"/>
    <w:rsid w:val="00645FDC"/>
    <w:rsid w:val="00646154"/>
    <w:rsid w:val="00647D33"/>
    <w:rsid w:val="00647D90"/>
    <w:rsid w:val="006501DA"/>
    <w:rsid w:val="00650AF2"/>
    <w:rsid w:val="00650E5E"/>
    <w:rsid w:val="00651F8C"/>
    <w:rsid w:val="006522C9"/>
    <w:rsid w:val="00652A9A"/>
    <w:rsid w:val="00652AB7"/>
    <w:rsid w:val="00652B40"/>
    <w:rsid w:val="00654D66"/>
    <w:rsid w:val="0065551E"/>
    <w:rsid w:val="006556AC"/>
    <w:rsid w:val="00655963"/>
    <w:rsid w:val="00655C30"/>
    <w:rsid w:val="00655CD6"/>
    <w:rsid w:val="00656FDB"/>
    <w:rsid w:val="006572CD"/>
    <w:rsid w:val="00657514"/>
    <w:rsid w:val="00657E31"/>
    <w:rsid w:val="00660812"/>
    <w:rsid w:val="006622EF"/>
    <w:rsid w:val="00662E71"/>
    <w:rsid w:val="00663420"/>
    <w:rsid w:val="006634B3"/>
    <w:rsid w:val="0066357F"/>
    <w:rsid w:val="006638EB"/>
    <w:rsid w:val="00665469"/>
    <w:rsid w:val="006658A7"/>
    <w:rsid w:val="006667FE"/>
    <w:rsid w:val="006668DC"/>
    <w:rsid w:val="00666BE2"/>
    <w:rsid w:val="00667182"/>
    <w:rsid w:val="006674A7"/>
    <w:rsid w:val="0066780A"/>
    <w:rsid w:val="00667E0E"/>
    <w:rsid w:val="00670088"/>
    <w:rsid w:val="0067051F"/>
    <w:rsid w:val="00670A41"/>
    <w:rsid w:val="00670AC8"/>
    <w:rsid w:val="00670D9F"/>
    <w:rsid w:val="00670DB6"/>
    <w:rsid w:val="00671188"/>
    <w:rsid w:val="00671417"/>
    <w:rsid w:val="0067227C"/>
    <w:rsid w:val="006730C0"/>
    <w:rsid w:val="00673385"/>
    <w:rsid w:val="0067360E"/>
    <w:rsid w:val="0067381D"/>
    <w:rsid w:val="00674223"/>
    <w:rsid w:val="0067505F"/>
    <w:rsid w:val="00675C1A"/>
    <w:rsid w:val="00676572"/>
    <w:rsid w:val="006768AA"/>
    <w:rsid w:val="006768CC"/>
    <w:rsid w:val="00677120"/>
    <w:rsid w:val="00677435"/>
    <w:rsid w:val="006778FD"/>
    <w:rsid w:val="00677E46"/>
    <w:rsid w:val="0068120C"/>
    <w:rsid w:val="00681E28"/>
    <w:rsid w:val="0068264A"/>
    <w:rsid w:val="006829D6"/>
    <w:rsid w:val="00682E6A"/>
    <w:rsid w:val="006837C6"/>
    <w:rsid w:val="006839FC"/>
    <w:rsid w:val="00683D05"/>
    <w:rsid w:val="00683E17"/>
    <w:rsid w:val="0068584D"/>
    <w:rsid w:val="006862A0"/>
    <w:rsid w:val="00686583"/>
    <w:rsid w:val="00686B7F"/>
    <w:rsid w:val="00686F72"/>
    <w:rsid w:val="00687025"/>
    <w:rsid w:val="006872D2"/>
    <w:rsid w:val="006876DF"/>
    <w:rsid w:val="00687830"/>
    <w:rsid w:val="00687D95"/>
    <w:rsid w:val="006909E4"/>
    <w:rsid w:val="00691666"/>
    <w:rsid w:val="00691699"/>
    <w:rsid w:val="00691861"/>
    <w:rsid w:val="00692541"/>
    <w:rsid w:val="00693035"/>
    <w:rsid w:val="00693AE0"/>
    <w:rsid w:val="00693AF7"/>
    <w:rsid w:val="00693BD3"/>
    <w:rsid w:val="00693D99"/>
    <w:rsid w:val="0069532D"/>
    <w:rsid w:val="006954CB"/>
    <w:rsid w:val="006964B4"/>
    <w:rsid w:val="006966BC"/>
    <w:rsid w:val="006969C3"/>
    <w:rsid w:val="00697412"/>
    <w:rsid w:val="006A0375"/>
    <w:rsid w:val="006A1A1E"/>
    <w:rsid w:val="006A2B61"/>
    <w:rsid w:val="006A2DCC"/>
    <w:rsid w:val="006A2EE0"/>
    <w:rsid w:val="006A2EF0"/>
    <w:rsid w:val="006A3010"/>
    <w:rsid w:val="006A3A9E"/>
    <w:rsid w:val="006A4456"/>
    <w:rsid w:val="006A4FB2"/>
    <w:rsid w:val="006A5F49"/>
    <w:rsid w:val="006A7333"/>
    <w:rsid w:val="006B1D3D"/>
    <w:rsid w:val="006B20DE"/>
    <w:rsid w:val="006B243E"/>
    <w:rsid w:val="006B2B1A"/>
    <w:rsid w:val="006B2E64"/>
    <w:rsid w:val="006B5392"/>
    <w:rsid w:val="006B6CC3"/>
    <w:rsid w:val="006B73B8"/>
    <w:rsid w:val="006B77C9"/>
    <w:rsid w:val="006B799A"/>
    <w:rsid w:val="006B7AE0"/>
    <w:rsid w:val="006C00D7"/>
    <w:rsid w:val="006C0220"/>
    <w:rsid w:val="006C086E"/>
    <w:rsid w:val="006C09F7"/>
    <w:rsid w:val="006C0ED3"/>
    <w:rsid w:val="006C1815"/>
    <w:rsid w:val="006C2A49"/>
    <w:rsid w:val="006C3AD2"/>
    <w:rsid w:val="006C403C"/>
    <w:rsid w:val="006C4810"/>
    <w:rsid w:val="006C4B8D"/>
    <w:rsid w:val="006C4DBB"/>
    <w:rsid w:val="006C4F0A"/>
    <w:rsid w:val="006C544E"/>
    <w:rsid w:val="006C55C3"/>
    <w:rsid w:val="006C5B1D"/>
    <w:rsid w:val="006C6647"/>
    <w:rsid w:val="006C67DF"/>
    <w:rsid w:val="006C680F"/>
    <w:rsid w:val="006C7241"/>
    <w:rsid w:val="006C78C1"/>
    <w:rsid w:val="006C7B2F"/>
    <w:rsid w:val="006C7E4C"/>
    <w:rsid w:val="006D0301"/>
    <w:rsid w:val="006D0C34"/>
    <w:rsid w:val="006D0F34"/>
    <w:rsid w:val="006D1445"/>
    <w:rsid w:val="006D1872"/>
    <w:rsid w:val="006D1911"/>
    <w:rsid w:val="006D1AFD"/>
    <w:rsid w:val="006D21AA"/>
    <w:rsid w:val="006D2E9B"/>
    <w:rsid w:val="006D48B0"/>
    <w:rsid w:val="006D4C24"/>
    <w:rsid w:val="006D58AB"/>
    <w:rsid w:val="006D59C5"/>
    <w:rsid w:val="006D6248"/>
    <w:rsid w:val="006D63AF"/>
    <w:rsid w:val="006D7195"/>
    <w:rsid w:val="006D72AF"/>
    <w:rsid w:val="006E01F3"/>
    <w:rsid w:val="006E1B0F"/>
    <w:rsid w:val="006E1BC5"/>
    <w:rsid w:val="006E1F3A"/>
    <w:rsid w:val="006E2818"/>
    <w:rsid w:val="006E2C8C"/>
    <w:rsid w:val="006E3322"/>
    <w:rsid w:val="006E34FF"/>
    <w:rsid w:val="006E3876"/>
    <w:rsid w:val="006E3C5E"/>
    <w:rsid w:val="006E4A43"/>
    <w:rsid w:val="006E4AD8"/>
    <w:rsid w:val="006E4FDE"/>
    <w:rsid w:val="006E502C"/>
    <w:rsid w:val="006E5AC6"/>
    <w:rsid w:val="006E5BC5"/>
    <w:rsid w:val="006E78F4"/>
    <w:rsid w:val="006E7DEF"/>
    <w:rsid w:val="006F1442"/>
    <w:rsid w:val="006F16C3"/>
    <w:rsid w:val="006F24BB"/>
    <w:rsid w:val="006F36D1"/>
    <w:rsid w:val="006F406D"/>
    <w:rsid w:val="006F41D9"/>
    <w:rsid w:val="006F4BBF"/>
    <w:rsid w:val="006F4BC1"/>
    <w:rsid w:val="006F50EF"/>
    <w:rsid w:val="006F5351"/>
    <w:rsid w:val="006F6470"/>
    <w:rsid w:val="006F6F74"/>
    <w:rsid w:val="006F7FFA"/>
    <w:rsid w:val="00700033"/>
    <w:rsid w:val="00701097"/>
    <w:rsid w:val="00701D73"/>
    <w:rsid w:val="00701E95"/>
    <w:rsid w:val="00702087"/>
    <w:rsid w:val="00703342"/>
    <w:rsid w:val="00703906"/>
    <w:rsid w:val="007039B5"/>
    <w:rsid w:val="00704190"/>
    <w:rsid w:val="00704A07"/>
    <w:rsid w:val="007053E6"/>
    <w:rsid w:val="00705590"/>
    <w:rsid w:val="00705DDB"/>
    <w:rsid w:val="00706494"/>
    <w:rsid w:val="00706892"/>
    <w:rsid w:val="0070699D"/>
    <w:rsid w:val="00707E8C"/>
    <w:rsid w:val="0071002E"/>
    <w:rsid w:val="00710A6B"/>
    <w:rsid w:val="007119F1"/>
    <w:rsid w:val="0071230F"/>
    <w:rsid w:val="007123CD"/>
    <w:rsid w:val="0071240A"/>
    <w:rsid w:val="007128B0"/>
    <w:rsid w:val="00712998"/>
    <w:rsid w:val="00712F4B"/>
    <w:rsid w:val="0071423C"/>
    <w:rsid w:val="00714604"/>
    <w:rsid w:val="007149B8"/>
    <w:rsid w:val="00716326"/>
    <w:rsid w:val="00716592"/>
    <w:rsid w:val="0071720E"/>
    <w:rsid w:val="007172D5"/>
    <w:rsid w:val="00717AD3"/>
    <w:rsid w:val="00717D6F"/>
    <w:rsid w:val="0072078E"/>
    <w:rsid w:val="007209FA"/>
    <w:rsid w:val="00721A1C"/>
    <w:rsid w:val="00722160"/>
    <w:rsid w:val="00722488"/>
    <w:rsid w:val="00722AFD"/>
    <w:rsid w:val="00723086"/>
    <w:rsid w:val="0072522B"/>
    <w:rsid w:val="0072558D"/>
    <w:rsid w:val="00725D56"/>
    <w:rsid w:val="00725F39"/>
    <w:rsid w:val="007261D9"/>
    <w:rsid w:val="00726369"/>
    <w:rsid w:val="00726BD1"/>
    <w:rsid w:val="00726C43"/>
    <w:rsid w:val="00726F2D"/>
    <w:rsid w:val="00727AA2"/>
    <w:rsid w:val="00730DD5"/>
    <w:rsid w:val="00730EFB"/>
    <w:rsid w:val="00731841"/>
    <w:rsid w:val="007318AE"/>
    <w:rsid w:val="00731BC1"/>
    <w:rsid w:val="007322A9"/>
    <w:rsid w:val="00732BAD"/>
    <w:rsid w:val="00733250"/>
    <w:rsid w:val="007334EF"/>
    <w:rsid w:val="00733E66"/>
    <w:rsid w:val="007340C3"/>
    <w:rsid w:val="00734272"/>
    <w:rsid w:val="007345C0"/>
    <w:rsid w:val="00736DB1"/>
    <w:rsid w:val="00736FEA"/>
    <w:rsid w:val="0073783D"/>
    <w:rsid w:val="007379A1"/>
    <w:rsid w:val="00737AA7"/>
    <w:rsid w:val="0074026F"/>
    <w:rsid w:val="0074217A"/>
    <w:rsid w:val="007422F3"/>
    <w:rsid w:val="00742917"/>
    <w:rsid w:val="00742CCA"/>
    <w:rsid w:val="00742D62"/>
    <w:rsid w:val="00742EE6"/>
    <w:rsid w:val="00742FBD"/>
    <w:rsid w:val="007430C4"/>
    <w:rsid w:val="007439FD"/>
    <w:rsid w:val="00743F97"/>
    <w:rsid w:val="007440FA"/>
    <w:rsid w:val="00744131"/>
    <w:rsid w:val="007444E2"/>
    <w:rsid w:val="007444EC"/>
    <w:rsid w:val="00744F0D"/>
    <w:rsid w:val="00745B12"/>
    <w:rsid w:val="00745F48"/>
    <w:rsid w:val="007460D5"/>
    <w:rsid w:val="00746848"/>
    <w:rsid w:val="00747002"/>
    <w:rsid w:val="00751224"/>
    <w:rsid w:val="00751A3C"/>
    <w:rsid w:val="00752BCF"/>
    <w:rsid w:val="007530E1"/>
    <w:rsid w:val="007532FA"/>
    <w:rsid w:val="00753341"/>
    <w:rsid w:val="00753596"/>
    <w:rsid w:val="007538F0"/>
    <w:rsid w:val="00753CD0"/>
    <w:rsid w:val="00753CE9"/>
    <w:rsid w:val="00753E78"/>
    <w:rsid w:val="00754C99"/>
    <w:rsid w:val="0075524D"/>
    <w:rsid w:val="00755761"/>
    <w:rsid w:val="007567B9"/>
    <w:rsid w:val="00756DFB"/>
    <w:rsid w:val="00757564"/>
    <w:rsid w:val="0075762D"/>
    <w:rsid w:val="00757638"/>
    <w:rsid w:val="00757F2A"/>
    <w:rsid w:val="007607D2"/>
    <w:rsid w:val="007612F4"/>
    <w:rsid w:val="007614D5"/>
    <w:rsid w:val="00761DB7"/>
    <w:rsid w:val="00761F18"/>
    <w:rsid w:val="00761FD7"/>
    <w:rsid w:val="00762E33"/>
    <w:rsid w:val="0076338C"/>
    <w:rsid w:val="00763700"/>
    <w:rsid w:val="00763CDB"/>
    <w:rsid w:val="00764AF7"/>
    <w:rsid w:val="00765C58"/>
    <w:rsid w:val="007661DC"/>
    <w:rsid w:val="00767446"/>
    <w:rsid w:val="00767AD2"/>
    <w:rsid w:val="00767C17"/>
    <w:rsid w:val="007708C9"/>
    <w:rsid w:val="00770E30"/>
    <w:rsid w:val="00771744"/>
    <w:rsid w:val="00772268"/>
    <w:rsid w:val="0077268F"/>
    <w:rsid w:val="00773154"/>
    <w:rsid w:val="007731CD"/>
    <w:rsid w:val="007732D8"/>
    <w:rsid w:val="007736C3"/>
    <w:rsid w:val="0077388F"/>
    <w:rsid w:val="00773CC4"/>
    <w:rsid w:val="00774B58"/>
    <w:rsid w:val="00774F68"/>
    <w:rsid w:val="0077532F"/>
    <w:rsid w:val="007759EA"/>
    <w:rsid w:val="007765B2"/>
    <w:rsid w:val="00776801"/>
    <w:rsid w:val="00776AE1"/>
    <w:rsid w:val="00777969"/>
    <w:rsid w:val="00780409"/>
    <w:rsid w:val="00781671"/>
    <w:rsid w:val="00781D29"/>
    <w:rsid w:val="00781F66"/>
    <w:rsid w:val="0078243B"/>
    <w:rsid w:val="00784074"/>
    <w:rsid w:val="007843D2"/>
    <w:rsid w:val="00784670"/>
    <w:rsid w:val="007846F9"/>
    <w:rsid w:val="00785201"/>
    <w:rsid w:val="007855A5"/>
    <w:rsid w:val="007860C9"/>
    <w:rsid w:val="007860F8"/>
    <w:rsid w:val="0078673A"/>
    <w:rsid w:val="007869AC"/>
    <w:rsid w:val="00786B3A"/>
    <w:rsid w:val="00787548"/>
    <w:rsid w:val="0078760B"/>
    <w:rsid w:val="00787716"/>
    <w:rsid w:val="00787735"/>
    <w:rsid w:val="00787A96"/>
    <w:rsid w:val="00787EC1"/>
    <w:rsid w:val="00787F5E"/>
    <w:rsid w:val="00790AE5"/>
    <w:rsid w:val="0079123C"/>
    <w:rsid w:val="007915C0"/>
    <w:rsid w:val="00791DD4"/>
    <w:rsid w:val="00791E48"/>
    <w:rsid w:val="00792696"/>
    <w:rsid w:val="00792BEF"/>
    <w:rsid w:val="007941F8"/>
    <w:rsid w:val="00794282"/>
    <w:rsid w:val="007944A2"/>
    <w:rsid w:val="00794F23"/>
    <w:rsid w:val="007960DF"/>
    <w:rsid w:val="00796692"/>
    <w:rsid w:val="00796F6D"/>
    <w:rsid w:val="00797EB2"/>
    <w:rsid w:val="007A0A1D"/>
    <w:rsid w:val="007A16E7"/>
    <w:rsid w:val="007A2506"/>
    <w:rsid w:val="007A2F86"/>
    <w:rsid w:val="007A3179"/>
    <w:rsid w:val="007A3915"/>
    <w:rsid w:val="007A3A56"/>
    <w:rsid w:val="007A3B06"/>
    <w:rsid w:val="007A3C64"/>
    <w:rsid w:val="007A3F07"/>
    <w:rsid w:val="007A4820"/>
    <w:rsid w:val="007A5883"/>
    <w:rsid w:val="007A62C7"/>
    <w:rsid w:val="007A6929"/>
    <w:rsid w:val="007A7161"/>
    <w:rsid w:val="007A71A9"/>
    <w:rsid w:val="007A78B5"/>
    <w:rsid w:val="007A7F8A"/>
    <w:rsid w:val="007A7FB8"/>
    <w:rsid w:val="007B0209"/>
    <w:rsid w:val="007B03F2"/>
    <w:rsid w:val="007B0E23"/>
    <w:rsid w:val="007B122F"/>
    <w:rsid w:val="007B1498"/>
    <w:rsid w:val="007B1C21"/>
    <w:rsid w:val="007B1C78"/>
    <w:rsid w:val="007B277D"/>
    <w:rsid w:val="007B2F6E"/>
    <w:rsid w:val="007B34D6"/>
    <w:rsid w:val="007B5086"/>
    <w:rsid w:val="007B51C7"/>
    <w:rsid w:val="007B543A"/>
    <w:rsid w:val="007B5C18"/>
    <w:rsid w:val="007B5C45"/>
    <w:rsid w:val="007B5E55"/>
    <w:rsid w:val="007B6137"/>
    <w:rsid w:val="007B61E7"/>
    <w:rsid w:val="007B7666"/>
    <w:rsid w:val="007B7CC6"/>
    <w:rsid w:val="007C02A5"/>
    <w:rsid w:val="007C07C9"/>
    <w:rsid w:val="007C1582"/>
    <w:rsid w:val="007C1E8A"/>
    <w:rsid w:val="007C2075"/>
    <w:rsid w:val="007C20C4"/>
    <w:rsid w:val="007C26AB"/>
    <w:rsid w:val="007C2B8D"/>
    <w:rsid w:val="007C3A38"/>
    <w:rsid w:val="007C3A83"/>
    <w:rsid w:val="007C3E1E"/>
    <w:rsid w:val="007C54E9"/>
    <w:rsid w:val="007C558E"/>
    <w:rsid w:val="007C58E1"/>
    <w:rsid w:val="007C5901"/>
    <w:rsid w:val="007C5ADD"/>
    <w:rsid w:val="007C5B9B"/>
    <w:rsid w:val="007C6528"/>
    <w:rsid w:val="007C6E70"/>
    <w:rsid w:val="007C75E8"/>
    <w:rsid w:val="007C7B52"/>
    <w:rsid w:val="007D02D4"/>
    <w:rsid w:val="007D0B0D"/>
    <w:rsid w:val="007D1169"/>
    <w:rsid w:val="007D11C0"/>
    <w:rsid w:val="007D15EC"/>
    <w:rsid w:val="007D1893"/>
    <w:rsid w:val="007D1FA4"/>
    <w:rsid w:val="007D22BF"/>
    <w:rsid w:val="007D2C71"/>
    <w:rsid w:val="007D3513"/>
    <w:rsid w:val="007D3773"/>
    <w:rsid w:val="007D4FDE"/>
    <w:rsid w:val="007D5C8A"/>
    <w:rsid w:val="007D5FE5"/>
    <w:rsid w:val="007D6B1B"/>
    <w:rsid w:val="007D6E06"/>
    <w:rsid w:val="007D7D58"/>
    <w:rsid w:val="007E040A"/>
    <w:rsid w:val="007E10B6"/>
    <w:rsid w:val="007E1877"/>
    <w:rsid w:val="007E235A"/>
    <w:rsid w:val="007E23A4"/>
    <w:rsid w:val="007E2B35"/>
    <w:rsid w:val="007E2BB8"/>
    <w:rsid w:val="007E2ED5"/>
    <w:rsid w:val="007E3BF7"/>
    <w:rsid w:val="007E4A12"/>
    <w:rsid w:val="007E4C70"/>
    <w:rsid w:val="007E5017"/>
    <w:rsid w:val="007E52E5"/>
    <w:rsid w:val="007E567E"/>
    <w:rsid w:val="007E56A9"/>
    <w:rsid w:val="007E59DA"/>
    <w:rsid w:val="007E5FB3"/>
    <w:rsid w:val="007E630B"/>
    <w:rsid w:val="007E6496"/>
    <w:rsid w:val="007E6793"/>
    <w:rsid w:val="007E6986"/>
    <w:rsid w:val="007E6BF4"/>
    <w:rsid w:val="007E7D04"/>
    <w:rsid w:val="007F11DF"/>
    <w:rsid w:val="007F12E7"/>
    <w:rsid w:val="007F1CC9"/>
    <w:rsid w:val="007F24FB"/>
    <w:rsid w:val="007F2533"/>
    <w:rsid w:val="007F2696"/>
    <w:rsid w:val="007F2B6D"/>
    <w:rsid w:val="007F32E4"/>
    <w:rsid w:val="007F334B"/>
    <w:rsid w:val="007F34BB"/>
    <w:rsid w:val="007F3981"/>
    <w:rsid w:val="007F3A7B"/>
    <w:rsid w:val="007F3C28"/>
    <w:rsid w:val="007F3F33"/>
    <w:rsid w:val="007F4C3D"/>
    <w:rsid w:val="007F57EA"/>
    <w:rsid w:val="007F58C8"/>
    <w:rsid w:val="007F5E1B"/>
    <w:rsid w:val="007F5FBA"/>
    <w:rsid w:val="007F6096"/>
    <w:rsid w:val="007F65A0"/>
    <w:rsid w:val="007F6649"/>
    <w:rsid w:val="007F6FB7"/>
    <w:rsid w:val="00800628"/>
    <w:rsid w:val="00802240"/>
    <w:rsid w:val="00802AE3"/>
    <w:rsid w:val="008030A5"/>
    <w:rsid w:val="008031E0"/>
    <w:rsid w:val="00803861"/>
    <w:rsid w:val="00803A9C"/>
    <w:rsid w:val="00803D14"/>
    <w:rsid w:val="00803E1C"/>
    <w:rsid w:val="00804622"/>
    <w:rsid w:val="00804ECF"/>
    <w:rsid w:val="00805108"/>
    <w:rsid w:val="00805274"/>
    <w:rsid w:val="008054F3"/>
    <w:rsid w:val="00805A12"/>
    <w:rsid w:val="00806D14"/>
    <w:rsid w:val="00807511"/>
    <w:rsid w:val="008075EF"/>
    <w:rsid w:val="00807D6C"/>
    <w:rsid w:val="008101ED"/>
    <w:rsid w:val="008105BC"/>
    <w:rsid w:val="00810744"/>
    <w:rsid w:val="008108ED"/>
    <w:rsid w:val="008118B7"/>
    <w:rsid w:val="00811F1B"/>
    <w:rsid w:val="00812202"/>
    <w:rsid w:val="00812B40"/>
    <w:rsid w:val="008131F6"/>
    <w:rsid w:val="00813499"/>
    <w:rsid w:val="008135D9"/>
    <w:rsid w:val="008139D4"/>
    <w:rsid w:val="00813CE5"/>
    <w:rsid w:val="00813F73"/>
    <w:rsid w:val="00814665"/>
    <w:rsid w:val="00815214"/>
    <w:rsid w:val="0081659D"/>
    <w:rsid w:val="00816849"/>
    <w:rsid w:val="00816CD8"/>
    <w:rsid w:val="00816D55"/>
    <w:rsid w:val="00817257"/>
    <w:rsid w:val="00817630"/>
    <w:rsid w:val="00817894"/>
    <w:rsid w:val="008200CA"/>
    <w:rsid w:val="00820D5B"/>
    <w:rsid w:val="00820F54"/>
    <w:rsid w:val="00821F7C"/>
    <w:rsid w:val="0082247E"/>
    <w:rsid w:val="00822CA9"/>
    <w:rsid w:val="00822D85"/>
    <w:rsid w:val="00822E23"/>
    <w:rsid w:val="00824448"/>
    <w:rsid w:val="00825445"/>
    <w:rsid w:val="00825995"/>
    <w:rsid w:val="00825BD6"/>
    <w:rsid w:val="00825CC5"/>
    <w:rsid w:val="00825DD1"/>
    <w:rsid w:val="008261A9"/>
    <w:rsid w:val="00826216"/>
    <w:rsid w:val="00826281"/>
    <w:rsid w:val="00827551"/>
    <w:rsid w:val="0083034B"/>
    <w:rsid w:val="00830689"/>
    <w:rsid w:val="00830962"/>
    <w:rsid w:val="008310A4"/>
    <w:rsid w:val="00831465"/>
    <w:rsid w:val="0083280E"/>
    <w:rsid w:val="00833551"/>
    <w:rsid w:val="008336EA"/>
    <w:rsid w:val="008348BD"/>
    <w:rsid w:val="0083542E"/>
    <w:rsid w:val="00835CBB"/>
    <w:rsid w:val="00835D43"/>
    <w:rsid w:val="00836449"/>
    <w:rsid w:val="008366D3"/>
    <w:rsid w:val="008374CD"/>
    <w:rsid w:val="00837A66"/>
    <w:rsid w:val="00840C13"/>
    <w:rsid w:val="00840E76"/>
    <w:rsid w:val="008416B0"/>
    <w:rsid w:val="008416E2"/>
    <w:rsid w:val="00841F72"/>
    <w:rsid w:val="008436B5"/>
    <w:rsid w:val="008441E7"/>
    <w:rsid w:val="00844458"/>
    <w:rsid w:val="00844E6E"/>
    <w:rsid w:val="00845B06"/>
    <w:rsid w:val="00845ED9"/>
    <w:rsid w:val="00847267"/>
    <w:rsid w:val="008475B0"/>
    <w:rsid w:val="00847855"/>
    <w:rsid w:val="00847870"/>
    <w:rsid w:val="00847F9D"/>
    <w:rsid w:val="008501F0"/>
    <w:rsid w:val="008507C3"/>
    <w:rsid w:val="008511C7"/>
    <w:rsid w:val="00851350"/>
    <w:rsid w:val="008514AD"/>
    <w:rsid w:val="00852D36"/>
    <w:rsid w:val="008540C6"/>
    <w:rsid w:val="008542A0"/>
    <w:rsid w:val="008544BC"/>
    <w:rsid w:val="008544ED"/>
    <w:rsid w:val="00854A92"/>
    <w:rsid w:val="00854B97"/>
    <w:rsid w:val="00855407"/>
    <w:rsid w:val="00856577"/>
    <w:rsid w:val="0085770E"/>
    <w:rsid w:val="008577F4"/>
    <w:rsid w:val="00857FB8"/>
    <w:rsid w:val="008600E9"/>
    <w:rsid w:val="0086029E"/>
    <w:rsid w:val="00860D67"/>
    <w:rsid w:val="0086118B"/>
    <w:rsid w:val="00861325"/>
    <w:rsid w:val="008621D2"/>
    <w:rsid w:val="00862906"/>
    <w:rsid w:val="00862EDE"/>
    <w:rsid w:val="00863095"/>
    <w:rsid w:val="008639E8"/>
    <w:rsid w:val="008639F1"/>
    <w:rsid w:val="008642CA"/>
    <w:rsid w:val="008646CF"/>
    <w:rsid w:val="00865093"/>
    <w:rsid w:val="0086534D"/>
    <w:rsid w:val="008655D6"/>
    <w:rsid w:val="00865904"/>
    <w:rsid w:val="00865D1D"/>
    <w:rsid w:val="0086601B"/>
    <w:rsid w:val="008678C2"/>
    <w:rsid w:val="00867CC9"/>
    <w:rsid w:val="00870416"/>
    <w:rsid w:val="00870980"/>
    <w:rsid w:val="00870DED"/>
    <w:rsid w:val="00870F80"/>
    <w:rsid w:val="00872471"/>
    <w:rsid w:val="00872B15"/>
    <w:rsid w:val="0087311A"/>
    <w:rsid w:val="008752B3"/>
    <w:rsid w:val="00875ED0"/>
    <w:rsid w:val="00875FCA"/>
    <w:rsid w:val="0087606A"/>
    <w:rsid w:val="0087613A"/>
    <w:rsid w:val="0087682D"/>
    <w:rsid w:val="008769C2"/>
    <w:rsid w:val="00876F7E"/>
    <w:rsid w:val="00880D8D"/>
    <w:rsid w:val="00880DE7"/>
    <w:rsid w:val="00881022"/>
    <w:rsid w:val="00881271"/>
    <w:rsid w:val="00881457"/>
    <w:rsid w:val="00881ABF"/>
    <w:rsid w:val="0088240D"/>
    <w:rsid w:val="00882520"/>
    <w:rsid w:val="00882990"/>
    <w:rsid w:val="008829C3"/>
    <w:rsid w:val="008831A2"/>
    <w:rsid w:val="0088407C"/>
    <w:rsid w:val="00885CA4"/>
    <w:rsid w:val="00886A0D"/>
    <w:rsid w:val="00886E25"/>
    <w:rsid w:val="00886EAE"/>
    <w:rsid w:val="00887913"/>
    <w:rsid w:val="00887956"/>
    <w:rsid w:val="00887F91"/>
    <w:rsid w:val="00890FA1"/>
    <w:rsid w:val="00891331"/>
    <w:rsid w:val="00891699"/>
    <w:rsid w:val="00891DDB"/>
    <w:rsid w:val="00893E66"/>
    <w:rsid w:val="008940FB"/>
    <w:rsid w:val="00894252"/>
    <w:rsid w:val="00895B4C"/>
    <w:rsid w:val="008961B4"/>
    <w:rsid w:val="00896E32"/>
    <w:rsid w:val="00897BA0"/>
    <w:rsid w:val="00897D11"/>
    <w:rsid w:val="008A2783"/>
    <w:rsid w:val="008A3347"/>
    <w:rsid w:val="008A3B05"/>
    <w:rsid w:val="008A4133"/>
    <w:rsid w:val="008A419C"/>
    <w:rsid w:val="008A433D"/>
    <w:rsid w:val="008A44D3"/>
    <w:rsid w:val="008A4A9A"/>
    <w:rsid w:val="008A529A"/>
    <w:rsid w:val="008A5605"/>
    <w:rsid w:val="008A5C0C"/>
    <w:rsid w:val="008A5FC7"/>
    <w:rsid w:val="008B00C5"/>
    <w:rsid w:val="008B068D"/>
    <w:rsid w:val="008B18F0"/>
    <w:rsid w:val="008B1A87"/>
    <w:rsid w:val="008B28E5"/>
    <w:rsid w:val="008B3B1C"/>
    <w:rsid w:val="008B454B"/>
    <w:rsid w:val="008B4AB1"/>
    <w:rsid w:val="008B6746"/>
    <w:rsid w:val="008B6EC2"/>
    <w:rsid w:val="008B716C"/>
    <w:rsid w:val="008B750B"/>
    <w:rsid w:val="008B7525"/>
    <w:rsid w:val="008B7C96"/>
    <w:rsid w:val="008B7CE5"/>
    <w:rsid w:val="008B7D4A"/>
    <w:rsid w:val="008B7FA1"/>
    <w:rsid w:val="008C1822"/>
    <w:rsid w:val="008C1E57"/>
    <w:rsid w:val="008C2138"/>
    <w:rsid w:val="008C2631"/>
    <w:rsid w:val="008C3169"/>
    <w:rsid w:val="008C350B"/>
    <w:rsid w:val="008C4268"/>
    <w:rsid w:val="008C44ED"/>
    <w:rsid w:val="008C5A05"/>
    <w:rsid w:val="008C5CB1"/>
    <w:rsid w:val="008C65C6"/>
    <w:rsid w:val="008C6BF8"/>
    <w:rsid w:val="008C73ED"/>
    <w:rsid w:val="008C77C3"/>
    <w:rsid w:val="008D0092"/>
    <w:rsid w:val="008D0328"/>
    <w:rsid w:val="008D0D14"/>
    <w:rsid w:val="008D0E22"/>
    <w:rsid w:val="008D1791"/>
    <w:rsid w:val="008D1B06"/>
    <w:rsid w:val="008D2628"/>
    <w:rsid w:val="008D2F53"/>
    <w:rsid w:val="008D443C"/>
    <w:rsid w:val="008D5331"/>
    <w:rsid w:val="008D54A2"/>
    <w:rsid w:val="008D5679"/>
    <w:rsid w:val="008D64B9"/>
    <w:rsid w:val="008D6649"/>
    <w:rsid w:val="008D72FB"/>
    <w:rsid w:val="008D7CC7"/>
    <w:rsid w:val="008E054E"/>
    <w:rsid w:val="008E0A95"/>
    <w:rsid w:val="008E0DB2"/>
    <w:rsid w:val="008E1911"/>
    <w:rsid w:val="008E1A99"/>
    <w:rsid w:val="008E1E97"/>
    <w:rsid w:val="008E1ECC"/>
    <w:rsid w:val="008E2858"/>
    <w:rsid w:val="008E32CA"/>
    <w:rsid w:val="008E4A32"/>
    <w:rsid w:val="008E553B"/>
    <w:rsid w:val="008E6653"/>
    <w:rsid w:val="008E6EC6"/>
    <w:rsid w:val="008E6EF1"/>
    <w:rsid w:val="008E74AB"/>
    <w:rsid w:val="008F02AA"/>
    <w:rsid w:val="008F0A52"/>
    <w:rsid w:val="008F1409"/>
    <w:rsid w:val="008F19FA"/>
    <w:rsid w:val="008F1A6D"/>
    <w:rsid w:val="008F1E29"/>
    <w:rsid w:val="008F20F8"/>
    <w:rsid w:val="008F23BD"/>
    <w:rsid w:val="008F25B0"/>
    <w:rsid w:val="008F27B7"/>
    <w:rsid w:val="008F2AFE"/>
    <w:rsid w:val="008F2B17"/>
    <w:rsid w:val="008F2C5E"/>
    <w:rsid w:val="008F2FA2"/>
    <w:rsid w:val="008F3146"/>
    <w:rsid w:val="008F320F"/>
    <w:rsid w:val="008F329B"/>
    <w:rsid w:val="008F35C6"/>
    <w:rsid w:val="008F4F89"/>
    <w:rsid w:val="008F5E24"/>
    <w:rsid w:val="008F63C1"/>
    <w:rsid w:val="008F6A51"/>
    <w:rsid w:val="008F74E5"/>
    <w:rsid w:val="008F7D2E"/>
    <w:rsid w:val="008F7F87"/>
    <w:rsid w:val="00900064"/>
    <w:rsid w:val="00900B1F"/>
    <w:rsid w:val="00901025"/>
    <w:rsid w:val="0090138A"/>
    <w:rsid w:val="0090185E"/>
    <w:rsid w:val="00901ACE"/>
    <w:rsid w:val="009024E3"/>
    <w:rsid w:val="00902D33"/>
    <w:rsid w:val="00902E1F"/>
    <w:rsid w:val="009033CD"/>
    <w:rsid w:val="00903885"/>
    <w:rsid w:val="00903B19"/>
    <w:rsid w:val="00904B69"/>
    <w:rsid w:val="00905D8D"/>
    <w:rsid w:val="00906078"/>
    <w:rsid w:val="009065D3"/>
    <w:rsid w:val="00906EA8"/>
    <w:rsid w:val="00907841"/>
    <w:rsid w:val="0090784C"/>
    <w:rsid w:val="0091081F"/>
    <w:rsid w:val="00910D59"/>
    <w:rsid w:val="00910E23"/>
    <w:rsid w:val="009110B7"/>
    <w:rsid w:val="009111B8"/>
    <w:rsid w:val="009117F9"/>
    <w:rsid w:val="00911F7F"/>
    <w:rsid w:val="00912057"/>
    <w:rsid w:val="00912B20"/>
    <w:rsid w:val="00912E43"/>
    <w:rsid w:val="009131E8"/>
    <w:rsid w:val="009138CB"/>
    <w:rsid w:val="00913E4D"/>
    <w:rsid w:val="00914772"/>
    <w:rsid w:val="009147E3"/>
    <w:rsid w:val="00916513"/>
    <w:rsid w:val="00916582"/>
    <w:rsid w:val="00916B05"/>
    <w:rsid w:val="00916DCE"/>
    <w:rsid w:val="00917921"/>
    <w:rsid w:val="00917ED8"/>
    <w:rsid w:val="00920025"/>
    <w:rsid w:val="00920042"/>
    <w:rsid w:val="00920095"/>
    <w:rsid w:val="0092101B"/>
    <w:rsid w:val="009215AF"/>
    <w:rsid w:val="00921B17"/>
    <w:rsid w:val="00921D5F"/>
    <w:rsid w:val="00921E98"/>
    <w:rsid w:val="00922556"/>
    <w:rsid w:val="009225A9"/>
    <w:rsid w:val="00922D25"/>
    <w:rsid w:val="009236A1"/>
    <w:rsid w:val="009237BE"/>
    <w:rsid w:val="00923AFA"/>
    <w:rsid w:val="00923B83"/>
    <w:rsid w:val="009244D1"/>
    <w:rsid w:val="00924C9C"/>
    <w:rsid w:val="0092535E"/>
    <w:rsid w:val="00925373"/>
    <w:rsid w:val="00925A85"/>
    <w:rsid w:val="00926874"/>
    <w:rsid w:val="00926B3D"/>
    <w:rsid w:val="00927246"/>
    <w:rsid w:val="00927275"/>
    <w:rsid w:val="009276A3"/>
    <w:rsid w:val="00930998"/>
    <w:rsid w:val="00930ABB"/>
    <w:rsid w:val="00932142"/>
    <w:rsid w:val="00932152"/>
    <w:rsid w:val="00932310"/>
    <w:rsid w:val="009324F9"/>
    <w:rsid w:val="009329F2"/>
    <w:rsid w:val="00932D7A"/>
    <w:rsid w:val="00932E92"/>
    <w:rsid w:val="009335FC"/>
    <w:rsid w:val="00933A31"/>
    <w:rsid w:val="00933E33"/>
    <w:rsid w:val="009344C0"/>
    <w:rsid w:val="00934E07"/>
    <w:rsid w:val="00936DB4"/>
    <w:rsid w:val="00937529"/>
    <w:rsid w:val="00937CBB"/>
    <w:rsid w:val="009400F0"/>
    <w:rsid w:val="009401DE"/>
    <w:rsid w:val="009403A6"/>
    <w:rsid w:val="00940640"/>
    <w:rsid w:val="00940A03"/>
    <w:rsid w:val="009413C8"/>
    <w:rsid w:val="00941598"/>
    <w:rsid w:val="00941645"/>
    <w:rsid w:val="00941D0A"/>
    <w:rsid w:val="0094225F"/>
    <w:rsid w:val="0094279F"/>
    <w:rsid w:val="00942DBE"/>
    <w:rsid w:val="00942EB1"/>
    <w:rsid w:val="009436C9"/>
    <w:rsid w:val="00943BA0"/>
    <w:rsid w:val="009448FF"/>
    <w:rsid w:val="00944BF4"/>
    <w:rsid w:val="00944D89"/>
    <w:rsid w:val="00945014"/>
    <w:rsid w:val="009457C6"/>
    <w:rsid w:val="009465DA"/>
    <w:rsid w:val="009469A1"/>
    <w:rsid w:val="00947021"/>
    <w:rsid w:val="0094732D"/>
    <w:rsid w:val="00947A0A"/>
    <w:rsid w:val="00947E74"/>
    <w:rsid w:val="009508E2"/>
    <w:rsid w:val="00950CD7"/>
    <w:rsid w:val="009520F8"/>
    <w:rsid w:val="009525B3"/>
    <w:rsid w:val="00953394"/>
    <w:rsid w:val="00953DE0"/>
    <w:rsid w:val="009542A4"/>
    <w:rsid w:val="00954E16"/>
    <w:rsid w:val="00955EE8"/>
    <w:rsid w:val="0095610F"/>
    <w:rsid w:val="009562F1"/>
    <w:rsid w:val="00956337"/>
    <w:rsid w:val="0095697D"/>
    <w:rsid w:val="00956DC9"/>
    <w:rsid w:val="009575B8"/>
    <w:rsid w:val="00957641"/>
    <w:rsid w:val="0095797A"/>
    <w:rsid w:val="00957FDA"/>
    <w:rsid w:val="00960AAA"/>
    <w:rsid w:val="00960F3B"/>
    <w:rsid w:val="009627CD"/>
    <w:rsid w:val="00963007"/>
    <w:rsid w:val="00963048"/>
    <w:rsid w:val="009630BD"/>
    <w:rsid w:val="009631F4"/>
    <w:rsid w:val="00963A8D"/>
    <w:rsid w:val="00964201"/>
    <w:rsid w:val="009646BE"/>
    <w:rsid w:val="00965315"/>
    <w:rsid w:val="00966007"/>
    <w:rsid w:val="009663FA"/>
    <w:rsid w:val="00966C12"/>
    <w:rsid w:val="00966C6C"/>
    <w:rsid w:val="00967DEC"/>
    <w:rsid w:val="0097063C"/>
    <w:rsid w:val="0097070F"/>
    <w:rsid w:val="00970B35"/>
    <w:rsid w:val="00970CCA"/>
    <w:rsid w:val="009722C8"/>
    <w:rsid w:val="00972715"/>
    <w:rsid w:val="00972DD8"/>
    <w:rsid w:val="00973B3C"/>
    <w:rsid w:val="00975372"/>
    <w:rsid w:val="009754AD"/>
    <w:rsid w:val="00976790"/>
    <w:rsid w:val="00977517"/>
    <w:rsid w:val="00977806"/>
    <w:rsid w:val="00977E7C"/>
    <w:rsid w:val="009806D4"/>
    <w:rsid w:val="009815D5"/>
    <w:rsid w:val="009818C8"/>
    <w:rsid w:val="00981E65"/>
    <w:rsid w:val="009829AA"/>
    <w:rsid w:val="00984096"/>
    <w:rsid w:val="0098442B"/>
    <w:rsid w:val="00984DE2"/>
    <w:rsid w:val="00985740"/>
    <w:rsid w:val="00986AA0"/>
    <w:rsid w:val="00986CB8"/>
    <w:rsid w:val="00987356"/>
    <w:rsid w:val="00987DBB"/>
    <w:rsid w:val="00987E90"/>
    <w:rsid w:val="009922AA"/>
    <w:rsid w:val="00993DEA"/>
    <w:rsid w:val="0099400D"/>
    <w:rsid w:val="0099490D"/>
    <w:rsid w:val="0099555E"/>
    <w:rsid w:val="009958C4"/>
    <w:rsid w:val="0099612C"/>
    <w:rsid w:val="00996162"/>
    <w:rsid w:val="00996964"/>
    <w:rsid w:val="00996BF0"/>
    <w:rsid w:val="00996CDE"/>
    <w:rsid w:val="00996E0E"/>
    <w:rsid w:val="009972F5"/>
    <w:rsid w:val="00997C71"/>
    <w:rsid w:val="009A02AF"/>
    <w:rsid w:val="009A0AA1"/>
    <w:rsid w:val="009A0C1F"/>
    <w:rsid w:val="009A1669"/>
    <w:rsid w:val="009A1B7E"/>
    <w:rsid w:val="009A1F80"/>
    <w:rsid w:val="009A24F2"/>
    <w:rsid w:val="009A303B"/>
    <w:rsid w:val="009A322C"/>
    <w:rsid w:val="009A3A04"/>
    <w:rsid w:val="009A484F"/>
    <w:rsid w:val="009A4982"/>
    <w:rsid w:val="009A7CC5"/>
    <w:rsid w:val="009A7FC8"/>
    <w:rsid w:val="009B0030"/>
    <w:rsid w:val="009B0A34"/>
    <w:rsid w:val="009B0CA6"/>
    <w:rsid w:val="009B10D3"/>
    <w:rsid w:val="009B1234"/>
    <w:rsid w:val="009B1618"/>
    <w:rsid w:val="009B1B25"/>
    <w:rsid w:val="009B2292"/>
    <w:rsid w:val="009B2628"/>
    <w:rsid w:val="009B2C24"/>
    <w:rsid w:val="009B368E"/>
    <w:rsid w:val="009B40B5"/>
    <w:rsid w:val="009B469A"/>
    <w:rsid w:val="009B475E"/>
    <w:rsid w:val="009B56EE"/>
    <w:rsid w:val="009B5D75"/>
    <w:rsid w:val="009B7BCF"/>
    <w:rsid w:val="009B7C4C"/>
    <w:rsid w:val="009B7E00"/>
    <w:rsid w:val="009C03AC"/>
    <w:rsid w:val="009C0DDB"/>
    <w:rsid w:val="009C1561"/>
    <w:rsid w:val="009C22A0"/>
    <w:rsid w:val="009C2471"/>
    <w:rsid w:val="009C2527"/>
    <w:rsid w:val="009C27DC"/>
    <w:rsid w:val="009C2836"/>
    <w:rsid w:val="009C438A"/>
    <w:rsid w:val="009C440B"/>
    <w:rsid w:val="009C4DDF"/>
    <w:rsid w:val="009C4E56"/>
    <w:rsid w:val="009C4F3D"/>
    <w:rsid w:val="009C5658"/>
    <w:rsid w:val="009C6C39"/>
    <w:rsid w:val="009C6D07"/>
    <w:rsid w:val="009C7276"/>
    <w:rsid w:val="009C7769"/>
    <w:rsid w:val="009D021A"/>
    <w:rsid w:val="009D02DD"/>
    <w:rsid w:val="009D0451"/>
    <w:rsid w:val="009D0F39"/>
    <w:rsid w:val="009D11C4"/>
    <w:rsid w:val="009D1C93"/>
    <w:rsid w:val="009D4992"/>
    <w:rsid w:val="009D49B1"/>
    <w:rsid w:val="009D4A32"/>
    <w:rsid w:val="009D4A53"/>
    <w:rsid w:val="009D6F28"/>
    <w:rsid w:val="009D702B"/>
    <w:rsid w:val="009D7654"/>
    <w:rsid w:val="009D7A6D"/>
    <w:rsid w:val="009E00C0"/>
    <w:rsid w:val="009E15EC"/>
    <w:rsid w:val="009E1648"/>
    <w:rsid w:val="009E1A46"/>
    <w:rsid w:val="009E1D96"/>
    <w:rsid w:val="009E2251"/>
    <w:rsid w:val="009E2576"/>
    <w:rsid w:val="009E265B"/>
    <w:rsid w:val="009E274E"/>
    <w:rsid w:val="009E3791"/>
    <w:rsid w:val="009E3BEC"/>
    <w:rsid w:val="009E431F"/>
    <w:rsid w:val="009E53B7"/>
    <w:rsid w:val="009E5498"/>
    <w:rsid w:val="009E54B2"/>
    <w:rsid w:val="009E60E6"/>
    <w:rsid w:val="009E627A"/>
    <w:rsid w:val="009E6351"/>
    <w:rsid w:val="009E660C"/>
    <w:rsid w:val="009E6EA1"/>
    <w:rsid w:val="009E6FA1"/>
    <w:rsid w:val="009E797D"/>
    <w:rsid w:val="009E7B96"/>
    <w:rsid w:val="009F05C5"/>
    <w:rsid w:val="009F09A1"/>
    <w:rsid w:val="009F0EF6"/>
    <w:rsid w:val="009F1390"/>
    <w:rsid w:val="009F174F"/>
    <w:rsid w:val="009F248A"/>
    <w:rsid w:val="009F2785"/>
    <w:rsid w:val="009F330F"/>
    <w:rsid w:val="009F3806"/>
    <w:rsid w:val="009F3F7D"/>
    <w:rsid w:val="009F5424"/>
    <w:rsid w:val="009F5713"/>
    <w:rsid w:val="009F5EBD"/>
    <w:rsid w:val="009F6455"/>
    <w:rsid w:val="009F6F16"/>
    <w:rsid w:val="009F7D73"/>
    <w:rsid w:val="009F7F50"/>
    <w:rsid w:val="00A0099E"/>
    <w:rsid w:val="00A01622"/>
    <w:rsid w:val="00A0169D"/>
    <w:rsid w:val="00A01997"/>
    <w:rsid w:val="00A019EF"/>
    <w:rsid w:val="00A01F8A"/>
    <w:rsid w:val="00A02AF2"/>
    <w:rsid w:val="00A02FC4"/>
    <w:rsid w:val="00A03ADB"/>
    <w:rsid w:val="00A03BF6"/>
    <w:rsid w:val="00A03F4D"/>
    <w:rsid w:val="00A03FD8"/>
    <w:rsid w:val="00A04ED7"/>
    <w:rsid w:val="00A052B5"/>
    <w:rsid w:val="00A0586D"/>
    <w:rsid w:val="00A05D92"/>
    <w:rsid w:val="00A0652F"/>
    <w:rsid w:val="00A06AA4"/>
    <w:rsid w:val="00A06AFA"/>
    <w:rsid w:val="00A10664"/>
    <w:rsid w:val="00A107C6"/>
    <w:rsid w:val="00A10D42"/>
    <w:rsid w:val="00A110D1"/>
    <w:rsid w:val="00A1240D"/>
    <w:rsid w:val="00A12603"/>
    <w:rsid w:val="00A12EF2"/>
    <w:rsid w:val="00A13B66"/>
    <w:rsid w:val="00A147CF"/>
    <w:rsid w:val="00A148E1"/>
    <w:rsid w:val="00A149C2"/>
    <w:rsid w:val="00A150DE"/>
    <w:rsid w:val="00A15A0C"/>
    <w:rsid w:val="00A17272"/>
    <w:rsid w:val="00A177E5"/>
    <w:rsid w:val="00A20AA6"/>
    <w:rsid w:val="00A21B3C"/>
    <w:rsid w:val="00A21F90"/>
    <w:rsid w:val="00A222B1"/>
    <w:rsid w:val="00A23281"/>
    <w:rsid w:val="00A242AE"/>
    <w:rsid w:val="00A24433"/>
    <w:rsid w:val="00A24968"/>
    <w:rsid w:val="00A25D38"/>
    <w:rsid w:val="00A25E3C"/>
    <w:rsid w:val="00A262A8"/>
    <w:rsid w:val="00A267AE"/>
    <w:rsid w:val="00A26CD6"/>
    <w:rsid w:val="00A271A3"/>
    <w:rsid w:val="00A2775A"/>
    <w:rsid w:val="00A279E2"/>
    <w:rsid w:val="00A30109"/>
    <w:rsid w:val="00A30C4A"/>
    <w:rsid w:val="00A316B5"/>
    <w:rsid w:val="00A3252D"/>
    <w:rsid w:val="00A32666"/>
    <w:rsid w:val="00A32C61"/>
    <w:rsid w:val="00A331A9"/>
    <w:rsid w:val="00A331CF"/>
    <w:rsid w:val="00A33A1F"/>
    <w:rsid w:val="00A34E11"/>
    <w:rsid w:val="00A352D1"/>
    <w:rsid w:val="00A3547C"/>
    <w:rsid w:val="00A35768"/>
    <w:rsid w:val="00A35AF0"/>
    <w:rsid w:val="00A362F6"/>
    <w:rsid w:val="00A3680A"/>
    <w:rsid w:val="00A36AEB"/>
    <w:rsid w:val="00A370D8"/>
    <w:rsid w:val="00A376CE"/>
    <w:rsid w:val="00A403F4"/>
    <w:rsid w:val="00A41477"/>
    <w:rsid w:val="00A42120"/>
    <w:rsid w:val="00A42264"/>
    <w:rsid w:val="00A42EF7"/>
    <w:rsid w:val="00A4374F"/>
    <w:rsid w:val="00A43ED7"/>
    <w:rsid w:val="00A43F87"/>
    <w:rsid w:val="00A45F01"/>
    <w:rsid w:val="00A46003"/>
    <w:rsid w:val="00A46DCD"/>
    <w:rsid w:val="00A46E7A"/>
    <w:rsid w:val="00A47727"/>
    <w:rsid w:val="00A479C5"/>
    <w:rsid w:val="00A47FBD"/>
    <w:rsid w:val="00A50610"/>
    <w:rsid w:val="00A50687"/>
    <w:rsid w:val="00A50D4E"/>
    <w:rsid w:val="00A51E1C"/>
    <w:rsid w:val="00A51E4A"/>
    <w:rsid w:val="00A52164"/>
    <w:rsid w:val="00A52213"/>
    <w:rsid w:val="00A52853"/>
    <w:rsid w:val="00A52DF1"/>
    <w:rsid w:val="00A53689"/>
    <w:rsid w:val="00A53C58"/>
    <w:rsid w:val="00A53E2D"/>
    <w:rsid w:val="00A540FA"/>
    <w:rsid w:val="00A54EA1"/>
    <w:rsid w:val="00A5504D"/>
    <w:rsid w:val="00A55159"/>
    <w:rsid w:val="00A56E31"/>
    <w:rsid w:val="00A56FA4"/>
    <w:rsid w:val="00A576EA"/>
    <w:rsid w:val="00A5774E"/>
    <w:rsid w:val="00A57D65"/>
    <w:rsid w:val="00A600FE"/>
    <w:rsid w:val="00A60FC0"/>
    <w:rsid w:val="00A61063"/>
    <w:rsid w:val="00A61130"/>
    <w:rsid w:val="00A61131"/>
    <w:rsid w:val="00A6145A"/>
    <w:rsid w:val="00A61D9F"/>
    <w:rsid w:val="00A61E07"/>
    <w:rsid w:val="00A62070"/>
    <w:rsid w:val="00A6225B"/>
    <w:rsid w:val="00A62466"/>
    <w:rsid w:val="00A62BAF"/>
    <w:rsid w:val="00A63099"/>
    <w:rsid w:val="00A637C9"/>
    <w:rsid w:val="00A639D6"/>
    <w:rsid w:val="00A63B9B"/>
    <w:rsid w:val="00A6402E"/>
    <w:rsid w:val="00A647E0"/>
    <w:rsid w:val="00A647F3"/>
    <w:rsid w:val="00A64921"/>
    <w:rsid w:val="00A6502A"/>
    <w:rsid w:val="00A6513D"/>
    <w:rsid w:val="00A65C05"/>
    <w:rsid w:val="00A65D14"/>
    <w:rsid w:val="00A65EAA"/>
    <w:rsid w:val="00A660C0"/>
    <w:rsid w:val="00A66531"/>
    <w:rsid w:val="00A6679C"/>
    <w:rsid w:val="00A66B0D"/>
    <w:rsid w:val="00A66F65"/>
    <w:rsid w:val="00A673D7"/>
    <w:rsid w:val="00A67660"/>
    <w:rsid w:val="00A7003D"/>
    <w:rsid w:val="00A7070D"/>
    <w:rsid w:val="00A71277"/>
    <w:rsid w:val="00A716E2"/>
    <w:rsid w:val="00A71860"/>
    <w:rsid w:val="00A71F5D"/>
    <w:rsid w:val="00A7229F"/>
    <w:rsid w:val="00A72C49"/>
    <w:rsid w:val="00A72DEB"/>
    <w:rsid w:val="00A7408A"/>
    <w:rsid w:val="00A74277"/>
    <w:rsid w:val="00A74EFF"/>
    <w:rsid w:val="00A75E47"/>
    <w:rsid w:val="00A76C4E"/>
    <w:rsid w:val="00A772C5"/>
    <w:rsid w:val="00A77AAE"/>
    <w:rsid w:val="00A77D2B"/>
    <w:rsid w:val="00A77DE4"/>
    <w:rsid w:val="00A81144"/>
    <w:rsid w:val="00A8177E"/>
    <w:rsid w:val="00A818B5"/>
    <w:rsid w:val="00A81D42"/>
    <w:rsid w:val="00A8210E"/>
    <w:rsid w:val="00A827D8"/>
    <w:rsid w:val="00A82FF3"/>
    <w:rsid w:val="00A835C2"/>
    <w:rsid w:val="00A836E7"/>
    <w:rsid w:val="00A837A1"/>
    <w:rsid w:val="00A83835"/>
    <w:rsid w:val="00A83ACC"/>
    <w:rsid w:val="00A8446A"/>
    <w:rsid w:val="00A84A66"/>
    <w:rsid w:val="00A84D99"/>
    <w:rsid w:val="00A855C2"/>
    <w:rsid w:val="00A860DC"/>
    <w:rsid w:val="00A87994"/>
    <w:rsid w:val="00A90045"/>
    <w:rsid w:val="00A918AA"/>
    <w:rsid w:val="00A9191A"/>
    <w:rsid w:val="00A919D7"/>
    <w:rsid w:val="00A92339"/>
    <w:rsid w:val="00A925CD"/>
    <w:rsid w:val="00A92A65"/>
    <w:rsid w:val="00A92B70"/>
    <w:rsid w:val="00A93070"/>
    <w:rsid w:val="00A93542"/>
    <w:rsid w:val="00A935DF"/>
    <w:rsid w:val="00A938B3"/>
    <w:rsid w:val="00A94781"/>
    <w:rsid w:val="00A947DF"/>
    <w:rsid w:val="00A94BC0"/>
    <w:rsid w:val="00A94FF6"/>
    <w:rsid w:val="00A96102"/>
    <w:rsid w:val="00AA0164"/>
    <w:rsid w:val="00AA07A4"/>
    <w:rsid w:val="00AA0F3A"/>
    <w:rsid w:val="00AA0F51"/>
    <w:rsid w:val="00AA1566"/>
    <w:rsid w:val="00AA1A80"/>
    <w:rsid w:val="00AA1CE3"/>
    <w:rsid w:val="00AA1D6E"/>
    <w:rsid w:val="00AA3127"/>
    <w:rsid w:val="00AA37ED"/>
    <w:rsid w:val="00AA3F17"/>
    <w:rsid w:val="00AA4390"/>
    <w:rsid w:val="00AA4AC9"/>
    <w:rsid w:val="00AA51DE"/>
    <w:rsid w:val="00AA5404"/>
    <w:rsid w:val="00AA5EF3"/>
    <w:rsid w:val="00AA6659"/>
    <w:rsid w:val="00AA66C8"/>
    <w:rsid w:val="00AA686B"/>
    <w:rsid w:val="00AA6CE9"/>
    <w:rsid w:val="00AA6F5D"/>
    <w:rsid w:val="00AA7060"/>
    <w:rsid w:val="00AA727C"/>
    <w:rsid w:val="00AA796C"/>
    <w:rsid w:val="00AA79A4"/>
    <w:rsid w:val="00AA7B06"/>
    <w:rsid w:val="00AB016A"/>
    <w:rsid w:val="00AB09C9"/>
    <w:rsid w:val="00AB0B99"/>
    <w:rsid w:val="00AB17D5"/>
    <w:rsid w:val="00AB1E38"/>
    <w:rsid w:val="00AB253C"/>
    <w:rsid w:val="00AB276E"/>
    <w:rsid w:val="00AB292C"/>
    <w:rsid w:val="00AB2BDC"/>
    <w:rsid w:val="00AB2D21"/>
    <w:rsid w:val="00AB38B7"/>
    <w:rsid w:val="00AB391B"/>
    <w:rsid w:val="00AB5138"/>
    <w:rsid w:val="00AB514D"/>
    <w:rsid w:val="00AB5F9D"/>
    <w:rsid w:val="00AB6435"/>
    <w:rsid w:val="00AB770E"/>
    <w:rsid w:val="00AC0949"/>
    <w:rsid w:val="00AC0DB0"/>
    <w:rsid w:val="00AC0E4C"/>
    <w:rsid w:val="00AC2293"/>
    <w:rsid w:val="00AC23C3"/>
    <w:rsid w:val="00AC2EFC"/>
    <w:rsid w:val="00AC2F7D"/>
    <w:rsid w:val="00AC2F7F"/>
    <w:rsid w:val="00AC3116"/>
    <w:rsid w:val="00AC44EA"/>
    <w:rsid w:val="00AC59BC"/>
    <w:rsid w:val="00AC5A18"/>
    <w:rsid w:val="00AC5AF3"/>
    <w:rsid w:val="00AC5B49"/>
    <w:rsid w:val="00AC668F"/>
    <w:rsid w:val="00AC6731"/>
    <w:rsid w:val="00AC6EC7"/>
    <w:rsid w:val="00AC6F3C"/>
    <w:rsid w:val="00AC7BA1"/>
    <w:rsid w:val="00AC7E33"/>
    <w:rsid w:val="00AC7E94"/>
    <w:rsid w:val="00AD14BB"/>
    <w:rsid w:val="00AD1662"/>
    <w:rsid w:val="00AD1692"/>
    <w:rsid w:val="00AD1EF0"/>
    <w:rsid w:val="00AD208C"/>
    <w:rsid w:val="00AD3413"/>
    <w:rsid w:val="00AD447F"/>
    <w:rsid w:val="00AD4499"/>
    <w:rsid w:val="00AD46D5"/>
    <w:rsid w:val="00AD492E"/>
    <w:rsid w:val="00AD4E1D"/>
    <w:rsid w:val="00AD538E"/>
    <w:rsid w:val="00AD53FA"/>
    <w:rsid w:val="00AD5463"/>
    <w:rsid w:val="00AD5A8E"/>
    <w:rsid w:val="00AD66E1"/>
    <w:rsid w:val="00AD68C5"/>
    <w:rsid w:val="00AD695E"/>
    <w:rsid w:val="00AD69E3"/>
    <w:rsid w:val="00AD78D7"/>
    <w:rsid w:val="00AD7EE1"/>
    <w:rsid w:val="00AE013D"/>
    <w:rsid w:val="00AE0731"/>
    <w:rsid w:val="00AE07B9"/>
    <w:rsid w:val="00AE08A1"/>
    <w:rsid w:val="00AE10D2"/>
    <w:rsid w:val="00AE11D8"/>
    <w:rsid w:val="00AE1C91"/>
    <w:rsid w:val="00AE2805"/>
    <w:rsid w:val="00AE2E75"/>
    <w:rsid w:val="00AE3561"/>
    <w:rsid w:val="00AE35C2"/>
    <w:rsid w:val="00AE3D7E"/>
    <w:rsid w:val="00AE3FE6"/>
    <w:rsid w:val="00AE438F"/>
    <w:rsid w:val="00AE55AC"/>
    <w:rsid w:val="00AE5714"/>
    <w:rsid w:val="00AE57C1"/>
    <w:rsid w:val="00AE6937"/>
    <w:rsid w:val="00AE6FDA"/>
    <w:rsid w:val="00AE74A2"/>
    <w:rsid w:val="00AF0174"/>
    <w:rsid w:val="00AF12F9"/>
    <w:rsid w:val="00AF1EF2"/>
    <w:rsid w:val="00AF1FCF"/>
    <w:rsid w:val="00AF22E4"/>
    <w:rsid w:val="00AF2D51"/>
    <w:rsid w:val="00AF2E43"/>
    <w:rsid w:val="00AF2FE6"/>
    <w:rsid w:val="00AF3B3B"/>
    <w:rsid w:val="00AF400E"/>
    <w:rsid w:val="00AF4592"/>
    <w:rsid w:val="00AF4BD4"/>
    <w:rsid w:val="00AF5825"/>
    <w:rsid w:val="00AF59BB"/>
    <w:rsid w:val="00AF5B9E"/>
    <w:rsid w:val="00AF68D3"/>
    <w:rsid w:val="00AF6FDB"/>
    <w:rsid w:val="00AF70F6"/>
    <w:rsid w:val="00AF7FF2"/>
    <w:rsid w:val="00B004EE"/>
    <w:rsid w:val="00B00818"/>
    <w:rsid w:val="00B00D38"/>
    <w:rsid w:val="00B013AA"/>
    <w:rsid w:val="00B01432"/>
    <w:rsid w:val="00B0161E"/>
    <w:rsid w:val="00B03E61"/>
    <w:rsid w:val="00B045D1"/>
    <w:rsid w:val="00B05C8A"/>
    <w:rsid w:val="00B05DBB"/>
    <w:rsid w:val="00B06876"/>
    <w:rsid w:val="00B06ED1"/>
    <w:rsid w:val="00B06F64"/>
    <w:rsid w:val="00B0718B"/>
    <w:rsid w:val="00B07640"/>
    <w:rsid w:val="00B1008F"/>
    <w:rsid w:val="00B107CA"/>
    <w:rsid w:val="00B1096C"/>
    <w:rsid w:val="00B10C74"/>
    <w:rsid w:val="00B110F4"/>
    <w:rsid w:val="00B1196C"/>
    <w:rsid w:val="00B11B28"/>
    <w:rsid w:val="00B11C18"/>
    <w:rsid w:val="00B11D0C"/>
    <w:rsid w:val="00B11F69"/>
    <w:rsid w:val="00B120DD"/>
    <w:rsid w:val="00B122B4"/>
    <w:rsid w:val="00B125B7"/>
    <w:rsid w:val="00B12FF0"/>
    <w:rsid w:val="00B1530B"/>
    <w:rsid w:val="00B155DD"/>
    <w:rsid w:val="00B15875"/>
    <w:rsid w:val="00B15C74"/>
    <w:rsid w:val="00B15FD8"/>
    <w:rsid w:val="00B15FF1"/>
    <w:rsid w:val="00B16376"/>
    <w:rsid w:val="00B1676B"/>
    <w:rsid w:val="00B174BD"/>
    <w:rsid w:val="00B201D8"/>
    <w:rsid w:val="00B204D7"/>
    <w:rsid w:val="00B212CF"/>
    <w:rsid w:val="00B22589"/>
    <w:rsid w:val="00B22625"/>
    <w:rsid w:val="00B22F4C"/>
    <w:rsid w:val="00B23656"/>
    <w:rsid w:val="00B257BC"/>
    <w:rsid w:val="00B25B0F"/>
    <w:rsid w:val="00B25D0A"/>
    <w:rsid w:val="00B25DE9"/>
    <w:rsid w:val="00B265E6"/>
    <w:rsid w:val="00B27B69"/>
    <w:rsid w:val="00B306A2"/>
    <w:rsid w:val="00B309F4"/>
    <w:rsid w:val="00B309FB"/>
    <w:rsid w:val="00B31D97"/>
    <w:rsid w:val="00B32A14"/>
    <w:rsid w:val="00B32AC0"/>
    <w:rsid w:val="00B3311A"/>
    <w:rsid w:val="00B3316E"/>
    <w:rsid w:val="00B3545A"/>
    <w:rsid w:val="00B35647"/>
    <w:rsid w:val="00B35B5C"/>
    <w:rsid w:val="00B36040"/>
    <w:rsid w:val="00B3615D"/>
    <w:rsid w:val="00B367CC"/>
    <w:rsid w:val="00B36A91"/>
    <w:rsid w:val="00B36CFF"/>
    <w:rsid w:val="00B3702F"/>
    <w:rsid w:val="00B371B2"/>
    <w:rsid w:val="00B37623"/>
    <w:rsid w:val="00B37CDD"/>
    <w:rsid w:val="00B4052B"/>
    <w:rsid w:val="00B40768"/>
    <w:rsid w:val="00B411AC"/>
    <w:rsid w:val="00B415F7"/>
    <w:rsid w:val="00B4164F"/>
    <w:rsid w:val="00B418B8"/>
    <w:rsid w:val="00B426E6"/>
    <w:rsid w:val="00B42FA7"/>
    <w:rsid w:val="00B434E0"/>
    <w:rsid w:val="00B438C8"/>
    <w:rsid w:val="00B43CBB"/>
    <w:rsid w:val="00B44E41"/>
    <w:rsid w:val="00B4512C"/>
    <w:rsid w:val="00B45979"/>
    <w:rsid w:val="00B46558"/>
    <w:rsid w:val="00B4778F"/>
    <w:rsid w:val="00B50048"/>
    <w:rsid w:val="00B51315"/>
    <w:rsid w:val="00B514FD"/>
    <w:rsid w:val="00B519B7"/>
    <w:rsid w:val="00B5219B"/>
    <w:rsid w:val="00B53537"/>
    <w:rsid w:val="00B53EBA"/>
    <w:rsid w:val="00B54069"/>
    <w:rsid w:val="00B546B4"/>
    <w:rsid w:val="00B54914"/>
    <w:rsid w:val="00B550F2"/>
    <w:rsid w:val="00B55162"/>
    <w:rsid w:val="00B560A6"/>
    <w:rsid w:val="00B56585"/>
    <w:rsid w:val="00B56F32"/>
    <w:rsid w:val="00B572BB"/>
    <w:rsid w:val="00B57D3A"/>
    <w:rsid w:val="00B57FB9"/>
    <w:rsid w:val="00B607E3"/>
    <w:rsid w:val="00B60B42"/>
    <w:rsid w:val="00B60DAC"/>
    <w:rsid w:val="00B61573"/>
    <w:rsid w:val="00B62193"/>
    <w:rsid w:val="00B62A8A"/>
    <w:rsid w:val="00B63504"/>
    <w:rsid w:val="00B63E0D"/>
    <w:rsid w:val="00B6450B"/>
    <w:rsid w:val="00B6451B"/>
    <w:rsid w:val="00B64CD8"/>
    <w:rsid w:val="00B65768"/>
    <w:rsid w:val="00B65EE9"/>
    <w:rsid w:val="00B65FA9"/>
    <w:rsid w:val="00B6626B"/>
    <w:rsid w:val="00B66B82"/>
    <w:rsid w:val="00B66E5F"/>
    <w:rsid w:val="00B66E75"/>
    <w:rsid w:val="00B70460"/>
    <w:rsid w:val="00B7056A"/>
    <w:rsid w:val="00B7066C"/>
    <w:rsid w:val="00B70F48"/>
    <w:rsid w:val="00B72351"/>
    <w:rsid w:val="00B724BA"/>
    <w:rsid w:val="00B72FDB"/>
    <w:rsid w:val="00B73129"/>
    <w:rsid w:val="00B74DEF"/>
    <w:rsid w:val="00B7532F"/>
    <w:rsid w:val="00B7588D"/>
    <w:rsid w:val="00B75916"/>
    <w:rsid w:val="00B75EE2"/>
    <w:rsid w:val="00B7609F"/>
    <w:rsid w:val="00B765FD"/>
    <w:rsid w:val="00B767D7"/>
    <w:rsid w:val="00B76950"/>
    <w:rsid w:val="00B77031"/>
    <w:rsid w:val="00B779C2"/>
    <w:rsid w:val="00B77A5C"/>
    <w:rsid w:val="00B77C91"/>
    <w:rsid w:val="00B77F77"/>
    <w:rsid w:val="00B80288"/>
    <w:rsid w:val="00B80844"/>
    <w:rsid w:val="00B80891"/>
    <w:rsid w:val="00B80CF5"/>
    <w:rsid w:val="00B81369"/>
    <w:rsid w:val="00B813D7"/>
    <w:rsid w:val="00B815DD"/>
    <w:rsid w:val="00B81785"/>
    <w:rsid w:val="00B81A22"/>
    <w:rsid w:val="00B82E45"/>
    <w:rsid w:val="00B8326F"/>
    <w:rsid w:val="00B83B1F"/>
    <w:rsid w:val="00B83BE7"/>
    <w:rsid w:val="00B83D8D"/>
    <w:rsid w:val="00B83EB7"/>
    <w:rsid w:val="00B84351"/>
    <w:rsid w:val="00B849EF"/>
    <w:rsid w:val="00B84A1F"/>
    <w:rsid w:val="00B85066"/>
    <w:rsid w:val="00B855F9"/>
    <w:rsid w:val="00B85FA5"/>
    <w:rsid w:val="00B8640E"/>
    <w:rsid w:val="00B87CCE"/>
    <w:rsid w:val="00B904AA"/>
    <w:rsid w:val="00B90F5A"/>
    <w:rsid w:val="00B91937"/>
    <w:rsid w:val="00B91D24"/>
    <w:rsid w:val="00B92552"/>
    <w:rsid w:val="00B92670"/>
    <w:rsid w:val="00B9276C"/>
    <w:rsid w:val="00B92FB5"/>
    <w:rsid w:val="00B92FDB"/>
    <w:rsid w:val="00B93180"/>
    <w:rsid w:val="00B931C6"/>
    <w:rsid w:val="00B93BC1"/>
    <w:rsid w:val="00B93C61"/>
    <w:rsid w:val="00B9401A"/>
    <w:rsid w:val="00B946BA"/>
    <w:rsid w:val="00B94B1F"/>
    <w:rsid w:val="00B951D5"/>
    <w:rsid w:val="00B95D65"/>
    <w:rsid w:val="00B95EA1"/>
    <w:rsid w:val="00B96BF4"/>
    <w:rsid w:val="00B96F89"/>
    <w:rsid w:val="00B97947"/>
    <w:rsid w:val="00B97CFC"/>
    <w:rsid w:val="00BA0367"/>
    <w:rsid w:val="00BA0A09"/>
    <w:rsid w:val="00BA0EC6"/>
    <w:rsid w:val="00BA0FC9"/>
    <w:rsid w:val="00BA10C3"/>
    <w:rsid w:val="00BA1323"/>
    <w:rsid w:val="00BA14B1"/>
    <w:rsid w:val="00BA1529"/>
    <w:rsid w:val="00BA1C73"/>
    <w:rsid w:val="00BA2147"/>
    <w:rsid w:val="00BA23F1"/>
    <w:rsid w:val="00BA3AE0"/>
    <w:rsid w:val="00BA3C8F"/>
    <w:rsid w:val="00BA3EBB"/>
    <w:rsid w:val="00BA3FAE"/>
    <w:rsid w:val="00BA44CF"/>
    <w:rsid w:val="00BA4571"/>
    <w:rsid w:val="00BA4A4E"/>
    <w:rsid w:val="00BA6288"/>
    <w:rsid w:val="00BA6504"/>
    <w:rsid w:val="00BA6D9F"/>
    <w:rsid w:val="00BA753A"/>
    <w:rsid w:val="00BA7558"/>
    <w:rsid w:val="00BA7ACD"/>
    <w:rsid w:val="00BB03C4"/>
    <w:rsid w:val="00BB0CE8"/>
    <w:rsid w:val="00BB1A43"/>
    <w:rsid w:val="00BB1C7E"/>
    <w:rsid w:val="00BB1CE7"/>
    <w:rsid w:val="00BB1E0A"/>
    <w:rsid w:val="00BB1E0B"/>
    <w:rsid w:val="00BB213C"/>
    <w:rsid w:val="00BB247E"/>
    <w:rsid w:val="00BB24C8"/>
    <w:rsid w:val="00BB32D6"/>
    <w:rsid w:val="00BB3F75"/>
    <w:rsid w:val="00BB50F4"/>
    <w:rsid w:val="00BB539F"/>
    <w:rsid w:val="00BB582E"/>
    <w:rsid w:val="00BB5B9B"/>
    <w:rsid w:val="00BB61F8"/>
    <w:rsid w:val="00BB6217"/>
    <w:rsid w:val="00BB6382"/>
    <w:rsid w:val="00BB68FF"/>
    <w:rsid w:val="00BC0D35"/>
    <w:rsid w:val="00BC1008"/>
    <w:rsid w:val="00BC106F"/>
    <w:rsid w:val="00BC146C"/>
    <w:rsid w:val="00BC1C29"/>
    <w:rsid w:val="00BC25C3"/>
    <w:rsid w:val="00BC3521"/>
    <w:rsid w:val="00BC4993"/>
    <w:rsid w:val="00BC4C02"/>
    <w:rsid w:val="00BC4F2C"/>
    <w:rsid w:val="00BC61C1"/>
    <w:rsid w:val="00BC69A5"/>
    <w:rsid w:val="00BC6B3C"/>
    <w:rsid w:val="00BC6C70"/>
    <w:rsid w:val="00BC6D93"/>
    <w:rsid w:val="00BC6F95"/>
    <w:rsid w:val="00BC7811"/>
    <w:rsid w:val="00BC787E"/>
    <w:rsid w:val="00BC7BC2"/>
    <w:rsid w:val="00BC7C1F"/>
    <w:rsid w:val="00BC7F57"/>
    <w:rsid w:val="00BD08AF"/>
    <w:rsid w:val="00BD08C1"/>
    <w:rsid w:val="00BD237E"/>
    <w:rsid w:val="00BD27B3"/>
    <w:rsid w:val="00BD2CA8"/>
    <w:rsid w:val="00BD2FAD"/>
    <w:rsid w:val="00BD30AC"/>
    <w:rsid w:val="00BD3270"/>
    <w:rsid w:val="00BD39B7"/>
    <w:rsid w:val="00BD3B07"/>
    <w:rsid w:val="00BD3B9B"/>
    <w:rsid w:val="00BD4313"/>
    <w:rsid w:val="00BD47E0"/>
    <w:rsid w:val="00BD4DE8"/>
    <w:rsid w:val="00BD5C16"/>
    <w:rsid w:val="00BD5C30"/>
    <w:rsid w:val="00BD5C83"/>
    <w:rsid w:val="00BD6A24"/>
    <w:rsid w:val="00BD78C4"/>
    <w:rsid w:val="00BE01C9"/>
    <w:rsid w:val="00BE0341"/>
    <w:rsid w:val="00BE1175"/>
    <w:rsid w:val="00BE117F"/>
    <w:rsid w:val="00BE1299"/>
    <w:rsid w:val="00BE129C"/>
    <w:rsid w:val="00BE1844"/>
    <w:rsid w:val="00BE1FD8"/>
    <w:rsid w:val="00BE3732"/>
    <w:rsid w:val="00BE3DAE"/>
    <w:rsid w:val="00BE4161"/>
    <w:rsid w:val="00BE4897"/>
    <w:rsid w:val="00BE49D4"/>
    <w:rsid w:val="00BE55C3"/>
    <w:rsid w:val="00BE5642"/>
    <w:rsid w:val="00BE5E05"/>
    <w:rsid w:val="00BE616C"/>
    <w:rsid w:val="00BF00D5"/>
    <w:rsid w:val="00BF0838"/>
    <w:rsid w:val="00BF088A"/>
    <w:rsid w:val="00BF0976"/>
    <w:rsid w:val="00BF1BC3"/>
    <w:rsid w:val="00BF1C50"/>
    <w:rsid w:val="00BF1EE4"/>
    <w:rsid w:val="00BF232A"/>
    <w:rsid w:val="00BF30AC"/>
    <w:rsid w:val="00BF3456"/>
    <w:rsid w:val="00BF3D71"/>
    <w:rsid w:val="00BF4DBE"/>
    <w:rsid w:val="00BF4DEA"/>
    <w:rsid w:val="00BF5773"/>
    <w:rsid w:val="00BF58F1"/>
    <w:rsid w:val="00BF679C"/>
    <w:rsid w:val="00BF688F"/>
    <w:rsid w:val="00BF761B"/>
    <w:rsid w:val="00BF7667"/>
    <w:rsid w:val="00BF7A70"/>
    <w:rsid w:val="00BF7C97"/>
    <w:rsid w:val="00C000FC"/>
    <w:rsid w:val="00C0037D"/>
    <w:rsid w:val="00C0045D"/>
    <w:rsid w:val="00C0057E"/>
    <w:rsid w:val="00C00C90"/>
    <w:rsid w:val="00C01217"/>
    <w:rsid w:val="00C0136E"/>
    <w:rsid w:val="00C01432"/>
    <w:rsid w:val="00C0177B"/>
    <w:rsid w:val="00C02339"/>
    <w:rsid w:val="00C024B8"/>
    <w:rsid w:val="00C02607"/>
    <w:rsid w:val="00C0272D"/>
    <w:rsid w:val="00C0386B"/>
    <w:rsid w:val="00C04383"/>
    <w:rsid w:val="00C047F1"/>
    <w:rsid w:val="00C04B06"/>
    <w:rsid w:val="00C055A6"/>
    <w:rsid w:val="00C0565A"/>
    <w:rsid w:val="00C05C39"/>
    <w:rsid w:val="00C05CB9"/>
    <w:rsid w:val="00C05DB4"/>
    <w:rsid w:val="00C07494"/>
    <w:rsid w:val="00C0773B"/>
    <w:rsid w:val="00C07CEA"/>
    <w:rsid w:val="00C10B8C"/>
    <w:rsid w:val="00C11F37"/>
    <w:rsid w:val="00C1262F"/>
    <w:rsid w:val="00C12C72"/>
    <w:rsid w:val="00C1457C"/>
    <w:rsid w:val="00C15323"/>
    <w:rsid w:val="00C15BE2"/>
    <w:rsid w:val="00C16615"/>
    <w:rsid w:val="00C166CD"/>
    <w:rsid w:val="00C16B97"/>
    <w:rsid w:val="00C16C8A"/>
    <w:rsid w:val="00C17605"/>
    <w:rsid w:val="00C17833"/>
    <w:rsid w:val="00C1797A"/>
    <w:rsid w:val="00C179A3"/>
    <w:rsid w:val="00C200C8"/>
    <w:rsid w:val="00C20379"/>
    <w:rsid w:val="00C20DD1"/>
    <w:rsid w:val="00C20EA2"/>
    <w:rsid w:val="00C21C1F"/>
    <w:rsid w:val="00C22BA2"/>
    <w:rsid w:val="00C23149"/>
    <w:rsid w:val="00C233A7"/>
    <w:rsid w:val="00C23BA9"/>
    <w:rsid w:val="00C23E2B"/>
    <w:rsid w:val="00C2435B"/>
    <w:rsid w:val="00C24E64"/>
    <w:rsid w:val="00C24FBD"/>
    <w:rsid w:val="00C25998"/>
    <w:rsid w:val="00C25A0B"/>
    <w:rsid w:val="00C25FCC"/>
    <w:rsid w:val="00C26953"/>
    <w:rsid w:val="00C30182"/>
    <w:rsid w:val="00C30CE5"/>
    <w:rsid w:val="00C31111"/>
    <w:rsid w:val="00C312A1"/>
    <w:rsid w:val="00C313E8"/>
    <w:rsid w:val="00C3217B"/>
    <w:rsid w:val="00C32C57"/>
    <w:rsid w:val="00C3316D"/>
    <w:rsid w:val="00C33653"/>
    <w:rsid w:val="00C336DB"/>
    <w:rsid w:val="00C33922"/>
    <w:rsid w:val="00C33A6C"/>
    <w:rsid w:val="00C33FB4"/>
    <w:rsid w:val="00C34AEF"/>
    <w:rsid w:val="00C34D29"/>
    <w:rsid w:val="00C357C3"/>
    <w:rsid w:val="00C35BA2"/>
    <w:rsid w:val="00C35C6F"/>
    <w:rsid w:val="00C368CC"/>
    <w:rsid w:val="00C36BAB"/>
    <w:rsid w:val="00C37181"/>
    <w:rsid w:val="00C371D5"/>
    <w:rsid w:val="00C40328"/>
    <w:rsid w:val="00C4081F"/>
    <w:rsid w:val="00C40E92"/>
    <w:rsid w:val="00C41181"/>
    <w:rsid w:val="00C4128E"/>
    <w:rsid w:val="00C41408"/>
    <w:rsid w:val="00C41816"/>
    <w:rsid w:val="00C42146"/>
    <w:rsid w:val="00C42251"/>
    <w:rsid w:val="00C4383A"/>
    <w:rsid w:val="00C43A82"/>
    <w:rsid w:val="00C43BBD"/>
    <w:rsid w:val="00C44181"/>
    <w:rsid w:val="00C4489F"/>
    <w:rsid w:val="00C45000"/>
    <w:rsid w:val="00C45387"/>
    <w:rsid w:val="00C453A8"/>
    <w:rsid w:val="00C45735"/>
    <w:rsid w:val="00C459D6"/>
    <w:rsid w:val="00C45A00"/>
    <w:rsid w:val="00C45D02"/>
    <w:rsid w:val="00C46305"/>
    <w:rsid w:val="00C464CB"/>
    <w:rsid w:val="00C46562"/>
    <w:rsid w:val="00C47439"/>
    <w:rsid w:val="00C475AF"/>
    <w:rsid w:val="00C500CC"/>
    <w:rsid w:val="00C506F2"/>
    <w:rsid w:val="00C50BE0"/>
    <w:rsid w:val="00C515F4"/>
    <w:rsid w:val="00C52C70"/>
    <w:rsid w:val="00C52E1F"/>
    <w:rsid w:val="00C52FC3"/>
    <w:rsid w:val="00C53044"/>
    <w:rsid w:val="00C532AE"/>
    <w:rsid w:val="00C53A5D"/>
    <w:rsid w:val="00C53F1F"/>
    <w:rsid w:val="00C54592"/>
    <w:rsid w:val="00C54911"/>
    <w:rsid w:val="00C55068"/>
    <w:rsid w:val="00C5575A"/>
    <w:rsid w:val="00C5590A"/>
    <w:rsid w:val="00C5592E"/>
    <w:rsid w:val="00C55BBE"/>
    <w:rsid w:val="00C56118"/>
    <w:rsid w:val="00C563A4"/>
    <w:rsid w:val="00C5680B"/>
    <w:rsid w:val="00C56B2A"/>
    <w:rsid w:val="00C56FDD"/>
    <w:rsid w:val="00C5740D"/>
    <w:rsid w:val="00C5748F"/>
    <w:rsid w:val="00C57DED"/>
    <w:rsid w:val="00C57EB2"/>
    <w:rsid w:val="00C60027"/>
    <w:rsid w:val="00C60E24"/>
    <w:rsid w:val="00C61070"/>
    <w:rsid w:val="00C61B1D"/>
    <w:rsid w:val="00C61EE8"/>
    <w:rsid w:val="00C62731"/>
    <w:rsid w:val="00C62ACC"/>
    <w:rsid w:val="00C63E97"/>
    <w:rsid w:val="00C64AD2"/>
    <w:rsid w:val="00C64C02"/>
    <w:rsid w:val="00C65904"/>
    <w:rsid w:val="00C65EEC"/>
    <w:rsid w:val="00C66804"/>
    <w:rsid w:val="00C66C00"/>
    <w:rsid w:val="00C67B5B"/>
    <w:rsid w:val="00C67BCF"/>
    <w:rsid w:val="00C67ED2"/>
    <w:rsid w:val="00C70492"/>
    <w:rsid w:val="00C70AFA"/>
    <w:rsid w:val="00C70F59"/>
    <w:rsid w:val="00C70FF6"/>
    <w:rsid w:val="00C71658"/>
    <w:rsid w:val="00C71B4C"/>
    <w:rsid w:val="00C71D48"/>
    <w:rsid w:val="00C71EC0"/>
    <w:rsid w:val="00C7215A"/>
    <w:rsid w:val="00C72266"/>
    <w:rsid w:val="00C72360"/>
    <w:rsid w:val="00C72943"/>
    <w:rsid w:val="00C72AE4"/>
    <w:rsid w:val="00C73240"/>
    <w:rsid w:val="00C73ADD"/>
    <w:rsid w:val="00C74506"/>
    <w:rsid w:val="00C745C0"/>
    <w:rsid w:val="00C75505"/>
    <w:rsid w:val="00C7555F"/>
    <w:rsid w:val="00C767EB"/>
    <w:rsid w:val="00C76913"/>
    <w:rsid w:val="00C7748A"/>
    <w:rsid w:val="00C7779E"/>
    <w:rsid w:val="00C77B9A"/>
    <w:rsid w:val="00C77DF8"/>
    <w:rsid w:val="00C77FD3"/>
    <w:rsid w:val="00C80354"/>
    <w:rsid w:val="00C811AB"/>
    <w:rsid w:val="00C82050"/>
    <w:rsid w:val="00C824F7"/>
    <w:rsid w:val="00C82A42"/>
    <w:rsid w:val="00C83655"/>
    <w:rsid w:val="00C84190"/>
    <w:rsid w:val="00C84428"/>
    <w:rsid w:val="00C84E4A"/>
    <w:rsid w:val="00C85166"/>
    <w:rsid w:val="00C85995"/>
    <w:rsid w:val="00C85A36"/>
    <w:rsid w:val="00C860EA"/>
    <w:rsid w:val="00C86814"/>
    <w:rsid w:val="00C86D6B"/>
    <w:rsid w:val="00C86F40"/>
    <w:rsid w:val="00C877E2"/>
    <w:rsid w:val="00C8787A"/>
    <w:rsid w:val="00C90077"/>
    <w:rsid w:val="00C912AC"/>
    <w:rsid w:val="00C9246C"/>
    <w:rsid w:val="00C92B23"/>
    <w:rsid w:val="00C92F5E"/>
    <w:rsid w:val="00C930FB"/>
    <w:rsid w:val="00C93399"/>
    <w:rsid w:val="00C939EB"/>
    <w:rsid w:val="00C93B11"/>
    <w:rsid w:val="00C94362"/>
    <w:rsid w:val="00C94446"/>
    <w:rsid w:val="00C94CAE"/>
    <w:rsid w:val="00C94F51"/>
    <w:rsid w:val="00C95297"/>
    <w:rsid w:val="00C95643"/>
    <w:rsid w:val="00CA09D7"/>
    <w:rsid w:val="00CA151E"/>
    <w:rsid w:val="00CA1D5E"/>
    <w:rsid w:val="00CA33C2"/>
    <w:rsid w:val="00CA37B1"/>
    <w:rsid w:val="00CA387F"/>
    <w:rsid w:val="00CA4C1C"/>
    <w:rsid w:val="00CA4D62"/>
    <w:rsid w:val="00CA550E"/>
    <w:rsid w:val="00CA5939"/>
    <w:rsid w:val="00CA6C96"/>
    <w:rsid w:val="00CA78F2"/>
    <w:rsid w:val="00CB00F0"/>
    <w:rsid w:val="00CB06BD"/>
    <w:rsid w:val="00CB07A3"/>
    <w:rsid w:val="00CB162B"/>
    <w:rsid w:val="00CB1E90"/>
    <w:rsid w:val="00CB2D26"/>
    <w:rsid w:val="00CB36AD"/>
    <w:rsid w:val="00CB3A7C"/>
    <w:rsid w:val="00CB3D57"/>
    <w:rsid w:val="00CB41E5"/>
    <w:rsid w:val="00CB4E86"/>
    <w:rsid w:val="00CB543F"/>
    <w:rsid w:val="00CB560C"/>
    <w:rsid w:val="00CB5F7C"/>
    <w:rsid w:val="00CB6009"/>
    <w:rsid w:val="00CB6568"/>
    <w:rsid w:val="00CB6664"/>
    <w:rsid w:val="00CB68A3"/>
    <w:rsid w:val="00CB7058"/>
    <w:rsid w:val="00CC0600"/>
    <w:rsid w:val="00CC0CCF"/>
    <w:rsid w:val="00CC1503"/>
    <w:rsid w:val="00CC1B11"/>
    <w:rsid w:val="00CC1B20"/>
    <w:rsid w:val="00CC1BEB"/>
    <w:rsid w:val="00CC1DD1"/>
    <w:rsid w:val="00CC23F2"/>
    <w:rsid w:val="00CC2626"/>
    <w:rsid w:val="00CC28D2"/>
    <w:rsid w:val="00CC28D5"/>
    <w:rsid w:val="00CC2F7A"/>
    <w:rsid w:val="00CC3317"/>
    <w:rsid w:val="00CC34BF"/>
    <w:rsid w:val="00CC36FE"/>
    <w:rsid w:val="00CC3936"/>
    <w:rsid w:val="00CC3A54"/>
    <w:rsid w:val="00CC3CA3"/>
    <w:rsid w:val="00CC4472"/>
    <w:rsid w:val="00CC4BF4"/>
    <w:rsid w:val="00CC5EBD"/>
    <w:rsid w:val="00CC67D5"/>
    <w:rsid w:val="00CC7B66"/>
    <w:rsid w:val="00CC7B75"/>
    <w:rsid w:val="00CC7CC0"/>
    <w:rsid w:val="00CC7E33"/>
    <w:rsid w:val="00CD1018"/>
    <w:rsid w:val="00CD15BE"/>
    <w:rsid w:val="00CD2684"/>
    <w:rsid w:val="00CD2CE2"/>
    <w:rsid w:val="00CD306D"/>
    <w:rsid w:val="00CD3CAE"/>
    <w:rsid w:val="00CD40DF"/>
    <w:rsid w:val="00CD432D"/>
    <w:rsid w:val="00CD605E"/>
    <w:rsid w:val="00CD66BE"/>
    <w:rsid w:val="00CD76EA"/>
    <w:rsid w:val="00CE01D4"/>
    <w:rsid w:val="00CE03CD"/>
    <w:rsid w:val="00CE0A6D"/>
    <w:rsid w:val="00CE0C27"/>
    <w:rsid w:val="00CE12C3"/>
    <w:rsid w:val="00CE1376"/>
    <w:rsid w:val="00CE1396"/>
    <w:rsid w:val="00CE1421"/>
    <w:rsid w:val="00CE16E6"/>
    <w:rsid w:val="00CE2225"/>
    <w:rsid w:val="00CE240B"/>
    <w:rsid w:val="00CE3AED"/>
    <w:rsid w:val="00CE48D1"/>
    <w:rsid w:val="00CE4F65"/>
    <w:rsid w:val="00CE4FF8"/>
    <w:rsid w:val="00CE5E57"/>
    <w:rsid w:val="00CE62FC"/>
    <w:rsid w:val="00CE6702"/>
    <w:rsid w:val="00CE6D73"/>
    <w:rsid w:val="00CE706E"/>
    <w:rsid w:val="00CE7996"/>
    <w:rsid w:val="00CE79B9"/>
    <w:rsid w:val="00CE7E8B"/>
    <w:rsid w:val="00CF1070"/>
    <w:rsid w:val="00CF1073"/>
    <w:rsid w:val="00CF12CC"/>
    <w:rsid w:val="00CF24CE"/>
    <w:rsid w:val="00CF2F5E"/>
    <w:rsid w:val="00CF3C15"/>
    <w:rsid w:val="00CF5097"/>
    <w:rsid w:val="00CF5689"/>
    <w:rsid w:val="00CF5DDE"/>
    <w:rsid w:val="00CF623C"/>
    <w:rsid w:val="00CF63AB"/>
    <w:rsid w:val="00D01AE0"/>
    <w:rsid w:val="00D01BA2"/>
    <w:rsid w:val="00D01E15"/>
    <w:rsid w:val="00D01EB5"/>
    <w:rsid w:val="00D01F75"/>
    <w:rsid w:val="00D02215"/>
    <w:rsid w:val="00D027EB"/>
    <w:rsid w:val="00D02BC5"/>
    <w:rsid w:val="00D02CA9"/>
    <w:rsid w:val="00D02F94"/>
    <w:rsid w:val="00D03608"/>
    <w:rsid w:val="00D03616"/>
    <w:rsid w:val="00D04C36"/>
    <w:rsid w:val="00D0508C"/>
    <w:rsid w:val="00D05144"/>
    <w:rsid w:val="00D059BF"/>
    <w:rsid w:val="00D05D48"/>
    <w:rsid w:val="00D06770"/>
    <w:rsid w:val="00D06E2A"/>
    <w:rsid w:val="00D07182"/>
    <w:rsid w:val="00D0726E"/>
    <w:rsid w:val="00D076A2"/>
    <w:rsid w:val="00D100FC"/>
    <w:rsid w:val="00D1060A"/>
    <w:rsid w:val="00D1177F"/>
    <w:rsid w:val="00D11999"/>
    <w:rsid w:val="00D1212F"/>
    <w:rsid w:val="00D124CA"/>
    <w:rsid w:val="00D12946"/>
    <w:rsid w:val="00D12C87"/>
    <w:rsid w:val="00D12E5B"/>
    <w:rsid w:val="00D12E86"/>
    <w:rsid w:val="00D13186"/>
    <w:rsid w:val="00D131B8"/>
    <w:rsid w:val="00D142E1"/>
    <w:rsid w:val="00D14446"/>
    <w:rsid w:val="00D145E0"/>
    <w:rsid w:val="00D146D5"/>
    <w:rsid w:val="00D15462"/>
    <w:rsid w:val="00D159F5"/>
    <w:rsid w:val="00D15EE0"/>
    <w:rsid w:val="00D168D8"/>
    <w:rsid w:val="00D17034"/>
    <w:rsid w:val="00D17889"/>
    <w:rsid w:val="00D201FC"/>
    <w:rsid w:val="00D20F64"/>
    <w:rsid w:val="00D21FE6"/>
    <w:rsid w:val="00D2233A"/>
    <w:rsid w:val="00D224AB"/>
    <w:rsid w:val="00D224DD"/>
    <w:rsid w:val="00D22506"/>
    <w:rsid w:val="00D22DA7"/>
    <w:rsid w:val="00D23826"/>
    <w:rsid w:val="00D24DAA"/>
    <w:rsid w:val="00D24EE0"/>
    <w:rsid w:val="00D253DE"/>
    <w:rsid w:val="00D25AA7"/>
    <w:rsid w:val="00D25ACA"/>
    <w:rsid w:val="00D26069"/>
    <w:rsid w:val="00D2677A"/>
    <w:rsid w:val="00D27BD5"/>
    <w:rsid w:val="00D27D85"/>
    <w:rsid w:val="00D302CC"/>
    <w:rsid w:val="00D30B0A"/>
    <w:rsid w:val="00D3195A"/>
    <w:rsid w:val="00D32449"/>
    <w:rsid w:val="00D3263F"/>
    <w:rsid w:val="00D3295B"/>
    <w:rsid w:val="00D35960"/>
    <w:rsid w:val="00D35CCD"/>
    <w:rsid w:val="00D35FDA"/>
    <w:rsid w:val="00D364AA"/>
    <w:rsid w:val="00D36D57"/>
    <w:rsid w:val="00D36E92"/>
    <w:rsid w:val="00D372E0"/>
    <w:rsid w:val="00D37EFE"/>
    <w:rsid w:val="00D402FF"/>
    <w:rsid w:val="00D4047F"/>
    <w:rsid w:val="00D41181"/>
    <w:rsid w:val="00D4136A"/>
    <w:rsid w:val="00D41A37"/>
    <w:rsid w:val="00D41ADB"/>
    <w:rsid w:val="00D420A4"/>
    <w:rsid w:val="00D42F17"/>
    <w:rsid w:val="00D432E6"/>
    <w:rsid w:val="00D43673"/>
    <w:rsid w:val="00D4386F"/>
    <w:rsid w:val="00D43A48"/>
    <w:rsid w:val="00D43C06"/>
    <w:rsid w:val="00D446DE"/>
    <w:rsid w:val="00D44FE5"/>
    <w:rsid w:val="00D450EC"/>
    <w:rsid w:val="00D453DE"/>
    <w:rsid w:val="00D455B4"/>
    <w:rsid w:val="00D46423"/>
    <w:rsid w:val="00D464DC"/>
    <w:rsid w:val="00D46EFB"/>
    <w:rsid w:val="00D47A4C"/>
    <w:rsid w:val="00D50AB4"/>
    <w:rsid w:val="00D51302"/>
    <w:rsid w:val="00D515F7"/>
    <w:rsid w:val="00D52C76"/>
    <w:rsid w:val="00D52DDC"/>
    <w:rsid w:val="00D5334E"/>
    <w:rsid w:val="00D5356B"/>
    <w:rsid w:val="00D53A87"/>
    <w:rsid w:val="00D546BA"/>
    <w:rsid w:val="00D54F67"/>
    <w:rsid w:val="00D56DEC"/>
    <w:rsid w:val="00D57485"/>
    <w:rsid w:val="00D57D7C"/>
    <w:rsid w:val="00D6065E"/>
    <w:rsid w:val="00D61039"/>
    <w:rsid w:val="00D61FB4"/>
    <w:rsid w:val="00D62430"/>
    <w:rsid w:val="00D62711"/>
    <w:rsid w:val="00D6272D"/>
    <w:rsid w:val="00D62899"/>
    <w:rsid w:val="00D63900"/>
    <w:rsid w:val="00D63DB9"/>
    <w:rsid w:val="00D64744"/>
    <w:rsid w:val="00D64796"/>
    <w:rsid w:val="00D649B4"/>
    <w:rsid w:val="00D64B4F"/>
    <w:rsid w:val="00D64EBE"/>
    <w:rsid w:val="00D656CD"/>
    <w:rsid w:val="00D6595C"/>
    <w:rsid w:val="00D65B62"/>
    <w:rsid w:val="00D6648E"/>
    <w:rsid w:val="00D6651F"/>
    <w:rsid w:val="00D6715E"/>
    <w:rsid w:val="00D67382"/>
    <w:rsid w:val="00D67817"/>
    <w:rsid w:val="00D6799F"/>
    <w:rsid w:val="00D70323"/>
    <w:rsid w:val="00D70424"/>
    <w:rsid w:val="00D70584"/>
    <w:rsid w:val="00D71159"/>
    <w:rsid w:val="00D716D2"/>
    <w:rsid w:val="00D71851"/>
    <w:rsid w:val="00D72148"/>
    <w:rsid w:val="00D7341D"/>
    <w:rsid w:val="00D73A97"/>
    <w:rsid w:val="00D73DAE"/>
    <w:rsid w:val="00D74BCE"/>
    <w:rsid w:val="00D755E0"/>
    <w:rsid w:val="00D758BF"/>
    <w:rsid w:val="00D76800"/>
    <w:rsid w:val="00D77D88"/>
    <w:rsid w:val="00D77DCF"/>
    <w:rsid w:val="00D81166"/>
    <w:rsid w:val="00D8238D"/>
    <w:rsid w:val="00D82C2A"/>
    <w:rsid w:val="00D83B16"/>
    <w:rsid w:val="00D83D84"/>
    <w:rsid w:val="00D847FA"/>
    <w:rsid w:val="00D85442"/>
    <w:rsid w:val="00D85FA2"/>
    <w:rsid w:val="00D86267"/>
    <w:rsid w:val="00D862F1"/>
    <w:rsid w:val="00D86B3A"/>
    <w:rsid w:val="00D86C63"/>
    <w:rsid w:val="00D87164"/>
    <w:rsid w:val="00D875B5"/>
    <w:rsid w:val="00D87B5B"/>
    <w:rsid w:val="00D90D0F"/>
    <w:rsid w:val="00D92479"/>
    <w:rsid w:val="00D92B68"/>
    <w:rsid w:val="00D930A6"/>
    <w:rsid w:val="00D937BB"/>
    <w:rsid w:val="00D93A0D"/>
    <w:rsid w:val="00D94D05"/>
    <w:rsid w:val="00D94DB7"/>
    <w:rsid w:val="00D95305"/>
    <w:rsid w:val="00D95BC3"/>
    <w:rsid w:val="00D963ED"/>
    <w:rsid w:val="00D976CD"/>
    <w:rsid w:val="00D97A31"/>
    <w:rsid w:val="00DA00E7"/>
    <w:rsid w:val="00DA0241"/>
    <w:rsid w:val="00DA02E8"/>
    <w:rsid w:val="00DA02F7"/>
    <w:rsid w:val="00DA0EBE"/>
    <w:rsid w:val="00DA1F19"/>
    <w:rsid w:val="00DA2317"/>
    <w:rsid w:val="00DA2EAA"/>
    <w:rsid w:val="00DA3486"/>
    <w:rsid w:val="00DA40BA"/>
    <w:rsid w:val="00DA411F"/>
    <w:rsid w:val="00DA45E2"/>
    <w:rsid w:val="00DA4844"/>
    <w:rsid w:val="00DA6C9C"/>
    <w:rsid w:val="00DA78CC"/>
    <w:rsid w:val="00DA7B85"/>
    <w:rsid w:val="00DA7D75"/>
    <w:rsid w:val="00DA7FD4"/>
    <w:rsid w:val="00DB03DF"/>
    <w:rsid w:val="00DB1C17"/>
    <w:rsid w:val="00DB2577"/>
    <w:rsid w:val="00DB2651"/>
    <w:rsid w:val="00DB2A47"/>
    <w:rsid w:val="00DB3D66"/>
    <w:rsid w:val="00DB3F24"/>
    <w:rsid w:val="00DB4EBA"/>
    <w:rsid w:val="00DB5113"/>
    <w:rsid w:val="00DB5228"/>
    <w:rsid w:val="00DB5BA8"/>
    <w:rsid w:val="00DB666C"/>
    <w:rsid w:val="00DB77D1"/>
    <w:rsid w:val="00DC0171"/>
    <w:rsid w:val="00DC069A"/>
    <w:rsid w:val="00DC1380"/>
    <w:rsid w:val="00DC16FC"/>
    <w:rsid w:val="00DC1B9A"/>
    <w:rsid w:val="00DC1BFF"/>
    <w:rsid w:val="00DC26E4"/>
    <w:rsid w:val="00DC26F6"/>
    <w:rsid w:val="00DC27B7"/>
    <w:rsid w:val="00DC2848"/>
    <w:rsid w:val="00DC305D"/>
    <w:rsid w:val="00DC3BAD"/>
    <w:rsid w:val="00DC40D6"/>
    <w:rsid w:val="00DC4347"/>
    <w:rsid w:val="00DC43BF"/>
    <w:rsid w:val="00DC5143"/>
    <w:rsid w:val="00DC534B"/>
    <w:rsid w:val="00DC5B94"/>
    <w:rsid w:val="00DC5E2E"/>
    <w:rsid w:val="00DC7DF8"/>
    <w:rsid w:val="00DD02FA"/>
    <w:rsid w:val="00DD0821"/>
    <w:rsid w:val="00DD0DE0"/>
    <w:rsid w:val="00DD1EFD"/>
    <w:rsid w:val="00DD1FFC"/>
    <w:rsid w:val="00DD2676"/>
    <w:rsid w:val="00DD4080"/>
    <w:rsid w:val="00DD54CD"/>
    <w:rsid w:val="00DD57F5"/>
    <w:rsid w:val="00DD58D8"/>
    <w:rsid w:val="00DD6540"/>
    <w:rsid w:val="00DD66AE"/>
    <w:rsid w:val="00DD717C"/>
    <w:rsid w:val="00DD7E95"/>
    <w:rsid w:val="00DE0FB6"/>
    <w:rsid w:val="00DE18CB"/>
    <w:rsid w:val="00DE1FB7"/>
    <w:rsid w:val="00DE206C"/>
    <w:rsid w:val="00DE26F9"/>
    <w:rsid w:val="00DE2843"/>
    <w:rsid w:val="00DE3607"/>
    <w:rsid w:val="00DE3A5D"/>
    <w:rsid w:val="00DE3F16"/>
    <w:rsid w:val="00DE42B0"/>
    <w:rsid w:val="00DE5022"/>
    <w:rsid w:val="00DE503B"/>
    <w:rsid w:val="00DE57E7"/>
    <w:rsid w:val="00DE5E1D"/>
    <w:rsid w:val="00DE6D08"/>
    <w:rsid w:val="00DF119E"/>
    <w:rsid w:val="00DF1FEA"/>
    <w:rsid w:val="00DF205B"/>
    <w:rsid w:val="00DF2A7A"/>
    <w:rsid w:val="00DF3078"/>
    <w:rsid w:val="00DF4679"/>
    <w:rsid w:val="00DF4C8F"/>
    <w:rsid w:val="00DF563F"/>
    <w:rsid w:val="00DF567A"/>
    <w:rsid w:val="00DF596E"/>
    <w:rsid w:val="00DF5AE0"/>
    <w:rsid w:val="00DF5B35"/>
    <w:rsid w:val="00DF5B38"/>
    <w:rsid w:val="00DF709F"/>
    <w:rsid w:val="00DF777C"/>
    <w:rsid w:val="00DF784E"/>
    <w:rsid w:val="00DF7CF5"/>
    <w:rsid w:val="00E00D7C"/>
    <w:rsid w:val="00E00F35"/>
    <w:rsid w:val="00E01653"/>
    <w:rsid w:val="00E01B6A"/>
    <w:rsid w:val="00E021DC"/>
    <w:rsid w:val="00E0424C"/>
    <w:rsid w:val="00E047C0"/>
    <w:rsid w:val="00E048D6"/>
    <w:rsid w:val="00E05177"/>
    <w:rsid w:val="00E05192"/>
    <w:rsid w:val="00E059B8"/>
    <w:rsid w:val="00E05A85"/>
    <w:rsid w:val="00E067D5"/>
    <w:rsid w:val="00E06BCE"/>
    <w:rsid w:val="00E07AA0"/>
    <w:rsid w:val="00E100BA"/>
    <w:rsid w:val="00E114C7"/>
    <w:rsid w:val="00E128B7"/>
    <w:rsid w:val="00E13239"/>
    <w:rsid w:val="00E1338F"/>
    <w:rsid w:val="00E14771"/>
    <w:rsid w:val="00E153FA"/>
    <w:rsid w:val="00E15DF2"/>
    <w:rsid w:val="00E160B4"/>
    <w:rsid w:val="00E162C5"/>
    <w:rsid w:val="00E166AF"/>
    <w:rsid w:val="00E171D2"/>
    <w:rsid w:val="00E172B3"/>
    <w:rsid w:val="00E175EE"/>
    <w:rsid w:val="00E17701"/>
    <w:rsid w:val="00E2055C"/>
    <w:rsid w:val="00E205BB"/>
    <w:rsid w:val="00E20748"/>
    <w:rsid w:val="00E21169"/>
    <w:rsid w:val="00E211E4"/>
    <w:rsid w:val="00E21E1F"/>
    <w:rsid w:val="00E21ECB"/>
    <w:rsid w:val="00E233E4"/>
    <w:rsid w:val="00E23A9F"/>
    <w:rsid w:val="00E24A58"/>
    <w:rsid w:val="00E24BF2"/>
    <w:rsid w:val="00E2567D"/>
    <w:rsid w:val="00E3015B"/>
    <w:rsid w:val="00E316B9"/>
    <w:rsid w:val="00E330F6"/>
    <w:rsid w:val="00E34CC6"/>
    <w:rsid w:val="00E34DCF"/>
    <w:rsid w:val="00E34EF1"/>
    <w:rsid w:val="00E35522"/>
    <w:rsid w:val="00E35F73"/>
    <w:rsid w:val="00E37FB3"/>
    <w:rsid w:val="00E402B8"/>
    <w:rsid w:val="00E4053F"/>
    <w:rsid w:val="00E41247"/>
    <w:rsid w:val="00E41A80"/>
    <w:rsid w:val="00E41D17"/>
    <w:rsid w:val="00E41F1E"/>
    <w:rsid w:val="00E423C1"/>
    <w:rsid w:val="00E4268B"/>
    <w:rsid w:val="00E42A39"/>
    <w:rsid w:val="00E42EFE"/>
    <w:rsid w:val="00E43056"/>
    <w:rsid w:val="00E43059"/>
    <w:rsid w:val="00E43DCA"/>
    <w:rsid w:val="00E4547A"/>
    <w:rsid w:val="00E4547C"/>
    <w:rsid w:val="00E45CEA"/>
    <w:rsid w:val="00E45F31"/>
    <w:rsid w:val="00E4607A"/>
    <w:rsid w:val="00E46E84"/>
    <w:rsid w:val="00E47444"/>
    <w:rsid w:val="00E4751A"/>
    <w:rsid w:val="00E47687"/>
    <w:rsid w:val="00E477BE"/>
    <w:rsid w:val="00E479F8"/>
    <w:rsid w:val="00E47C83"/>
    <w:rsid w:val="00E47ED4"/>
    <w:rsid w:val="00E47F60"/>
    <w:rsid w:val="00E47F9F"/>
    <w:rsid w:val="00E5038F"/>
    <w:rsid w:val="00E507A7"/>
    <w:rsid w:val="00E50951"/>
    <w:rsid w:val="00E516C0"/>
    <w:rsid w:val="00E519BE"/>
    <w:rsid w:val="00E51FBD"/>
    <w:rsid w:val="00E524F5"/>
    <w:rsid w:val="00E52CBA"/>
    <w:rsid w:val="00E52D30"/>
    <w:rsid w:val="00E53252"/>
    <w:rsid w:val="00E53A05"/>
    <w:rsid w:val="00E54A9E"/>
    <w:rsid w:val="00E56ECC"/>
    <w:rsid w:val="00E56FBC"/>
    <w:rsid w:val="00E571AD"/>
    <w:rsid w:val="00E57302"/>
    <w:rsid w:val="00E57AD2"/>
    <w:rsid w:val="00E57E13"/>
    <w:rsid w:val="00E57E71"/>
    <w:rsid w:val="00E60075"/>
    <w:rsid w:val="00E60966"/>
    <w:rsid w:val="00E60BB9"/>
    <w:rsid w:val="00E60F39"/>
    <w:rsid w:val="00E61DA2"/>
    <w:rsid w:val="00E63B42"/>
    <w:rsid w:val="00E64C62"/>
    <w:rsid w:val="00E64F59"/>
    <w:rsid w:val="00E65B57"/>
    <w:rsid w:val="00E65B88"/>
    <w:rsid w:val="00E668E0"/>
    <w:rsid w:val="00E66CFD"/>
    <w:rsid w:val="00E67130"/>
    <w:rsid w:val="00E6768E"/>
    <w:rsid w:val="00E67C7C"/>
    <w:rsid w:val="00E70BC8"/>
    <w:rsid w:val="00E714CE"/>
    <w:rsid w:val="00E71624"/>
    <w:rsid w:val="00E71E41"/>
    <w:rsid w:val="00E7255A"/>
    <w:rsid w:val="00E728AF"/>
    <w:rsid w:val="00E72ACF"/>
    <w:rsid w:val="00E735A5"/>
    <w:rsid w:val="00E73B15"/>
    <w:rsid w:val="00E73C8B"/>
    <w:rsid w:val="00E7457F"/>
    <w:rsid w:val="00E7465A"/>
    <w:rsid w:val="00E7496F"/>
    <w:rsid w:val="00E75A8D"/>
    <w:rsid w:val="00E75AE5"/>
    <w:rsid w:val="00E762FA"/>
    <w:rsid w:val="00E76F85"/>
    <w:rsid w:val="00E77C31"/>
    <w:rsid w:val="00E77CFE"/>
    <w:rsid w:val="00E804D6"/>
    <w:rsid w:val="00E807DE"/>
    <w:rsid w:val="00E80A85"/>
    <w:rsid w:val="00E80AC6"/>
    <w:rsid w:val="00E80F51"/>
    <w:rsid w:val="00E815C9"/>
    <w:rsid w:val="00E81B80"/>
    <w:rsid w:val="00E81D39"/>
    <w:rsid w:val="00E820F7"/>
    <w:rsid w:val="00E82480"/>
    <w:rsid w:val="00E8317D"/>
    <w:rsid w:val="00E83586"/>
    <w:rsid w:val="00E838DA"/>
    <w:rsid w:val="00E8392A"/>
    <w:rsid w:val="00E83BD7"/>
    <w:rsid w:val="00E83EF6"/>
    <w:rsid w:val="00E84237"/>
    <w:rsid w:val="00E84601"/>
    <w:rsid w:val="00E855DE"/>
    <w:rsid w:val="00E85954"/>
    <w:rsid w:val="00E86848"/>
    <w:rsid w:val="00E875E1"/>
    <w:rsid w:val="00E87633"/>
    <w:rsid w:val="00E8774C"/>
    <w:rsid w:val="00E87B72"/>
    <w:rsid w:val="00E90143"/>
    <w:rsid w:val="00E9201F"/>
    <w:rsid w:val="00E92610"/>
    <w:rsid w:val="00E9270C"/>
    <w:rsid w:val="00E93F4A"/>
    <w:rsid w:val="00E95014"/>
    <w:rsid w:val="00E9514D"/>
    <w:rsid w:val="00E953BA"/>
    <w:rsid w:val="00E97209"/>
    <w:rsid w:val="00EA0B3A"/>
    <w:rsid w:val="00EA1241"/>
    <w:rsid w:val="00EA178E"/>
    <w:rsid w:val="00EA1B99"/>
    <w:rsid w:val="00EA1EBE"/>
    <w:rsid w:val="00EA264B"/>
    <w:rsid w:val="00EA2CCF"/>
    <w:rsid w:val="00EA3604"/>
    <w:rsid w:val="00EA3659"/>
    <w:rsid w:val="00EA40C1"/>
    <w:rsid w:val="00EA42BD"/>
    <w:rsid w:val="00EA4E26"/>
    <w:rsid w:val="00EA4EA8"/>
    <w:rsid w:val="00EA5752"/>
    <w:rsid w:val="00EA60C1"/>
    <w:rsid w:val="00EA61C6"/>
    <w:rsid w:val="00EA61C7"/>
    <w:rsid w:val="00EA6C0F"/>
    <w:rsid w:val="00EA6DEA"/>
    <w:rsid w:val="00EA7069"/>
    <w:rsid w:val="00EA7277"/>
    <w:rsid w:val="00EA72C9"/>
    <w:rsid w:val="00EA7431"/>
    <w:rsid w:val="00EA79E1"/>
    <w:rsid w:val="00EA7E01"/>
    <w:rsid w:val="00EB071D"/>
    <w:rsid w:val="00EB1635"/>
    <w:rsid w:val="00EB19AC"/>
    <w:rsid w:val="00EB33EA"/>
    <w:rsid w:val="00EB36A4"/>
    <w:rsid w:val="00EB3DB7"/>
    <w:rsid w:val="00EB467C"/>
    <w:rsid w:val="00EB471F"/>
    <w:rsid w:val="00EB50AA"/>
    <w:rsid w:val="00EB5559"/>
    <w:rsid w:val="00EB5B82"/>
    <w:rsid w:val="00EB5C23"/>
    <w:rsid w:val="00EB5C67"/>
    <w:rsid w:val="00EB67A4"/>
    <w:rsid w:val="00EB77AE"/>
    <w:rsid w:val="00EC006C"/>
    <w:rsid w:val="00EC02BB"/>
    <w:rsid w:val="00EC089C"/>
    <w:rsid w:val="00EC1A19"/>
    <w:rsid w:val="00EC1DA1"/>
    <w:rsid w:val="00EC24E4"/>
    <w:rsid w:val="00EC25A1"/>
    <w:rsid w:val="00EC28DE"/>
    <w:rsid w:val="00EC293E"/>
    <w:rsid w:val="00EC2CD3"/>
    <w:rsid w:val="00EC2D00"/>
    <w:rsid w:val="00EC2E5D"/>
    <w:rsid w:val="00EC33B9"/>
    <w:rsid w:val="00EC35DA"/>
    <w:rsid w:val="00EC36FA"/>
    <w:rsid w:val="00EC3F6C"/>
    <w:rsid w:val="00EC5D3E"/>
    <w:rsid w:val="00EC5ECF"/>
    <w:rsid w:val="00EC78CF"/>
    <w:rsid w:val="00EC7D39"/>
    <w:rsid w:val="00EC7E96"/>
    <w:rsid w:val="00ED03E8"/>
    <w:rsid w:val="00ED1219"/>
    <w:rsid w:val="00ED12FD"/>
    <w:rsid w:val="00ED1BBE"/>
    <w:rsid w:val="00ED1C7D"/>
    <w:rsid w:val="00ED1EFE"/>
    <w:rsid w:val="00ED1F57"/>
    <w:rsid w:val="00ED222C"/>
    <w:rsid w:val="00ED24C5"/>
    <w:rsid w:val="00ED2D78"/>
    <w:rsid w:val="00ED3187"/>
    <w:rsid w:val="00ED39DD"/>
    <w:rsid w:val="00ED4751"/>
    <w:rsid w:val="00ED49C8"/>
    <w:rsid w:val="00ED53E3"/>
    <w:rsid w:val="00ED5451"/>
    <w:rsid w:val="00ED6923"/>
    <w:rsid w:val="00ED6DC1"/>
    <w:rsid w:val="00ED71F8"/>
    <w:rsid w:val="00ED7534"/>
    <w:rsid w:val="00ED7E59"/>
    <w:rsid w:val="00EE22FF"/>
    <w:rsid w:val="00EE2590"/>
    <w:rsid w:val="00EE5402"/>
    <w:rsid w:val="00EE57E9"/>
    <w:rsid w:val="00EE5CF3"/>
    <w:rsid w:val="00EE5E6B"/>
    <w:rsid w:val="00EE6138"/>
    <w:rsid w:val="00EE67C1"/>
    <w:rsid w:val="00EE6BD9"/>
    <w:rsid w:val="00EE6DFB"/>
    <w:rsid w:val="00EE7709"/>
    <w:rsid w:val="00EE79BC"/>
    <w:rsid w:val="00EE7B76"/>
    <w:rsid w:val="00EF00FF"/>
    <w:rsid w:val="00EF1FAC"/>
    <w:rsid w:val="00EF351C"/>
    <w:rsid w:val="00EF440F"/>
    <w:rsid w:val="00EF4A8B"/>
    <w:rsid w:val="00EF4C70"/>
    <w:rsid w:val="00EF4CEA"/>
    <w:rsid w:val="00EF4DF5"/>
    <w:rsid w:val="00EF50AD"/>
    <w:rsid w:val="00EF5429"/>
    <w:rsid w:val="00EF6839"/>
    <w:rsid w:val="00EF6D2F"/>
    <w:rsid w:val="00EF70E6"/>
    <w:rsid w:val="00EF745C"/>
    <w:rsid w:val="00EF7465"/>
    <w:rsid w:val="00EF7AB9"/>
    <w:rsid w:val="00F00069"/>
    <w:rsid w:val="00F00C68"/>
    <w:rsid w:val="00F00DBD"/>
    <w:rsid w:val="00F015D0"/>
    <w:rsid w:val="00F0161D"/>
    <w:rsid w:val="00F01793"/>
    <w:rsid w:val="00F01C0E"/>
    <w:rsid w:val="00F0249F"/>
    <w:rsid w:val="00F02E77"/>
    <w:rsid w:val="00F03E3A"/>
    <w:rsid w:val="00F04421"/>
    <w:rsid w:val="00F044BD"/>
    <w:rsid w:val="00F04AA9"/>
    <w:rsid w:val="00F04C07"/>
    <w:rsid w:val="00F04C77"/>
    <w:rsid w:val="00F04F1F"/>
    <w:rsid w:val="00F067C5"/>
    <w:rsid w:val="00F07417"/>
    <w:rsid w:val="00F074B0"/>
    <w:rsid w:val="00F07830"/>
    <w:rsid w:val="00F07DA4"/>
    <w:rsid w:val="00F10187"/>
    <w:rsid w:val="00F114F1"/>
    <w:rsid w:val="00F13623"/>
    <w:rsid w:val="00F14567"/>
    <w:rsid w:val="00F1468E"/>
    <w:rsid w:val="00F146F6"/>
    <w:rsid w:val="00F148E3"/>
    <w:rsid w:val="00F14F84"/>
    <w:rsid w:val="00F1665A"/>
    <w:rsid w:val="00F168D8"/>
    <w:rsid w:val="00F16B5A"/>
    <w:rsid w:val="00F16C5F"/>
    <w:rsid w:val="00F17619"/>
    <w:rsid w:val="00F20028"/>
    <w:rsid w:val="00F201D3"/>
    <w:rsid w:val="00F20854"/>
    <w:rsid w:val="00F20885"/>
    <w:rsid w:val="00F21006"/>
    <w:rsid w:val="00F21F76"/>
    <w:rsid w:val="00F22812"/>
    <w:rsid w:val="00F22C51"/>
    <w:rsid w:val="00F22E73"/>
    <w:rsid w:val="00F23691"/>
    <w:rsid w:val="00F23A22"/>
    <w:rsid w:val="00F2408C"/>
    <w:rsid w:val="00F2501C"/>
    <w:rsid w:val="00F25633"/>
    <w:rsid w:val="00F264B9"/>
    <w:rsid w:val="00F266D5"/>
    <w:rsid w:val="00F267DB"/>
    <w:rsid w:val="00F302D6"/>
    <w:rsid w:val="00F304E5"/>
    <w:rsid w:val="00F3055A"/>
    <w:rsid w:val="00F314E4"/>
    <w:rsid w:val="00F31539"/>
    <w:rsid w:val="00F3181D"/>
    <w:rsid w:val="00F31A51"/>
    <w:rsid w:val="00F31F48"/>
    <w:rsid w:val="00F326B5"/>
    <w:rsid w:val="00F326D9"/>
    <w:rsid w:val="00F32E8F"/>
    <w:rsid w:val="00F32F09"/>
    <w:rsid w:val="00F33295"/>
    <w:rsid w:val="00F33451"/>
    <w:rsid w:val="00F33B4E"/>
    <w:rsid w:val="00F34BA3"/>
    <w:rsid w:val="00F34CD5"/>
    <w:rsid w:val="00F34E2C"/>
    <w:rsid w:val="00F34E4E"/>
    <w:rsid w:val="00F356EA"/>
    <w:rsid w:val="00F3570C"/>
    <w:rsid w:val="00F371DB"/>
    <w:rsid w:val="00F37B0C"/>
    <w:rsid w:val="00F37B6D"/>
    <w:rsid w:val="00F37C72"/>
    <w:rsid w:val="00F37D26"/>
    <w:rsid w:val="00F40A2D"/>
    <w:rsid w:val="00F4193F"/>
    <w:rsid w:val="00F41DAA"/>
    <w:rsid w:val="00F41F9C"/>
    <w:rsid w:val="00F4201F"/>
    <w:rsid w:val="00F43051"/>
    <w:rsid w:val="00F43CB0"/>
    <w:rsid w:val="00F44B59"/>
    <w:rsid w:val="00F45053"/>
    <w:rsid w:val="00F45418"/>
    <w:rsid w:val="00F45BA7"/>
    <w:rsid w:val="00F468ED"/>
    <w:rsid w:val="00F47206"/>
    <w:rsid w:val="00F47618"/>
    <w:rsid w:val="00F47D63"/>
    <w:rsid w:val="00F47EDC"/>
    <w:rsid w:val="00F50013"/>
    <w:rsid w:val="00F50628"/>
    <w:rsid w:val="00F50D6E"/>
    <w:rsid w:val="00F5148B"/>
    <w:rsid w:val="00F51F53"/>
    <w:rsid w:val="00F52029"/>
    <w:rsid w:val="00F5206E"/>
    <w:rsid w:val="00F5251C"/>
    <w:rsid w:val="00F533C3"/>
    <w:rsid w:val="00F534DD"/>
    <w:rsid w:val="00F53AC3"/>
    <w:rsid w:val="00F54777"/>
    <w:rsid w:val="00F54B48"/>
    <w:rsid w:val="00F54E0F"/>
    <w:rsid w:val="00F55035"/>
    <w:rsid w:val="00F5630D"/>
    <w:rsid w:val="00F56C35"/>
    <w:rsid w:val="00F56DCF"/>
    <w:rsid w:val="00F56F61"/>
    <w:rsid w:val="00F57E8A"/>
    <w:rsid w:val="00F60232"/>
    <w:rsid w:val="00F6035C"/>
    <w:rsid w:val="00F609E6"/>
    <w:rsid w:val="00F60E8B"/>
    <w:rsid w:val="00F611F2"/>
    <w:rsid w:val="00F612D4"/>
    <w:rsid w:val="00F61B63"/>
    <w:rsid w:val="00F61C64"/>
    <w:rsid w:val="00F63076"/>
    <w:rsid w:val="00F63B7F"/>
    <w:rsid w:val="00F64BA9"/>
    <w:rsid w:val="00F64D9A"/>
    <w:rsid w:val="00F657C4"/>
    <w:rsid w:val="00F6642F"/>
    <w:rsid w:val="00F6783F"/>
    <w:rsid w:val="00F67E2E"/>
    <w:rsid w:val="00F7040B"/>
    <w:rsid w:val="00F70806"/>
    <w:rsid w:val="00F70D2E"/>
    <w:rsid w:val="00F70E22"/>
    <w:rsid w:val="00F71BDF"/>
    <w:rsid w:val="00F72346"/>
    <w:rsid w:val="00F7265E"/>
    <w:rsid w:val="00F72D12"/>
    <w:rsid w:val="00F758B8"/>
    <w:rsid w:val="00F768C7"/>
    <w:rsid w:val="00F76910"/>
    <w:rsid w:val="00F76BF2"/>
    <w:rsid w:val="00F76F39"/>
    <w:rsid w:val="00F77037"/>
    <w:rsid w:val="00F77E1D"/>
    <w:rsid w:val="00F77F77"/>
    <w:rsid w:val="00F800C9"/>
    <w:rsid w:val="00F8044E"/>
    <w:rsid w:val="00F80B42"/>
    <w:rsid w:val="00F8107B"/>
    <w:rsid w:val="00F81B2B"/>
    <w:rsid w:val="00F81F7D"/>
    <w:rsid w:val="00F820B5"/>
    <w:rsid w:val="00F8318F"/>
    <w:rsid w:val="00F83532"/>
    <w:rsid w:val="00F83618"/>
    <w:rsid w:val="00F838A6"/>
    <w:rsid w:val="00F83924"/>
    <w:rsid w:val="00F83ED6"/>
    <w:rsid w:val="00F85BBC"/>
    <w:rsid w:val="00F85D25"/>
    <w:rsid w:val="00F86118"/>
    <w:rsid w:val="00F8644D"/>
    <w:rsid w:val="00F86464"/>
    <w:rsid w:val="00F86857"/>
    <w:rsid w:val="00F86AD3"/>
    <w:rsid w:val="00F87441"/>
    <w:rsid w:val="00F87801"/>
    <w:rsid w:val="00F87CEF"/>
    <w:rsid w:val="00F90676"/>
    <w:rsid w:val="00F90698"/>
    <w:rsid w:val="00F907ED"/>
    <w:rsid w:val="00F91B32"/>
    <w:rsid w:val="00F92DA9"/>
    <w:rsid w:val="00F935C1"/>
    <w:rsid w:val="00F938A5"/>
    <w:rsid w:val="00F944CB"/>
    <w:rsid w:val="00F94947"/>
    <w:rsid w:val="00F96CCC"/>
    <w:rsid w:val="00F9728B"/>
    <w:rsid w:val="00F97B20"/>
    <w:rsid w:val="00F97D84"/>
    <w:rsid w:val="00FA02D9"/>
    <w:rsid w:val="00FA127D"/>
    <w:rsid w:val="00FA2722"/>
    <w:rsid w:val="00FA2A77"/>
    <w:rsid w:val="00FA2BC2"/>
    <w:rsid w:val="00FA3066"/>
    <w:rsid w:val="00FA3974"/>
    <w:rsid w:val="00FA3AA7"/>
    <w:rsid w:val="00FA3FBB"/>
    <w:rsid w:val="00FA494D"/>
    <w:rsid w:val="00FA51E5"/>
    <w:rsid w:val="00FA5F6B"/>
    <w:rsid w:val="00FA62CC"/>
    <w:rsid w:val="00FA668F"/>
    <w:rsid w:val="00FA6FE2"/>
    <w:rsid w:val="00FA703B"/>
    <w:rsid w:val="00FA7ADA"/>
    <w:rsid w:val="00FB007A"/>
    <w:rsid w:val="00FB1059"/>
    <w:rsid w:val="00FB14AC"/>
    <w:rsid w:val="00FB1644"/>
    <w:rsid w:val="00FB1AC1"/>
    <w:rsid w:val="00FB2837"/>
    <w:rsid w:val="00FB2AAB"/>
    <w:rsid w:val="00FB2C50"/>
    <w:rsid w:val="00FB328B"/>
    <w:rsid w:val="00FB4AB8"/>
    <w:rsid w:val="00FB4C90"/>
    <w:rsid w:val="00FB5239"/>
    <w:rsid w:val="00FB56AB"/>
    <w:rsid w:val="00FB5701"/>
    <w:rsid w:val="00FB5CA2"/>
    <w:rsid w:val="00FB5F5D"/>
    <w:rsid w:val="00FB6110"/>
    <w:rsid w:val="00FB6364"/>
    <w:rsid w:val="00FB63FA"/>
    <w:rsid w:val="00FB6816"/>
    <w:rsid w:val="00FB6FB0"/>
    <w:rsid w:val="00FB7584"/>
    <w:rsid w:val="00FB7A1E"/>
    <w:rsid w:val="00FB7EF1"/>
    <w:rsid w:val="00FB7FC4"/>
    <w:rsid w:val="00FC03E2"/>
    <w:rsid w:val="00FC0863"/>
    <w:rsid w:val="00FC0A70"/>
    <w:rsid w:val="00FC0F10"/>
    <w:rsid w:val="00FC159A"/>
    <w:rsid w:val="00FC17BD"/>
    <w:rsid w:val="00FC183B"/>
    <w:rsid w:val="00FC19CA"/>
    <w:rsid w:val="00FC225E"/>
    <w:rsid w:val="00FC25BC"/>
    <w:rsid w:val="00FC2624"/>
    <w:rsid w:val="00FC27DC"/>
    <w:rsid w:val="00FC2E6D"/>
    <w:rsid w:val="00FC2FDB"/>
    <w:rsid w:val="00FC326D"/>
    <w:rsid w:val="00FC351F"/>
    <w:rsid w:val="00FC35DF"/>
    <w:rsid w:val="00FC3AF1"/>
    <w:rsid w:val="00FC4A55"/>
    <w:rsid w:val="00FC637B"/>
    <w:rsid w:val="00FC69B1"/>
    <w:rsid w:val="00FC69C8"/>
    <w:rsid w:val="00FC7274"/>
    <w:rsid w:val="00FC77CE"/>
    <w:rsid w:val="00FD013A"/>
    <w:rsid w:val="00FD0BE0"/>
    <w:rsid w:val="00FD0DBD"/>
    <w:rsid w:val="00FD10AF"/>
    <w:rsid w:val="00FD198B"/>
    <w:rsid w:val="00FD1F8A"/>
    <w:rsid w:val="00FD227E"/>
    <w:rsid w:val="00FD2392"/>
    <w:rsid w:val="00FD2422"/>
    <w:rsid w:val="00FD2995"/>
    <w:rsid w:val="00FD2B93"/>
    <w:rsid w:val="00FD2D54"/>
    <w:rsid w:val="00FD38F9"/>
    <w:rsid w:val="00FD40CF"/>
    <w:rsid w:val="00FD430A"/>
    <w:rsid w:val="00FD4470"/>
    <w:rsid w:val="00FD4F07"/>
    <w:rsid w:val="00FD5276"/>
    <w:rsid w:val="00FD58B8"/>
    <w:rsid w:val="00FD5CA4"/>
    <w:rsid w:val="00FD5FDD"/>
    <w:rsid w:val="00FD61BD"/>
    <w:rsid w:val="00FD6913"/>
    <w:rsid w:val="00FD6A49"/>
    <w:rsid w:val="00FD76DE"/>
    <w:rsid w:val="00FD7BD3"/>
    <w:rsid w:val="00FD7EDF"/>
    <w:rsid w:val="00FE040A"/>
    <w:rsid w:val="00FE0769"/>
    <w:rsid w:val="00FE0CB9"/>
    <w:rsid w:val="00FE126C"/>
    <w:rsid w:val="00FE1BEE"/>
    <w:rsid w:val="00FE2100"/>
    <w:rsid w:val="00FE334C"/>
    <w:rsid w:val="00FE374D"/>
    <w:rsid w:val="00FE3914"/>
    <w:rsid w:val="00FE4644"/>
    <w:rsid w:val="00FE4919"/>
    <w:rsid w:val="00FE4B4C"/>
    <w:rsid w:val="00FE4B7C"/>
    <w:rsid w:val="00FE512E"/>
    <w:rsid w:val="00FE5895"/>
    <w:rsid w:val="00FE594D"/>
    <w:rsid w:val="00FE5EAC"/>
    <w:rsid w:val="00FE75B0"/>
    <w:rsid w:val="00FE7F27"/>
    <w:rsid w:val="00FF00FA"/>
    <w:rsid w:val="00FF0607"/>
    <w:rsid w:val="00FF118D"/>
    <w:rsid w:val="00FF1713"/>
    <w:rsid w:val="00FF2851"/>
    <w:rsid w:val="00FF2AE2"/>
    <w:rsid w:val="00FF2D03"/>
    <w:rsid w:val="00FF2E1F"/>
    <w:rsid w:val="00FF414A"/>
    <w:rsid w:val="00FF54F3"/>
    <w:rsid w:val="00FF5541"/>
    <w:rsid w:val="00FF6180"/>
    <w:rsid w:val="00FF695F"/>
    <w:rsid w:val="00FF7634"/>
    <w:rsid w:val="00FF776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0562E702"/>
  <w15:docId w15:val="{7CCA3D1F-58C0-4E00-8BA7-C696C97F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imes New Roman" w:hAnsi="Myriad Pro" w:cs="Times New Roman"/>
        <w:lang w:val="sl-SI" w:eastAsia="sl-SI"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DE0"/>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_NAPOVED,NASLOV,Heading 1 Char1 Char1,Heading 1 Char Char Char1,Heading 1 Char1 Char1 Char Char,Heading 1 Char Char Char1 Char Char,Heading 1 Char Char1,Heading 1 Char1 Char1 Char1,Heading 1 Char Char Char1 Char1"/>
    <w:basedOn w:val="BesediloNAPOVED"/>
    <w:next w:val="BesediloNAPOVED"/>
    <w:link w:val="Heading1Char"/>
    <w:uiPriority w:val="5"/>
    <w:qFormat/>
    <w:rsid w:val="00941645"/>
    <w:pPr>
      <w:keepNext/>
      <w:keepLines/>
      <w:pageBreakBefore/>
      <w:numPr>
        <w:numId w:val="2"/>
      </w:numPr>
      <w:spacing w:before="200" w:after="100" w:line="240" w:lineRule="auto"/>
      <w:jc w:val="left"/>
      <w:outlineLvl w:val="0"/>
    </w:pPr>
    <w:rPr>
      <w:rFonts w:cs="Arial"/>
      <w:b/>
      <w:bCs/>
      <w:color w:val="9E001A" w:themeColor="accent1"/>
      <w:kern w:val="32"/>
      <w:sz w:val="28"/>
    </w:rPr>
  </w:style>
  <w:style w:type="paragraph" w:styleId="Heading2">
    <w:name w:val="heading 2"/>
    <w:aliases w:val="Heading 2_NAPOVED"/>
    <w:basedOn w:val="BesediloNAPOVED"/>
    <w:next w:val="BesediloNAPOVED"/>
    <w:link w:val="Heading2Char"/>
    <w:uiPriority w:val="6"/>
    <w:qFormat/>
    <w:rsid w:val="00FC0A70"/>
    <w:pPr>
      <w:keepNext/>
      <w:keepLines/>
      <w:numPr>
        <w:ilvl w:val="1"/>
        <w:numId w:val="2"/>
      </w:numPr>
      <w:spacing w:before="200" w:after="100" w:line="288" w:lineRule="auto"/>
      <w:contextualSpacing/>
      <w:outlineLvl w:val="1"/>
    </w:pPr>
    <w:rPr>
      <w:b/>
      <w:color w:val="9E001A" w:themeColor="accent1"/>
      <w:sz w:val="24"/>
    </w:rPr>
  </w:style>
  <w:style w:type="paragraph" w:styleId="Heading3">
    <w:name w:val="heading 3"/>
    <w:aliases w:val="Heading 3_NAPOVED"/>
    <w:basedOn w:val="BesediloNAPOVED"/>
    <w:next w:val="BesediloNAPOVED"/>
    <w:link w:val="Heading3Char"/>
    <w:uiPriority w:val="7"/>
    <w:qFormat/>
    <w:rsid w:val="00FC0A70"/>
    <w:pPr>
      <w:keepNext/>
      <w:keepLines/>
      <w:numPr>
        <w:ilvl w:val="2"/>
        <w:numId w:val="2"/>
      </w:numPr>
      <w:spacing w:before="200" w:after="100" w:line="288" w:lineRule="auto"/>
      <w:contextualSpacing/>
      <w:outlineLvl w:val="2"/>
    </w:pPr>
    <w:rPr>
      <w:rFonts w:cs="Arial"/>
      <w:b/>
      <w:bCs/>
      <w:color w:val="9E001A" w:themeColor="accent1"/>
      <w:szCs w:val="26"/>
    </w:rPr>
  </w:style>
  <w:style w:type="paragraph" w:styleId="Heading4">
    <w:name w:val="heading 4"/>
    <w:basedOn w:val="Normal"/>
    <w:next w:val="Normal"/>
    <w:uiPriority w:val="17"/>
    <w:rsid w:val="007E59DA"/>
    <w:pPr>
      <w:keepNext/>
      <w:numPr>
        <w:ilvl w:val="3"/>
        <w:numId w:val="2"/>
      </w:numPr>
      <w:spacing w:before="360" w:after="240"/>
      <w:outlineLvl w:val="3"/>
    </w:pPr>
    <w:rPr>
      <w:rFonts w:ascii="Arial" w:hAnsi="Arial"/>
      <w:b/>
      <w:bCs/>
    </w:rPr>
  </w:style>
  <w:style w:type="paragraph" w:styleId="Heading5">
    <w:name w:val="heading 5"/>
    <w:basedOn w:val="Normal"/>
    <w:next w:val="Normal"/>
    <w:uiPriority w:val="17"/>
    <w:rsid w:val="000F0B06"/>
    <w:pPr>
      <w:numPr>
        <w:ilvl w:val="4"/>
        <w:numId w:val="2"/>
      </w:numPr>
      <w:spacing w:before="240" w:after="60"/>
      <w:outlineLvl w:val="4"/>
    </w:pPr>
    <w:rPr>
      <w:b/>
      <w:bCs/>
      <w:iCs/>
      <w:szCs w:val="26"/>
    </w:rPr>
  </w:style>
  <w:style w:type="paragraph" w:styleId="Heading6">
    <w:name w:val="heading 6"/>
    <w:basedOn w:val="Normal"/>
    <w:next w:val="Normal"/>
    <w:uiPriority w:val="17"/>
    <w:rsid w:val="000F0B06"/>
    <w:pPr>
      <w:numPr>
        <w:ilvl w:val="5"/>
        <w:numId w:val="2"/>
      </w:numPr>
      <w:spacing w:before="240" w:after="60"/>
      <w:outlineLvl w:val="5"/>
    </w:pPr>
    <w:rPr>
      <w:b/>
      <w:bCs/>
    </w:rPr>
  </w:style>
  <w:style w:type="paragraph" w:styleId="Heading7">
    <w:name w:val="heading 7"/>
    <w:basedOn w:val="Normal"/>
    <w:next w:val="Normal"/>
    <w:uiPriority w:val="17"/>
    <w:rsid w:val="000F0B06"/>
    <w:pPr>
      <w:numPr>
        <w:ilvl w:val="6"/>
        <w:numId w:val="2"/>
      </w:numPr>
      <w:spacing w:before="240" w:after="60"/>
      <w:outlineLvl w:val="6"/>
    </w:pPr>
  </w:style>
  <w:style w:type="paragraph" w:styleId="Heading8">
    <w:name w:val="heading 8"/>
    <w:basedOn w:val="Normal"/>
    <w:next w:val="Normal"/>
    <w:uiPriority w:val="17"/>
    <w:rsid w:val="000F0B06"/>
    <w:pPr>
      <w:numPr>
        <w:ilvl w:val="7"/>
        <w:numId w:val="2"/>
      </w:numPr>
      <w:spacing w:before="240" w:after="60"/>
      <w:outlineLvl w:val="7"/>
    </w:pPr>
    <w:rPr>
      <w:i/>
      <w:iCs/>
    </w:rPr>
  </w:style>
  <w:style w:type="paragraph" w:styleId="Heading9">
    <w:name w:val="heading 9"/>
    <w:basedOn w:val="Normal"/>
    <w:next w:val="Normal"/>
    <w:uiPriority w:val="17"/>
    <w:rsid w:val="000F0B06"/>
    <w:pPr>
      <w:numPr>
        <w:ilvl w:val="8"/>
        <w:numId w:val="2"/>
      </w:numPr>
      <w:spacing w:before="240" w:after="60"/>
      <w:outlineLvl w:val="8"/>
    </w:pPr>
    <w:rPr>
      <w:rFonts w:cs="Arial"/>
    </w:rPr>
  </w:style>
  <w:style w:type="character" w:default="1" w:styleId="DefaultParagraphFont">
    <w:name w:val="Default Paragraph Font"/>
    <w:uiPriority w:val="1"/>
    <w:semiHidden/>
    <w:unhideWhenUsed/>
    <w:rsid w:val="00953D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DE0"/>
  </w:style>
  <w:style w:type="paragraph" w:styleId="FootnoteText">
    <w:name w:val="footnote text"/>
    <w:aliases w:val="Char Char,Sprotna opomba-besedilo,Char Char Char Char,Sprotna opomba - besedilo Znak1,Sprotna opomba - besedilo Znak Znak2,Sprotna opomba - besedilo Znak1 Znak Znak1,Sprotna opomba - besedilo Znak1 Znak Znak Znak,fn,Char Ch,o, Char Char"/>
    <w:basedOn w:val="BesediloNAPOVED"/>
    <w:link w:val="FootnoteTextChar"/>
    <w:autoRedefine/>
    <w:uiPriority w:val="99"/>
    <w:qFormat/>
    <w:rsid w:val="00796F6D"/>
    <w:pPr>
      <w:spacing w:after="40"/>
    </w:pPr>
    <w:rPr>
      <w:rFonts w:asciiTheme="minorHAnsi" w:eastAsia="Times New Roman" w:hAnsiTheme="minorHAnsi" w:cstheme="minorHAnsi"/>
      <w:sz w:val="16"/>
      <w:szCs w:val="16"/>
    </w:rPr>
  </w:style>
  <w:style w:type="character" w:customStyle="1" w:styleId="FootnoteTextChar">
    <w:name w:val="Footnote Text Char"/>
    <w:aliases w:val="Char Char Char,Sprotna opomba-besedilo Char,Char Char Char Char Char,Sprotna opomba - besedilo Znak1 Char,Sprotna opomba - besedilo Znak Znak2 Char,Sprotna opomba - besedilo Znak1 Znak Znak1 Char,fn Char,Char Ch Char,o Char"/>
    <w:basedOn w:val="DefaultParagraphFont"/>
    <w:link w:val="FootnoteText"/>
    <w:uiPriority w:val="99"/>
    <w:rsid w:val="00796F6D"/>
    <w:rPr>
      <w:rFonts w:asciiTheme="minorHAnsi" w:hAnsiTheme="minorHAnsi" w:cstheme="minorHAnsi"/>
      <w:sz w:val="16"/>
      <w:szCs w:val="16"/>
      <w:lang w:eastAsia="en-US"/>
    </w:rPr>
  </w:style>
  <w:style w:type="character" w:styleId="FootnoteReference">
    <w:name w:val="footnote reference"/>
    <w:aliases w:val="Footnote symbol,Fussnota,Footnote,Footnote reference number,note TESI,SUPERS,EN Footnote Reference,-E Fußnotenzeichen,Times 10 Point,Exposant 3 Point,E...,nota de rodapé,Footnote Reference_LVL6,Footnote Reference_LVL61,Footnot"/>
    <w:basedOn w:val="BesediloNAPOVEDChar"/>
    <w:uiPriority w:val="99"/>
    <w:qFormat/>
    <w:rsid w:val="007E59DA"/>
    <w:rPr>
      <w:rFonts w:ascii="Arial" w:eastAsiaTheme="minorHAnsi" w:hAnsi="Arial" w:cstheme="minorBidi"/>
      <w:sz w:val="18"/>
      <w:szCs w:val="22"/>
      <w:vertAlign w:val="superscript"/>
      <w:lang w:eastAsia="en-US"/>
    </w:rPr>
  </w:style>
  <w:style w:type="paragraph" w:styleId="Caption">
    <w:name w:val="caption"/>
    <w:aliases w:val="Okvir/Slika/Tabela_NAPOVED"/>
    <w:basedOn w:val="TableofFigures"/>
    <w:next w:val="BesediloNAPOVED"/>
    <w:link w:val="CaptionChar"/>
    <w:uiPriority w:val="35"/>
    <w:qFormat/>
    <w:rsid w:val="00FC0A70"/>
    <w:pPr>
      <w:keepNext/>
      <w:keepLines/>
      <w:spacing w:after="80" w:line="240" w:lineRule="auto"/>
      <w:contextualSpacing/>
      <w:jc w:val="left"/>
    </w:pPr>
    <w:rPr>
      <w:b/>
      <w:bCs/>
    </w:rPr>
  </w:style>
  <w:style w:type="paragraph" w:styleId="Footer">
    <w:name w:val="footer"/>
    <w:basedOn w:val="Normal"/>
    <w:next w:val="Normal"/>
    <w:link w:val="FooterChar"/>
    <w:autoRedefine/>
    <w:uiPriority w:val="99"/>
    <w:rsid w:val="00BF7667"/>
    <w:pPr>
      <w:framePr w:wrap="around" w:vAnchor="text" w:hAnchor="margin" w:xAlign="center" w:y="1"/>
      <w:tabs>
        <w:tab w:val="center" w:pos="4536"/>
        <w:tab w:val="right" w:pos="9072"/>
      </w:tabs>
      <w:jc w:val="center"/>
    </w:pPr>
    <w:rPr>
      <w:noProof/>
      <w:sz w:val="16"/>
      <w:szCs w:val="16"/>
    </w:rPr>
  </w:style>
  <w:style w:type="paragraph" w:styleId="TableofFigures">
    <w:name w:val="table of figures"/>
    <w:basedOn w:val="BesediloNAPOVED"/>
    <w:next w:val="BesediloNAPOVED"/>
    <w:autoRedefine/>
    <w:uiPriority w:val="99"/>
    <w:rsid w:val="007E59DA"/>
    <w:pPr>
      <w:tabs>
        <w:tab w:val="right" w:leader="dot" w:pos="9070"/>
      </w:tabs>
    </w:pPr>
    <w:rPr>
      <w:noProof/>
      <w:szCs w:val="20"/>
    </w:rPr>
  </w:style>
  <w:style w:type="paragraph" w:styleId="TableofAuthorities">
    <w:name w:val="table of authorities"/>
    <w:basedOn w:val="Normal"/>
    <w:next w:val="Normal"/>
    <w:semiHidden/>
    <w:rsid w:val="00BF7667"/>
    <w:pPr>
      <w:ind w:left="220" w:hanging="220"/>
    </w:pPr>
  </w:style>
  <w:style w:type="paragraph" w:styleId="TOAHeading">
    <w:name w:val="toa heading"/>
    <w:basedOn w:val="Normal"/>
    <w:next w:val="Normal"/>
    <w:semiHidden/>
    <w:rsid w:val="00BF7667"/>
    <w:pPr>
      <w:spacing w:before="120"/>
    </w:pPr>
    <w:rPr>
      <w:rFonts w:cs="Arial"/>
      <w:b/>
      <w:bCs/>
    </w:rPr>
  </w:style>
  <w:style w:type="paragraph" w:styleId="TOC1">
    <w:name w:val="toc 1"/>
    <w:basedOn w:val="BesediloNAPOVED"/>
    <w:next w:val="BesediloNAPOVED"/>
    <w:autoRedefine/>
    <w:uiPriority w:val="39"/>
    <w:rsid w:val="007E59DA"/>
    <w:pPr>
      <w:tabs>
        <w:tab w:val="left" w:pos="340"/>
        <w:tab w:val="right" w:leader="dot" w:pos="9070"/>
      </w:tabs>
      <w:spacing w:before="100" w:after="100"/>
    </w:pPr>
    <w:rPr>
      <w:rFonts w:cs="Arial"/>
      <w:b/>
      <w:noProof/>
      <w:szCs w:val="20"/>
    </w:rPr>
  </w:style>
  <w:style w:type="paragraph" w:styleId="TOC2">
    <w:name w:val="toc 2"/>
    <w:basedOn w:val="BesediloNAPOVED"/>
    <w:next w:val="BesediloNAPOVED"/>
    <w:autoRedefine/>
    <w:uiPriority w:val="39"/>
    <w:rsid w:val="007E59DA"/>
    <w:pPr>
      <w:tabs>
        <w:tab w:val="right" w:leader="dot" w:pos="9070"/>
      </w:tabs>
      <w:spacing w:before="100" w:after="100"/>
      <w:ind w:left="340"/>
    </w:pPr>
    <w:rPr>
      <w:noProof/>
    </w:rPr>
  </w:style>
  <w:style w:type="paragraph" w:styleId="TOC3">
    <w:name w:val="toc 3"/>
    <w:next w:val="BesediloNAPOVED"/>
    <w:autoRedefine/>
    <w:uiPriority w:val="39"/>
    <w:rsid w:val="007E59DA"/>
    <w:pPr>
      <w:tabs>
        <w:tab w:val="right" w:leader="dot" w:pos="9070"/>
      </w:tabs>
      <w:spacing w:after="100" w:line="288" w:lineRule="auto"/>
      <w:ind w:left="680"/>
      <w:jc w:val="both"/>
    </w:pPr>
    <w:rPr>
      <w:rFonts w:ascii="Arial" w:eastAsiaTheme="minorHAnsi" w:hAnsi="Arial" w:cstheme="minorBidi"/>
      <w:szCs w:val="22"/>
      <w:lang w:eastAsia="en-US"/>
    </w:rPr>
  </w:style>
  <w:style w:type="paragraph" w:styleId="TOC4">
    <w:name w:val="toc 4"/>
    <w:basedOn w:val="Normal"/>
    <w:autoRedefine/>
    <w:semiHidden/>
    <w:rsid w:val="00B75916"/>
    <w:pPr>
      <w:spacing w:after="20"/>
      <w:ind w:left="340"/>
      <w:contextualSpacing/>
    </w:pPr>
  </w:style>
  <w:style w:type="paragraph" w:styleId="TOC5">
    <w:name w:val="toc 5"/>
    <w:basedOn w:val="Normal"/>
    <w:autoRedefine/>
    <w:semiHidden/>
    <w:rsid w:val="00B75916"/>
    <w:pPr>
      <w:spacing w:after="20"/>
      <w:contextualSpacing/>
    </w:pPr>
  </w:style>
  <w:style w:type="paragraph" w:styleId="TOC6">
    <w:name w:val="toc 6"/>
    <w:basedOn w:val="Normal"/>
    <w:next w:val="Normal"/>
    <w:autoRedefine/>
    <w:semiHidden/>
    <w:rsid w:val="00BF7667"/>
    <w:pPr>
      <w:ind w:left="1100"/>
    </w:pPr>
  </w:style>
  <w:style w:type="paragraph" w:styleId="TOC7">
    <w:name w:val="toc 7"/>
    <w:basedOn w:val="Normal"/>
    <w:next w:val="Normal"/>
    <w:autoRedefine/>
    <w:semiHidden/>
    <w:rsid w:val="00BF7667"/>
    <w:pPr>
      <w:ind w:left="1320"/>
    </w:pPr>
  </w:style>
  <w:style w:type="paragraph" w:styleId="TOC8">
    <w:name w:val="toc 8"/>
    <w:basedOn w:val="Normal"/>
    <w:next w:val="Normal"/>
    <w:autoRedefine/>
    <w:semiHidden/>
    <w:rsid w:val="00BF7667"/>
    <w:pPr>
      <w:ind w:left="1540"/>
    </w:pPr>
  </w:style>
  <w:style w:type="paragraph" w:styleId="TOC9">
    <w:name w:val="toc 9"/>
    <w:basedOn w:val="Normal"/>
    <w:next w:val="Normal"/>
    <w:autoRedefine/>
    <w:semiHidden/>
    <w:rsid w:val="00BF7667"/>
    <w:pPr>
      <w:ind w:left="1760"/>
    </w:pPr>
  </w:style>
  <w:style w:type="paragraph" w:styleId="CommentText">
    <w:name w:val="annotation text"/>
    <w:basedOn w:val="Normal"/>
    <w:link w:val="CommentTextChar"/>
    <w:uiPriority w:val="99"/>
    <w:rsid w:val="00BF7667"/>
  </w:style>
  <w:style w:type="character" w:styleId="CommentReference">
    <w:name w:val="annotation reference"/>
    <w:basedOn w:val="DefaultParagraphFont"/>
    <w:uiPriority w:val="99"/>
    <w:rsid w:val="00BF7667"/>
    <w:rPr>
      <w:sz w:val="16"/>
      <w:szCs w:val="16"/>
    </w:rPr>
  </w:style>
  <w:style w:type="paragraph" w:styleId="EndnoteText">
    <w:name w:val="endnote text"/>
    <w:basedOn w:val="Normal"/>
    <w:autoRedefine/>
    <w:semiHidden/>
    <w:rsid w:val="00BF7667"/>
  </w:style>
  <w:style w:type="character" w:styleId="EndnoteReference">
    <w:name w:val="endnote reference"/>
    <w:basedOn w:val="DefaultParagraphFont"/>
    <w:semiHidden/>
    <w:rsid w:val="00BF7667"/>
    <w:rPr>
      <w:vertAlign w:val="superscript"/>
    </w:rPr>
  </w:style>
  <w:style w:type="paragraph" w:styleId="MacroText">
    <w:name w:val="macro"/>
    <w:semiHidden/>
    <w:rsid w:val="00BF7667"/>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urier New" w:hAnsi="Courier New" w:cs="Courier New"/>
    </w:rPr>
  </w:style>
  <w:style w:type="paragraph" w:styleId="Index1">
    <w:name w:val="index 1"/>
    <w:basedOn w:val="Normal"/>
    <w:next w:val="Normal"/>
    <w:autoRedefine/>
    <w:semiHidden/>
    <w:rsid w:val="00BF7667"/>
    <w:pPr>
      <w:ind w:left="220" w:hanging="220"/>
    </w:pPr>
  </w:style>
  <w:style w:type="paragraph" w:styleId="IndexHeading">
    <w:name w:val="index heading"/>
    <w:basedOn w:val="Normal"/>
    <w:next w:val="Index1"/>
    <w:semiHidden/>
    <w:rsid w:val="00BF7667"/>
    <w:rPr>
      <w:rFonts w:cs="Arial"/>
      <w:b/>
      <w:bCs/>
    </w:rPr>
  </w:style>
  <w:style w:type="paragraph" w:styleId="Index2">
    <w:name w:val="index 2"/>
    <w:basedOn w:val="Normal"/>
    <w:next w:val="Normal"/>
    <w:autoRedefine/>
    <w:semiHidden/>
    <w:rsid w:val="00BF7667"/>
    <w:pPr>
      <w:ind w:left="440" w:hanging="220"/>
    </w:pPr>
  </w:style>
  <w:style w:type="paragraph" w:styleId="Index3">
    <w:name w:val="index 3"/>
    <w:basedOn w:val="Normal"/>
    <w:next w:val="Normal"/>
    <w:autoRedefine/>
    <w:semiHidden/>
    <w:rsid w:val="00BF7667"/>
    <w:pPr>
      <w:ind w:left="660" w:hanging="220"/>
    </w:pPr>
  </w:style>
  <w:style w:type="paragraph" w:styleId="Index4">
    <w:name w:val="index 4"/>
    <w:basedOn w:val="Normal"/>
    <w:next w:val="Normal"/>
    <w:autoRedefine/>
    <w:semiHidden/>
    <w:rsid w:val="00BF7667"/>
    <w:pPr>
      <w:ind w:left="880" w:hanging="220"/>
    </w:pPr>
  </w:style>
  <w:style w:type="paragraph" w:styleId="Index5">
    <w:name w:val="index 5"/>
    <w:basedOn w:val="Normal"/>
    <w:next w:val="Normal"/>
    <w:autoRedefine/>
    <w:semiHidden/>
    <w:rsid w:val="00BF7667"/>
    <w:pPr>
      <w:ind w:left="1100" w:hanging="220"/>
    </w:pPr>
  </w:style>
  <w:style w:type="paragraph" w:styleId="Index6">
    <w:name w:val="index 6"/>
    <w:basedOn w:val="Normal"/>
    <w:next w:val="Normal"/>
    <w:autoRedefine/>
    <w:semiHidden/>
    <w:rsid w:val="00BF7667"/>
    <w:pPr>
      <w:ind w:left="1320" w:hanging="220"/>
    </w:pPr>
  </w:style>
  <w:style w:type="paragraph" w:styleId="Index7">
    <w:name w:val="index 7"/>
    <w:basedOn w:val="Normal"/>
    <w:next w:val="Normal"/>
    <w:autoRedefine/>
    <w:semiHidden/>
    <w:rsid w:val="00BF7667"/>
    <w:pPr>
      <w:ind w:left="1540" w:hanging="220"/>
    </w:pPr>
  </w:style>
  <w:style w:type="paragraph" w:styleId="Index8">
    <w:name w:val="index 8"/>
    <w:basedOn w:val="Normal"/>
    <w:next w:val="Normal"/>
    <w:autoRedefine/>
    <w:semiHidden/>
    <w:rsid w:val="00BF7667"/>
    <w:pPr>
      <w:ind w:left="1760" w:hanging="220"/>
    </w:pPr>
  </w:style>
  <w:style w:type="paragraph" w:styleId="Index9">
    <w:name w:val="index 9"/>
    <w:basedOn w:val="Normal"/>
    <w:next w:val="Normal"/>
    <w:autoRedefine/>
    <w:semiHidden/>
    <w:rsid w:val="00BF7667"/>
    <w:pPr>
      <w:ind w:left="1980" w:hanging="220"/>
    </w:pPr>
  </w:style>
  <w:style w:type="paragraph" w:customStyle="1" w:styleId="BesediloalinejeNAPOVED">
    <w:name w:val="Besedilo alineje_NAPOVED"/>
    <w:basedOn w:val="BesediloNAPOVED"/>
    <w:link w:val="BesediloalinejeNAPOVEDChar"/>
    <w:uiPriority w:val="1"/>
    <w:qFormat/>
    <w:rsid w:val="007E59DA"/>
    <w:pPr>
      <w:numPr>
        <w:numId w:val="5"/>
      </w:numPr>
      <w:ind w:left="454" w:hanging="227"/>
    </w:pPr>
    <w:rPr>
      <w:i/>
      <w:iCs/>
    </w:rPr>
  </w:style>
  <w:style w:type="character" w:customStyle="1" w:styleId="VodilnistavekBoldpoudarekNAPOVED">
    <w:name w:val="Vodilni stavek_Bold poudarek_NAPOVED"/>
    <w:basedOn w:val="BesediloNAPOVEDChar"/>
    <w:uiPriority w:val="4"/>
    <w:qFormat/>
    <w:rsid w:val="007E59DA"/>
    <w:rPr>
      <w:rFonts w:ascii="Arial" w:eastAsiaTheme="minorHAnsi" w:hAnsi="Arial" w:cstheme="minorBidi"/>
      <w:b/>
      <w:szCs w:val="22"/>
      <w:lang w:eastAsia="en-US"/>
    </w:rPr>
  </w:style>
  <w:style w:type="paragraph" w:styleId="BalloonText">
    <w:name w:val="Balloon Text"/>
    <w:basedOn w:val="Normal"/>
    <w:link w:val="BalloonTextChar"/>
    <w:uiPriority w:val="99"/>
    <w:rsid w:val="007E59DA"/>
    <w:rPr>
      <w:rFonts w:ascii="Arial" w:hAnsi="Arial" w:cs="Tahoma"/>
      <w:sz w:val="16"/>
      <w:szCs w:val="16"/>
    </w:rPr>
  </w:style>
  <w:style w:type="character" w:customStyle="1" w:styleId="HeaderChar">
    <w:name w:val="Header Char"/>
    <w:basedOn w:val="DefaultParagraphFont"/>
    <w:link w:val="Header"/>
    <w:uiPriority w:val="99"/>
    <w:rsid w:val="007E59DA"/>
    <w:rPr>
      <w:rFonts w:ascii="Arial" w:eastAsiaTheme="minorHAnsi" w:hAnsi="Arial" w:cstheme="minorBidi"/>
      <w:sz w:val="16"/>
      <w:szCs w:val="22"/>
      <w:lang w:eastAsia="en-US"/>
    </w:rPr>
  </w:style>
  <w:style w:type="table" w:styleId="TableGrid">
    <w:name w:val="Table Grid"/>
    <w:basedOn w:val="TableNormal"/>
    <w:rsid w:val="00DA3486"/>
    <w:rPr>
      <w:rFonts w:eastAsia="Calibri"/>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BesediloNAPOVED"/>
    <w:link w:val="HeaderChar"/>
    <w:uiPriority w:val="99"/>
    <w:rsid w:val="007E59DA"/>
    <w:pPr>
      <w:tabs>
        <w:tab w:val="center" w:pos="4536"/>
        <w:tab w:val="right" w:pos="9072"/>
      </w:tabs>
    </w:pPr>
    <w:rPr>
      <w:sz w:val="16"/>
    </w:rPr>
  </w:style>
  <w:style w:type="character" w:styleId="Hyperlink">
    <w:name w:val="Hyperlink"/>
    <w:basedOn w:val="BesediloNAPOVEDChar"/>
    <w:uiPriority w:val="99"/>
    <w:rsid w:val="007E59DA"/>
    <w:rPr>
      <w:rFonts w:ascii="Arial" w:eastAsiaTheme="minorHAnsi" w:hAnsi="Arial" w:cstheme="minorBidi"/>
      <w:color w:val="0000FF"/>
      <w:szCs w:val="22"/>
      <w:u w:val="single"/>
      <w:lang w:eastAsia="en-US"/>
    </w:rPr>
  </w:style>
  <w:style w:type="character" w:styleId="Emphasis">
    <w:name w:val="Emphasis"/>
    <w:aliases w:val="Italic poudarek_NAPOVED"/>
    <w:basedOn w:val="BesediloNAPOVEDChar"/>
    <w:uiPriority w:val="2"/>
    <w:qFormat/>
    <w:rsid w:val="007E59DA"/>
    <w:rPr>
      <w:rFonts w:ascii="Arial" w:eastAsiaTheme="minorHAnsi" w:hAnsi="Arial" w:cstheme="minorBidi"/>
      <w:i/>
      <w:iCs/>
      <w:szCs w:val="22"/>
      <w:lang w:eastAsia="en-US"/>
    </w:rPr>
  </w:style>
  <w:style w:type="character" w:customStyle="1" w:styleId="Heading3Char">
    <w:name w:val="Heading 3 Char"/>
    <w:aliases w:val="Heading 3_NAPOVED Char"/>
    <w:basedOn w:val="DefaultParagraphFont"/>
    <w:link w:val="Heading3"/>
    <w:uiPriority w:val="7"/>
    <w:rsid w:val="00FC0A70"/>
    <w:rPr>
      <w:rFonts w:ascii="Arial" w:eastAsiaTheme="minorHAnsi" w:hAnsi="Arial" w:cs="Arial"/>
      <w:b/>
      <w:bCs/>
      <w:color w:val="9E001A" w:themeColor="accent1"/>
      <w:szCs w:val="26"/>
      <w:lang w:eastAsia="en-US"/>
    </w:rPr>
  </w:style>
  <w:style w:type="character" w:customStyle="1" w:styleId="Heading2Char">
    <w:name w:val="Heading 2 Char"/>
    <w:aliases w:val="Heading 2_NAPOVED Char"/>
    <w:basedOn w:val="DefaultParagraphFont"/>
    <w:link w:val="Heading2"/>
    <w:uiPriority w:val="6"/>
    <w:rsid w:val="00FC0A70"/>
    <w:rPr>
      <w:rFonts w:ascii="Arial" w:eastAsiaTheme="minorHAnsi" w:hAnsi="Arial" w:cstheme="minorBidi"/>
      <w:b/>
      <w:color w:val="9E001A" w:themeColor="accent1"/>
      <w:sz w:val="24"/>
      <w:szCs w:val="22"/>
      <w:lang w:eastAsia="en-US"/>
    </w:rPr>
  </w:style>
  <w:style w:type="character" w:customStyle="1" w:styleId="Heading1Char">
    <w:name w:val="Heading 1 Char"/>
    <w:aliases w:val="Heading 1_NAPOVED Char,NASLOV Char,Heading 1 Char1 Char1 Char,Heading 1 Char Char Char1 Char,Heading 1 Char1 Char1 Char Char Char,Heading 1 Char Char Char1 Char Char Char,Heading 1 Char Char1 Char,Heading 1 Char1 Char1 Char1 Char"/>
    <w:basedOn w:val="DefaultParagraphFont"/>
    <w:link w:val="Heading1"/>
    <w:uiPriority w:val="5"/>
    <w:rsid w:val="00941645"/>
    <w:rPr>
      <w:rFonts w:ascii="Arial" w:eastAsiaTheme="minorHAnsi" w:hAnsi="Arial" w:cs="Arial"/>
      <w:b/>
      <w:bCs/>
      <w:color w:val="9E001A" w:themeColor="accent1"/>
      <w:kern w:val="32"/>
      <w:sz w:val="28"/>
      <w:szCs w:val="22"/>
      <w:lang w:eastAsia="en-US"/>
    </w:rPr>
  </w:style>
  <w:style w:type="character" w:styleId="PlaceholderText">
    <w:name w:val="Placeholder Text"/>
    <w:basedOn w:val="DefaultParagraphFont"/>
    <w:uiPriority w:val="99"/>
    <w:semiHidden/>
    <w:rsid w:val="006F5351"/>
    <w:rPr>
      <w:color w:val="808080"/>
    </w:rPr>
  </w:style>
  <w:style w:type="character" w:customStyle="1" w:styleId="FooterChar">
    <w:name w:val="Footer Char"/>
    <w:basedOn w:val="DefaultParagraphFont"/>
    <w:link w:val="Footer"/>
    <w:uiPriority w:val="99"/>
    <w:rsid w:val="00731841"/>
    <w:rPr>
      <w:rFonts w:ascii="Myriad Pro" w:hAnsi="Myriad Pro"/>
      <w:noProof/>
      <w:sz w:val="16"/>
      <w:szCs w:val="16"/>
    </w:rPr>
  </w:style>
  <w:style w:type="paragraph" w:customStyle="1" w:styleId="BesediloNAPOVED">
    <w:name w:val="Besedilo_NAPOVED"/>
    <w:link w:val="BesediloNAPOVEDChar"/>
    <w:qFormat/>
    <w:rsid w:val="007E59DA"/>
    <w:pPr>
      <w:spacing w:line="259" w:lineRule="auto"/>
      <w:jc w:val="both"/>
    </w:pPr>
    <w:rPr>
      <w:rFonts w:ascii="Arial" w:eastAsiaTheme="minorHAnsi" w:hAnsi="Arial" w:cstheme="minorBidi"/>
      <w:szCs w:val="22"/>
      <w:lang w:eastAsia="en-US"/>
    </w:rPr>
  </w:style>
  <w:style w:type="character" w:customStyle="1" w:styleId="BesediloNAPOVEDChar">
    <w:name w:val="Besedilo_NAPOVED Char"/>
    <w:basedOn w:val="DefaultParagraphFont"/>
    <w:link w:val="BesediloNAPOVED"/>
    <w:rsid w:val="007E59DA"/>
    <w:rPr>
      <w:rFonts w:ascii="Arial" w:eastAsiaTheme="minorHAnsi" w:hAnsi="Arial" w:cstheme="minorBidi"/>
      <w:szCs w:val="22"/>
      <w:lang w:eastAsia="en-US"/>
    </w:rPr>
  </w:style>
  <w:style w:type="character" w:customStyle="1" w:styleId="BalloonTextChar">
    <w:name w:val="Balloon Text Char"/>
    <w:basedOn w:val="DefaultParagraphFont"/>
    <w:link w:val="BalloonText"/>
    <w:uiPriority w:val="99"/>
    <w:rsid w:val="007E59DA"/>
    <w:rPr>
      <w:rFonts w:ascii="Arial" w:eastAsiaTheme="minorHAnsi" w:hAnsi="Arial" w:cs="Tahoma"/>
      <w:sz w:val="16"/>
      <w:szCs w:val="16"/>
      <w:lang w:eastAsia="en-US"/>
    </w:rPr>
  </w:style>
  <w:style w:type="paragraph" w:customStyle="1" w:styleId="VirNAPOVED">
    <w:name w:val="Vir_NAPOVED"/>
    <w:basedOn w:val="BesediloNAPOVED"/>
    <w:link w:val="VirNAPOVEDChar"/>
    <w:uiPriority w:val="13"/>
    <w:qFormat/>
    <w:rsid w:val="007E59DA"/>
    <w:pPr>
      <w:spacing w:before="80"/>
    </w:pPr>
    <w:rPr>
      <w:sz w:val="16"/>
    </w:rPr>
  </w:style>
  <w:style w:type="character" w:customStyle="1" w:styleId="VirNAPOVEDChar">
    <w:name w:val="Vir_NAPOVED Char"/>
    <w:basedOn w:val="DefaultParagraphFont"/>
    <w:link w:val="VirNAPOVED"/>
    <w:uiPriority w:val="13"/>
    <w:rsid w:val="007E59DA"/>
    <w:rPr>
      <w:rFonts w:ascii="Arial" w:eastAsiaTheme="minorHAnsi" w:hAnsi="Arial" w:cstheme="minorBidi"/>
      <w:sz w:val="16"/>
      <w:szCs w:val="22"/>
      <w:lang w:eastAsia="en-US"/>
    </w:rPr>
  </w:style>
  <w:style w:type="character" w:customStyle="1" w:styleId="CaptionChar">
    <w:name w:val="Caption Char"/>
    <w:aliases w:val="Okvir/Slika/Tabela_NAPOVED Char"/>
    <w:basedOn w:val="DefaultParagraphFont"/>
    <w:link w:val="Caption"/>
    <w:uiPriority w:val="35"/>
    <w:rsid w:val="00FC0A70"/>
    <w:rPr>
      <w:rFonts w:ascii="Arial" w:eastAsiaTheme="minorHAnsi" w:hAnsi="Arial" w:cstheme="minorBidi"/>
      <w:b/>
      <w:bCs/>
      <w:noProof/>
      <w:lang w:eastAsia="en-US"/>
    </w:rPr>
  </w:style>
  <w:style w:type="paragraph" w:customStyle="1" w:styleId="TabelaglavaNAPOVED">
    <w:name w:val="Tabela glava_NAPOVED"/>
    <w:basedOn w:val="BesediloNAPOVED"/>
    <w:link w:val="TabelaglavaNAPOVEDChar"/>
    <w:uiPriority w:val="10"/>
    <w:qFormat/>
    <w:rsid w:val="00B204D7"/>
    <w:pPr>
      <w:spacing w:line="240" w:lineRule="auto"/>
      <w:jc w:val="right"/>
    </w:pPr>
    <w:rPr>
      <w:rFonts w:cs="Calibri"/>
      <w:b/>
      <w:bCs/>
      <w:sz w:val="16"/>
      <w:szCs w:val="18"/>
    </w:rPr>
  </w:style>
  <w:style w:type="character" w:customStyle="1" w:styleId="TabelaglavaNAPOVEDChar">
    <w:name w:val="Tabela glava_NAPOVED Char"/>
    <w:basedOn w:val="DefaultParagraphFont"/>
    <w:link w:val="TabelaglavaNAPOVED"/>
    <w:uiPriority w:val="10"/>
    <w:rsid w:val="00B204D7"/>
    <w:rPr>
      <w:rFonts w:ascii="Arial" w:eastAsiaTheme="minorHAnsi" w:hAnsi="Arial" w:cs="Calibri"/>
      <w:b/>
      <w:bCs/>
      <w:sz w:val="16"/>
      <w:szCs w:val="18"/>
      <w:lang w:eastAsia="en-US"/>
    </w:rPr>
  </w:style>
  <w:style w:type="paragraph" w:customStyle="1" w:styleId="TabelalevistolpecglavaNAPOVED">
    <w:name w:val="Tabela levi stolpec_glava_NAPOVED"/>
    <w:basedOn w:val="BesediloNAPOVED"/>
    <w:link w:val="TabelalevistolpecglavaNAPOVEDChar"/>
    <w:uiPriority w:val="12"/>
    <w:qFormat/>
    <w:rsid w:val="00B204D7"/>
    <w:pPr>
      <w:spacing w:line="240" w:lineRule="auto"/>
      <w:jc w:val="left"/>
    </w:pPr>
    <w:rPr>
      <w:b/>
      <w:sz w:val="16"/>
    </w:rPr>
  </w:style>
  <w:style w:type="paragraph" w:customStyle="1" w:styleId="TabelalevistolpecNAPOVED">
    <w:name w:val="Tabela levi stolpec_NAPOVED"/>
    <w:basedOn w:val="BesediloNAPOVED"/>
    <w:link w:val="TabelalevistolpecNAPOVEDChar"/>
    <w:uiPriority w:val="11"/>
    <w:qFormat/>
    <w:rsid w:val="00B204D7"/>
    <w:pPr>
      <w:spacing w:line="240" w:lineRule="auto"/>
      <w:jc w:val="left"/>
    </w:pPr>
    <w:rPr>
      <w:sz w:val="16"/>
    </w:rPr>
  </w:style>
  <w:style w:type="character" w:customStyle="1" w:styleId="TabelalevistolpecglavaNAPOVEDChar">
    <w:name w:val="Tabela levi stolpec_glava_NAPOVED Char"/>
    <w:basedOn w:val="TabelaglavaNAPOVEDChar"/>
    <w:link w:val="TabelalevistolpecglavaNAPOVED"/>
    <w:uiPriority w:val="12"/>
    <w:rsid w:val="00B204D7"/>
    <w:rPr>
      <w:rFonts w:ascii="Arial" w:eastAsiaTheme="minorHAnsi" w:hAnsi="Arial" w:cstheme="minorBidi"/>
      <w:b/>
      <w:bCs w:val="0"/>
      <w:sz w:val="16"/>
      <w:szCs w:val="22"/>
      <w:lang w:eastAsia="en-US"/>
    </w:rPr>
  </w:style>
  <w:style w:type="paragraph" w:customStyle="1" w:styleId="TabelaNAPOVED">
    <w:name w:val="Tabela_NAPOVED"/>
    <w:basedOn w:val="BesediloNAPOVED"/>
    <w:link w:val="TabelaNAPOVEDChar"/>
    <w:uiPriority w:val="9"/>
    <w:qFormat/>
    <w:rsid w:val="00B204D7"/>
    <w:pPr>
      <w:spacing w:line="240" w:lineRule="auto"/>
      <w:jc w:val="right"/>
    </w:pPr>
    <w:rPr>
      <w:sz w:val="16"/>
    </w:rPr>
  </w:style>
  <w:style w:type="character" w:customStyle="1" w:styleId="TabelalevistolpecNAPOVEDChar">
    <w:name w:val="Tabela levi stolpec_NAPOVED Char"/>
    <w:basedOn w:val="TabelalevistolpecglavaNAPOVEDChar"/>
    <w:link w:val="TabelalevistolpecNAPOVED"/>
    <w:uiPriority w:val="11"/>
    <w:rsid w:val="00B204D7"/>
    <w:rPr>
      <w:rFonts w:ascii="Arial" w:eastAsiaTheme="minorHAnsi" w:hAnsi="Arial" w:cstheme="minorBidi"/>
      <w:b w:val="0"/>
      <w:bCs w:val="0"/>
      <w:sz w:val="16"/>
      <w:szCs w:val="22"/>
      <w:lang w:eastAsia="en-US"/>
    </w:rPr>
  </w:style>
  <w:style w:type="character" w:customStyle="1" w:styleId="TabelaNAPOVEDChar">
    <w:name w:val="Tabela_NAPOVED Char"/>
    <w:basedOn w:val="TabelaglavaNAPOVEDChar"/>
    <w:link w:val="TabelaNAPOVED"/>
    <w:uiPriority w:val="9"/>
    <w:rsid w:val="00B204D7"/>
    <w:rPr>
      <w:rFonts w:ascii="Arial" w:eastAsiaTheme="minorHAnsi" w:hAnsi="Arial" w:cstheme="minorBidi"/>
      <w:b w:val="0"/>
      <w:bCs w:val="0"/>
      <w:sz w:val="16"/>
      <w:szCs w:val="22"/>
      <w:lang w:eastAsia="en-US"/>
    </w:rPr>
  </w:style>
  <w:style w:type="table" w:styleId="PlainTable1">
    <w:name w:val="Plain Table 1"/>
    <w:basedOn w:val="TableNormal"/>
    <w:uiPriority w:val="41"/>
    <w:rsid w:val="00C561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61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561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61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61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561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D7E59"/>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ED7E59"/>
    <w:pPr>
      <w:spacing w:line="240" w:lineRule="auto"/>
    </w:pPr>
    <w:rPr>
      <w:b/>
      <w:bCs/>
    </w:rPr>
  </w:style>
  <w:style w:type="character" w:customStyle="1" w:styleId="CommentTextChar">
    <w:name w:val="Comment Text Char"/>
    <w:basedOn w:val="DefaultParagraphFont"/>
    <w:link w:val="CommentText"/>
    <w:uiPriority w:val="99"/>
    <w:rsid w:val="00ED7E59"/>
    <w:rPr>
      <w:rFonts w:asciiTheme="minorHAnsi" w:eastAsiaTheme="minorHAnsi" w:hAnsiTheme="minorHAnsi" w:cstheme="minorBidi"/>
      <w:sz w:val="22"/>
      <w:lang w:eastAsia="en-US"/>
    </w:rPr>
  </w:style>
  <w:style w:type="character" w:customStyle="1" w:styleId="CommentSubjectChar">
    <w:name w:val="Comment Subject Char"/>
    <w:basedOn w:val="CommentTextChar"/>
    <w:link w:val="CommentSubject"/>
    <w:uiPriority w:val="99"/>
    <w:semiHidden/>
    <w:rsid w:val="00ED7E59"/>
    <w:rPr>
      <w:rFonts w:asciiTheme="minorHAnsi" w:eastAsiaTheme="minorHAnsi" w:hAnsiTheme="minorHAnsi" w:cstheme="minorBidi"/>
      <w:b/>
      <w:bCs/>
      <w:sz w:val="22"/>
      <w:lang w:eastAsia="en-US"/>
    </w:rPr>
  </w:style>
  <w:style w:type="table" w:customStyle="1" w:styleId="okvirNAPOVED">
    <w:name w:val="okvir NAPOVED"/>
    <w:basedOn w:val="TableNormal"/>
    <w:uiPriority w:val="99"/>
    <w:rsid w:val="007E630B"/>
    <w:tblPr>
      <w:tblBorders>
        <w:top w:val="single" w:sz="4" w:space="0" w:color="auto"/>
        <w:left w:val="single" w:sz="4" w:space="0" w:color="auto"/>
        <w:bottom w:val="single" w:sz="4" w:space="0" w:color="auto"/>
        <w:right w:val="single" w:sz="4" w:space="0" w:color="auto"/>
      </w:tblBorders>
      <w:tblCellMar>
        <w:left w:w="227" w:type="dxa"/>
        <w:right w:w="227" w:type="dxa"/>
      </w:tblCellMar>
    </w:tblPr>
    <w:tcPr>
      <w:shd w:val="clear" w:color="auto" w:fill="DBDBDB" w:themeFill="background2"/>
      <w:tcMar>
        <w:top w:w="142" w:type="dxa"/>
        <w:left w:w="142" w:type="dxa"/>
        <w:bottom w:w="142" w:type="dxa"/>
        <w:right w:w="142" w:type="dxa"/>
      </w:tcMar>
    </w:tcPr>
  </w:style>
  <w:style w:type="paragraph" w:styleId="TOCHeading">
    <w:name w:val="TOC Heading"/>
    <w:basedOn w:val="Heading1"/>
    <w:next w:val="Normal"/>
    <w:uiPriority w:val="39"/>
    <w:unhideWhenUsed/>
    <w:qFormat/>
    <w:rsid w:val="00602E3D"/>
    <w:pPr>
      <w:numPr>
        <w:numId w:val="0"/>
      </w:numPr>
      <w:spacing w:before="240" w:after="0" w:line="259" w:lineRule="auto"/>
      <w:outlineLvl w:val="9"/>
    </w:pPr>
    <w:rPr>
      <w:rFonts w:eastAsiaTheme="majorEastAsia" w:cstheme="majorBidi"/>
      <w:bCs w:val="0"/>
      <w:kern w:val="0"/>
      <w:szCs w:val="32"/>
      <w:lang w:val="en-US"/>
    </w:rPr>
  </w:style>
  <w:style w:type="paragraph" w:styleId="ListParagraph">
    <w:name w:val="List Paragraph"/>
    <w:aliases w:val="numbered list,za tekst,Označevanje,List Paragraph2,K1,Table of contents numbered,Elenco num ARGEA,body,Odsek zoznamu2,Tabela - prazna vrstica,List Paragraph compact,Normal bullet 2,Paragraphe de liste 2,Reference list,Bullet list,List L"/>
    <w:basedOn w:val="Normal"/>
    <w:link w:val="ListParagraphChar"/>
    <w:uiPriority w:val="34"/>
    <w:qFormat/>
    <w:rsid w:val="00DC2848"/>
    <w:pPr>
      <w:ind w:left="720"/>
      <w:contextualSpacing/>
    </w:pPr>
  </w:style>
  <w:style w:type="paragraph" w:customStyle="1" w:styleId="LiteraturaNAPOVED">
    <w:name w:val="Literatura_NAPOVED"/>
    <w:basedOn w:val="BesediloNAPOVED"/>
    <w:link w:val="LiteraturaNAPOVEDChar"/>
    <w:uiPriority w:val="14"/>
    <w:qFormat/>
    <w:rsid w:val="007E59DA"/>
    <w:pPr>
      <w:numPr>
        <w:numId w:val="1"/>
      </w:numPr>
      <w:ind w:left="357" w:hanging="357"/>
      <w:jc w:val="left"/>
    </w:pPr>
  </w:style>
  <w:style w:type="character" w:customStyle="1" w:styleId="LiteraturaNAPOVEDChar">
    <w:name w:val="Literatura_NAPOVED Char"/>
    <w:basedOn w:val="BesediloNAPOVEDChar"/>
    <w:link w:val="LiteraturaNAPOVED"/>
    <w:uiPriority w:val="14"/>
    <w:rsid w:val="007E59DA"/>
    <w:rPr>
      <w:rFonts w:ascii="Arial" w:eastAsiaTheme="minorHAnsi" w:hAnsi="Arial" w:cstheme="minorBidi"/>
      <w:szCs w:val="22"/>
      <w:lang w:eastAsia="en-US"/>
    </w:rPr>
  </w:style>
  <w:style w:type="character" w:customStyle="1" w:styleId="BesediloalinejeNAPOVEDChar">
    <w:name w:val="Besedilo alineje_NAPOVED Char"/>
    <w:basedOn w:val="BesediloNAPOVEDChar"/>
    <w:link w:val="BesediloalinejeNAPOVED"/>
    <w:uiPriority w:val="1"/>
    <w:rsid w:val="007E59DA"/>
    <w:rPr>
      <w:rFonts w:ascii="Arial" w:eastAsiaTheme="minorHAnsi" w:hAnsi="Arial" w:cstheme="minorBidi"/>
      <w:i/>
      <w:iCs/>
      <w:szCs w:val="22"/>
      <w:lang w:eastAsia="en-US"/>
    </w:rPr>
  </w:style>
  <w:style w:type="numbering" w:customStyle="1" w:styleId="NoList1">
    <w:name w:val="No List1"/>
    <w:next w:val="NoList"/>
    <w:uiPriority w:val="99"/>
    <w:semiHidden/>
    <w:unhideWhenUsed/>
    <w:rsid w:val="00CD306D"/>
  </w:style>
  <w:style w:type="numbering" w:customStyle="1" w:styleId="NoList11">
    <w:name w:val="No List11"/>
    <w:next w:val="NoList"/>
    <w:uiPriority w:val="99"/>
    <w:semiHidden/>
    <w:unhideWhenUsed/>
    <w:rsid w:val="00CD306D"/>
  </w:style>
  <w:style w:type="character" w:styleId="Strong">
    <w:name w:val="Strong"/>
    <w:uiPriority w:val="22"/>
    <w:qFormat/>
    <w:rsid w:val="00CD306D"/>
    <w:rPr>
      <w:b/>
      <w:bCs/>
    </w:rPr>
  </w:style>
  <w:style w:type="numbering" w:customStyle="1" w:styleId="NoList111">
    <w:name w:val="No List111"/>
    <w:next w:val="NoList"/>
    <w:uiPriority w:val="99"/>
    <w:semiHidden/>
    <w:unhideWhenUsed/>
    <w:rsid w:val="00CD306D"/>
  </w:style>
  <w:style w:type="numbering" w:customStyle="1" w:styleId="NoList2">
    <w:name w:val="No List2"/>
    <w:next w:val="NoList"/>
    <w:uiPriority w:val="99"/>
    <w:semiHidden/>
    <w:unhideWhenUsed/>
    <w:rsid w:val="00CD306D"/>
  </w:style>
  <w:style w:type="paragraph" w:styleId="NoSpacing">
    <w:name w:val="No Spacing"/>
    <w:uiPriority w:val="16"/>
    <w:rsid w:val="007E59DA"/>
    <w:rPr>
      <w:rFonts w:ascii="Arial" w:eastAsia="Calibri" w:hAnsi="Arial"/>
      <w:sz w:val="24"/>
      <w:szCs w:val="22"/>
      <w:lang w:eastAsia="en-US"/>
    </w:rPr>
  </w:style>
  <w:style w:type="numbering" w:customStyle="1" w:styleId="NoList3">
    <w:name w:val="No List3"/>
    <w:next w:val="NoList"/>
    <w:uiPriority w:val="99"/>
    <w:semiHidden/>
    <w:unhideWhenUsed/>
    <w:rsid w:val="00CD306D"/>
  </w:style>
  <w:style w:type="numbering" w:customStyle="1" w:styleId="NoList4">
    <w:name w:val="No List4"/>
    <w:next w:val="NoList"/>
    <w:uiPriority w:val="99"/>
    <w:semiHidden/>
    <w:unhideWhenUsed/>
    <w:rsid w:val="00CD306D"/>
  </w:style>
  <w:style w:type="numbering" w:customStyle="1" w:styleId="NoList5">
    <w:name w:val="No List5"/>
    <w:next w:val="NoList"/>
    <w:uiPriority w:val="99"/>
    <w:semiHidden/>
    <w:unhideWhenUsed/>
    <w:rsid w:val="00CD306D"/>
  </w:style>
  <w:style w:type="paragraph" w:styleId="NormalWeb">
    <w:name w:val="Normal (Web)"/>
    <w:basedOn w:val="FootnoteText"/>
    <w:uiPriority w:val="99"/>
    <w:unhideWhenUsed/>
    <w:rsid w:val="007E59DA"/>
  </w:style>
  <w:style w:type="numbering" w:customStyle="1" w:styleId="NoList6">
    <w:name w:val="No List6"/>
    <w:next w:val="NoList"/>
    <w:uiPriority w:val="99"/>
    <w:semiHidden/>
    <w:unhideWhenUsed/>
    <w:rsid w:val="00CD306D"/>
  </w:style>
  <w:style w:type="numbering" w:customStyle="1" w:styleId="NoList7">
    <w:name w:val="No List7"/>
    <w:next w:val="NoList"/>
    <w:uiPriority w:val="99"/>
    <w:semiHidden/>
    <w:unhideWhenUsed/>
    <w:rsid w:val="00CD306D"/>
  </w:style>
  <w:style w:type="numbering" w:customStyle="1" w:styleId="NoList8">
    <w:name w:val="No List8"/>
    <w:next w:val="NoList"/>
    <w:uiPriority w:val="99"/>
    <w:semiHidden/>
    <w:unhideWhenUsed/>
    <w:rsid w:val="00CD306D"/>
  </w:style>
  <w:style w:type="table" w:customStyle="1" w:styleId="1">
    <w:name w:val="1"/>
    <w:basedOn w:val="TableNormal"/>
    <w:rsid w:val="00CD306D"/>
    <w:rPr>
      <w:rFonts w:ascii="Calibri" w:eastAsia="Calibri" w:hAnsi="Calibri" w:cs="Calibri"/>
    </w:rPr>
    <w:tblPr>
      <w:tblStyleRowBandSize w:val="1"/>
      <w:tblStyleColBandSize w:val="1"/>
      <w:tblInd w:w="0" w:type="nil"/>
      <w:tblCellMar>
        <w:left w:w="70" w:type="dxa"/>
        <w:right w:w="70" w:type="dxa"/>
      </w:tblCellMar>
    </w:tblPr>
  </w:style>
  <w:style w:type="numbering" w:customStyle="1" w:styleId="Numbered">
    <w:name w:val="Numbered"/>
    <w:rsid w:val="00CD306D"/>
    <w:pPr>
      <w:numPr>
        <w:numId w:val="4"/>
      </w:numPr>
    </w:pPr>
  </w:style>
  <w:style w:type="character" w:customStyle="1" w:styleId="Nerazreenaomemba1">
    <w:name w:val="Nerazrešena omemba1"/>
    <w:basedOn w:val="DefaultParagraphFont"/>
    <w:uiPriority w:val="99"/>
    <w:semiHidden/>
    <w:unhideWhenUsed/>
    <w:rsid w:val="00CD306D"/>
    <w:rPr>
      <w:color w:val="605E5C"/>
      <w:shd w:val="clear" w:color="auto" w:fill="E1DFDD"/>
    </w:rPr>
  </w:style>
  <w:style w:type="character" w:customStyle="1" w:styleId="Nerazreenaomemba2">
    <w:name w:val="Nerazrešena omemba2"/>
    <w:basedOn w:val="DefaultParagraphFont"/>
    <w:uiPriority w:val="99"/>
    <w:semiHidden/>
    <w:unhideWhenUsed/>
    <w:rsid w:val="00CD306D"/>
    <w:rPr>
      <w:color w:val="605E5C"/>
      <w:shd w:val="clear" w:color="auto" w:fill="E1DFDD"/>
    </w:rPr>
  </w:style>
  <w:style w:type="table" w:customStyle="1" w:styleId="enabaNAPOVED">
    <w:name w:val="enačba NAPOVED"/>
    <w:basedOn w:val="TableNormal"/>
    <w:uiPriority w:val="99"/>
    <w:rsid w:val="008D443C"/>
    <w:pPr>
      <w:jc w:val="center"/>
    </w:pPr>
    <w:tblPr/>
    <w:tcPr>
      <w:vAlign w:val="center"/>
    </w:tcPr>
    <w:tblStylePr w:type="lastCol">
      <w:pPr>
        <w:jc w:val="right"/>
      </w:pPr>
    </w:tblStylePr>
  </w:style>
  <w:style w:type="table" w:customStyle="1" w:styleId="tabelaNAPOVED0">
    <w:name w:val="tabela NAPOVED"/>
    <w:basedOn w:val="TableNormal"/>
    <w:next w:val="TableNormal"/>
    <w:uiPriority w:val="40"/>
    <w:rsid w:val="00507F59"/>
    <w:rPr>
      <w:sz w:val="18"/>
    </w:rPr>
    <w:tblPr>
      <w:tblStyleRowBandSize w:val="1"/>
      <w:tblStyleColBandSize w:val="1"/>
      <w:tblBorders>
        <w:top w:val="single" w:sz="4" w:space="0" w:color="auto"/>
        <w:bottom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tblStylePr w:type="firstRow">
      <w:pPr>
        <w:jc w:val="right"/>
      </w:pPr>
      <w:rPr>
        <w:b w:val="0"/>
      </w:rPr>
      <w:tblPr/>
      <w:tcPr>
        <w:tcBorders>
          <w:top w:val="single" w:sz="4" w:space="0" w:color="auto"/>
          <w:left w:val="nil"/>
          <w:bottom w:val="nil"/>
          <w:right w:val="nil"/>
          <w:insideH w:val="nil"/>
          <w:insideV w:val="single" w:sz="4" w:space="0" w:color="auto"/>
          <w:tl2br w:val="nil"/>
          <w:tr2bl w:val="nil"/>
        </w:tcBorders>
        <w:shd w:val="clear" w:color="auto" w:fill="FFFFFF" w:themeFill="background1"/>
      </w:tcPr>
    </w:tblStylePr>
    <w:tblStylePr w:type="firstCol">
      <w:pPr>
        <w:jc w:val="left"/>
      </w:pPr>
    </w:tblStylePr>
    <w:tblStylePr w:type="lastCol">
      <w:pPr>
        <w:jc w:val="right"/>
      </w:pPr>
    </w:tblStylePr>
    <w:tblStylePr w:type="band1Vert">
      <w:pPr>
        <w:jc w:val="right"/>
      </w:pPr>
    </w:tblStylePr>
    <w:tblStylePr w:type="band2Vert">
      <w:pPr>
        <w:jc w:val="right"/>
      </w:pPr>
    </w:tblStylePr>
  </w:style>
  <w:style w:type="character" w:customStyle="1" w:styleId="tlid-translation">
    <w:name w:val="tlid-translation"/>
    <w:basedOn w:val="DefaultParagraphFont"/>
    <w:rsid w:val="00AB0B99"/>
  </w:style>
  <w:style w:type="character" w:styleId="FollowedHyperlink">
    <w:name w:val="FollowedHyperlink"/>
    <w:basedOn w:val="DefaultParagraphFont"/>
    <w:semiHidden/>
    <w:unhideWhenUsed/>
    <w:rsid w:val="006C78C1"/>
    <w:rPr>
      <w:color w:val="954F72" w:themeColor="followedHyperlink"/>
      <w:u w:val="single"/>
    </w:rPr>
  </w:style>
  <w:style w:type="character" w:customStyle="1" w:styleId="ListParagraphChar">
    <w:name w:val="List Paragraph Char"/>
    <w:aliases w:val="numbered list Char,za tekst Char,Označevanje Char,List Paragraph2 Char,K1 Char,Table of contents numbered Char,Elenco num ARGEA Char,body Char,Odsek zoznamu2 Char,Tabela - prazna vrstica Char,List Paragraph compact Char,List L Char"/>
    <w:link w:val="ListParagraph"/>
    <w:uiPriority w:val="34"/>
    <w:qFormat/>
    <w:locked/>
    <w:rsid w:val="005772A8"/>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2977AE"/>
    <w:rPr>
      <w:color w:val="605E5C"/>
      <w:shd w:val="clear" w:color="auto" w:fill="E1DFDD"/>
    </w:rPr>
  </w:style>
  <w:style w:type="table" w:styleId="TableGridLight">
    <w:name w:val="Grid Table Light"/>
    <w:basedOn w:val="TableNormal"/>
    <w:uiPriority w:val="40"/>
    <w:rsid w:val="009579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viiyi">
    <w:name w:val="viiyi"/>
    <w:basedOn w:val="DefaultParagraphFont"/>
    <w:rsid w:val="00932D7A"/>
  </w:style>
  <w:style w:type="character" w:customStyle="1" w:styleId="jlqj4b">
    <w:name w:val="jlqj4b"/>
    <w:basedOn w:val="DefaultParagraphFont"/>
    <w:rsid w:val="00932D7A"/>
  </w:style>
  <w:style w:type="character" w:customStyle="1" w:styleId="A0">
    <w:name w:val="A0"/>
    <w:uiPriority w:val="99"/>
    <w:rsid w:val="00EC36FA"/>
    <w:rPr>
      <w:rFonts w:cs="Myriad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55">
      <w:bodyDiv w:val="1"/>
      <w:marLeft w:val="0"/>
      <w:marRight w:val="0"/>
      <w:marTop w:val="0"/>
      <w:marBottom w:val="0"/>
      <w:divBdr>
        <w:top w:val="none" w:sz="0" w:space="0" w:color="auto"/>
        <w:left w:val="none" w:sz="0" w:space="0" w:color="auto"/>
        <w:bottom w:val="none" w:sz="0" w:space="0" w:color="auto"/>
        <w:right w:val="none" w:sz="0" w:space="0" w:color="auto"/>
      </w:divBdr>
    </w:div>
    <w:div w:id="53547514">
      <w:bodyDiv w:val="1"/>
      <w:marLeft w:val="0"/>
      <w:marRight w:val="0"/>
      <w:marTop w:val="0"/>
      <w:marBottom w:val="0"/>
      <w:divBdr>
        <w:top w:val="none" w:sz="0" w:space="0" w:color="auto"/>
        <w:left w:val="none" w:sz="0" w:space="0" w:color="auto"/>
        <w:bottom w:val="none" w:sz="0" w:space="0" w:color="auto"/>
        <w:right w:val="none" w:sz="0" w:space="0" w:color="auto"/>
      </w:divBdr>
    </w:div>
    <w:div w:id="244807683">
      <w:bodyDiv w:val="1"/>
      <w:marLeft w:val="0"/>
      <w:marRight w:val="0"/>
      <w:marTop w:val="0"/>
      <w:marBottom w:val="0"/>
      <w:divBdr>
        <w:top w:val="none" w:sz="0" w:space="0" w:color="auto"/>
        <w:left w:val="none" w:sz="0" w:space="0" w:color="auto"/>
        <w:bottom w:val="none" w:sz="0" w:space="0" w:color="auto"/>
        <w:right w:val="none" w:sz="0" w:space="0" w:color="auto"/>
      </w:divBdr>
    </w:div>
    <w:div w:id="423963885">
      <w:bodyDiv w:val="1"/>
      <w:marLeft w:val="0"/>
      <w:marRight w:val="0"/>
      <w:marTop w:val="0"/>
      <w:marBottom w:val="0"/>
      <w:divBdr>
        <w:top w:val="none" w:sz="0" w:space="0" w:color="auto"/>
        <w:left w:val="none" w:sz="0" w:space="0" w:color="auto"/>
        <w:bottom w:val="none" w:sz="0" w:space="0" w:color="auto"/>
        <w:right w:val="none" w:sz="0" w:space="0" w:color="auto"/>
      </w:divBdr>
    </w:div>
    <w:div w:id="425080229">
      <w:bodyDiv w:val="1"/>
      <w:marLeft w:val="0"/>
      <w:marRight w:val="0"/>
      <w:marTop w:val="0"/>
      <w:marBottom w:val="0"/>
      <w:divBdr>
        <w:top w:val="none" w:sz="0" w:space="0" w:color="auto"/>
        <w:left w:val="none" w:sz="0" w:space="0" w:color="auto"/>
        <w:bottom w:val="none" w:sz="0" w:space="0" w:color="auto"/>
        <w:right w:val="none" w:sz="0" w:space="0" w:color="auto"/>
      </w:divBdr>
    </w:div>
    <w:div w:id="460072033">
      <w:bodyDiv w:val="1"/>
      <w:marLeft w:val="0"/>
      <w:marRight w:val="0"/>
      <w:marTop w:val="0"/>
      <w:marBottom w:val="0"/>
      <w:divBdr>
        <w:top w:val="none" w:sz="0" w:space="0" w:color="auto"/>
        <w:left w:val="none" w:sz="0" w:space="0" w:color="auto"/>
        <w:bottom w:val="none" w:sz="0" w:space="0" w:color="auto"/>
        <w:right w:val="none" w:sz="0" w:space="0" w:color="auto"/>
      </w:divBdr>
    </w:div>
    <w:div w:id="569315116">
      <w:bodyDiv w:val="1"/>
      <w:marLeft w:val="0"/>
      <w:marRight w:val="0"/>
      <w:marTop w:val="0"/>
      <w:marBottom w:val="0"/>
      <w:divBdr>
        <w:top w:val="none" w:sz="0" w:space="0" w:color="auto"/>
        <w:left w:val="none" w:sz="0" w:space="0" w:color="auto"/>
        <w:bottom w:val="none" w:sz="0" w:space="0" w:color="auto"/>
        <w:right w:val="none" w:sz="0" w:space="0" w:color="auto"/>
      </w:divBdr>
    </w:div>
    <w:div w:id="599996255">
      <w:bodyDiv w:val="1"/>
      <w:marLeft w:val="0"/>
      <w:marRight w:val="0"/>
      <w:marTop w:val="0"/>
      <w:marBottom w:val="0"/>
      <w:divBdr>
        <w:top w:val="none" w:sz="0" w:space="0" w:color="auto"/>
        <w:left w:val="none" w:sz="0" w:space="0" w:color="auto"/>
        <w:bottom w:val="none" w:sz="0" w:space="0" w:color="auto"/>
        <w:right w:val="none" w:sz="0" w:space="0" w:color="auto"/>
      </w:divBdr>
    </w:div>
    <w:div w:id="699205080">
      <w:bodyDiv w:val="1"/>
      <w:marLeft w:val="0"/>
      <w:marRight w:val="0"/>
      <w:marTop w:val="0"/>
      <w:marBottom w:val="0"/>
      <w:divBdr>
        <w:top w:val="none" w:sz="0" w:space="0" w:color="auto"/>
        <w:left w:val="none" w:sz="0" w:space="0" w:color="auto"/>
        <w:bottom w:val="none" w:sz="0" w:space="0" w:color="auto"/>
        <w:right w:val="none" w:sz="0" w:space="0" w:color="auto"/>
      </w:divBdr>
    </w:div>
    <w:div w:id="883758017">
      <w:bodyDiv w:val="1"/>
      <w:marLeft w:val="0"/>
      <w:marRight w:val="0"/>
      <w:marTop w:val="0"/>
      <w:marBottom w:val="0"/>
      <w:divBdr>
        <w:top w:val="none" w:sz="0" w:space="0" w:color="auto"/>
        <w:left w:val="none" w:sz="0" w:space="0" w:color="auto"/>
        <w:bottom w:val="none" w:sz="0" w:space="0" w:color="auto"/>
        <w:right w:val="none" w:sz="0" w:space="0" w:color="auto"/>
      </w:divBdr>
    </w:div>
    <w:div w:id="904267451">
      <w:bodyDiv w:val="1"/>
      <w:marLeft w:val="0"/>
      <w:marRight w:val="0"/>
      <w:marTop w:val="0"/>
      <w:marBottom w:val="0"/>
      <w:divBdr>
        <w:top w:val="none" w:sz="0" w:space="0" w:color="auto"/>
        <w:left w:val="none" w:sz="0" w:space="0" w:color="auto"/>
        <w:bottom w:val="none" w:sz="0" w:space="0" w:color="auto"/>
        <w:right w:val="none" w:sz="0" w:space="0" w:color="auto"/>
      </w:divBdr>
    </w:div>
    <w:div w:id="916668916">
      <w:bodyDiv w:val="1"/>
      <w:marLeft w:val="0"/>
      <w:marRight w:val="0"/>
      <w:marTop w:val="0"/>
      <w:marBottom w:val="0"/>
      <w:divBdr>
        <w:top w:val="none" w:sz="0" w:space="0" w:color="auto"/>
        <w:left w:val="none" w:sz="0" w:space="0" w:color="auto"/>
        <w:bottom w:val="none" w:sz="0" w:space="0" w:color="auto"/>
        <w:right w:val="none" w:sz="0" w:space="0" w:color="auto"/>
      </w:divBdr>
    </w:div>
    <w:div w:id="1031109431">
      <w:bodyDiv w:val="1"/>
      <w:marLeft w:val="0"/>
      <w:marRight w:val="0"/>
      <w:marTop w:val="0"/>
      <w:marBottom w:val="0"/>
      <w:divBdr>
        <w:top w:val="none" w:sz="0" w:space="0" w:color="auto"/>
        <w:left w:val="none" w:sz="0" w:space="0" w:color="auto"/>
        <w:bottom w:val="none" w:sz="0" w:space="0" w:color="auto"/>
        <w:right w:val="none" w:sz="0" w:space="0" w:color="auto"/>
      </w:divBdr>
      <w:divsChild>
        <w:div w:id="1237864819">
          <w:marLeft w:val="0"/>
          <w:marRight w:val="0"/>
          <w:marTop w:val="0"/>
          <w:marBottom w:val="0"/>
          <w:divBdr>
            <w:top w:val="none" w:sz="0" w:space="0" w:color="auto"/>
            <w:left w:val="none" w:sz="0" w:space="0" w:color="auto"/>
            <w:bottom w:val="none" w:sz="0" w:space="0" w:color="auto"/>
            <w:right w:val="none" w:sz="0" w:space="0" w:color="auto"/>
          </w:divBdr>
        </w:div>
      </w:divsChild>
    </w:div>
    <w:div w:id="1295526200">
      <w:bodyDiv w:val="1"/>
      <w:marLeft w:val="0"/>
      <w:marRight w:val="0"/>
      <w:marTop w:val="0"/>
      <w:marBottom w:val="0"/>
      <w:divBdr>
        <w:top w:val="none" w:sz="0" w:space="0" w:color="auto"/>
        <w:left w:val="none" w:sz="0" w:space="0" w:color="auto"/>
        <w:bottom w:val="none" w:sz="0" w:space="0" w:color="auto"/>
        <w:right w:val="none" w:sz="0" w:space="0" w:color="auto"/>
      </w:divBdr>
    </w:div>
    <w:div w:id="1500387544">
      <w:bodyDiv w:val="1"/>
      <w:marLeft w:val="0"/>
      <w:marRight w:val="0"/>
      <w:marTop w:val="0"/>
      <w:marBottom w:val="0"/>
      <w:divBdr>
        <w:top w:val="none" w:sz="0" w:space="0" w:color="auto"/>
        <w:left w:val="none" w:sz="0" w:space="0" w:color="auto"/>
        <w:bottom w:val="none" w:sz="0" w:space="0" w:color="auto"/>
        <w:right w:val="none" w:sz="0" w:space="0" w:color="auto"/>
      </w:divBdr>
      <w:divsChild>
        <w:div w:id="1246645399">
          <w:marLeft w:val="0"/>
          <w:marRight w:val="0"/>
          <w:marTop w:val="0"/>
          <w:marBottom w:val="0"/>
          <w:divBdr>
            <w:top w:val="none" w:sz="0" w:space="0" w:color="auto"/>
            <w:left w:val="none" w:sz="0" w:space="0" w:color="auto"/>
            <w:bottom w:val="none" w:sz="0" w:space="0" w:color="auto"/>
            <w:right w:val="none" w:sz="0" w:space="0" w:color="auto"/>
          </w:divBdr>
        </w:div>
      </w:divsChild>
    </w:div>
    <w:div w:id="1516193621">
      <w:bodyDiv w:val="1"/>
      <w:marLeft w:val="0"/>
      <w:marRight w:val="0"/>
      <w:marTop w:val="0"/>
      <w:marBottom w:val="0"/>
      <w:divBdr>
        <w:top w:val="none" w:sz="0" w:space="0" w:color="auto"/>
        <w:left w:val="none" w:sz="0" w:space="0" w:color="auto"/>
        <w:bottom w:val="none" w:sz="0" w:space="0" w:color="auto"/>
        <w:right w:val="none" w:sz="0" w:space="0" w:color="auto"/>
      </w:divBdr>
    </w:div>
    <w:div w:id="1592659558">
      <w:bodyDiv w:val="1"/>
      <w:marLeft w:val="0"/>
      <w:marRight w:val="0"/>
      <w:marTop w:val="0"/>
      <w:marBottom w:val="0"/>
      <w:divBdr>
        <w:top w:val="none" w:sz="0" w:space="0" w:color="auto"/>
        <w:left w:val="none" w:sz="0" w:space="0" w:color="auto"/>
        <w:bottom w:val="none" w:sz="0" w:space="0" w:color="auto"/>
        <w:right w:val="none" w:sz="0" w:space="0" w:color="auto"/>
      </w:divBdr>
    </w:div>
    <w:div w:id="1754617664">
      <w:bodyDiv w:val="1"/>
      <w:marLeft w:val="0"/>
      <w:marRight w:val="0"/>
      <w:marTop w:val="0"/>
      <w:marBottom w:val="0"/>
      <w:divBdr>
        <w:top w:val="none" w:sz="0" w:space="0" w:color="auto"/>
        <w:left w:val="none" w:sz="0" w:space="0" w:color="auto"/>
        <w:bottom w:val="none" w:sz="0" w:space="0" w:color="auto"/>
        <w:right w:val="none" w:sz="0" w:space="0" w:color="auto"/>
      </w:divBdr>
    </w:div>
    <w:div w:id="1827472149">
      <w:bodyDiv w:val="1"/>
      <w:marLeft w:val="0"/>
      <w:marRight w:val="0"/>
      <w:marTop w:val="0"/>
      <w:marBottom w:val="0"/>
      <w:divBdr>
        <w:top w:val="none" w:sz="0" w:space="0" w:color="auto"/>
        <w:left w:val="none" w:sz="0" w:space="0" w:color="auto"/>
        <w:bottom w:val="none" w:sz="0" w:space="0" w:color="auto"/>
        <w:right w:val="none" w:sz="0" w:space="0" w:color="auto"/>
      </w:divBdr>
    </w:div>
    <w:div w:id="1941835484">
      <w:bodyDiv w:val="1"/>
      <w:marLeft w:val="0"/>
      <w:marRight w:val="0"/>
      <w:marTop w:val="0"/>
      <w:marBottom w:val="0"/>
      <w:divBdr>
        <w:top w:val="none" w:sz="0" w:space="0" w:color="auto"/>
        <w:left w:val="none" w:sz="0" w:space="0" w:color="auto"/>
        <w:bottom w:val="none" w:sz="0" w:space="0" w:color="auto"/>
        <w:right w:val="none" w:sz="0" w:space="0" w:color="auto"/>
      </w:divBdr>
    </w:div>
    <w:div w:id="2030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3" Type="http://schemas.openxmlformats.org/officeDocument/2006/relationships/image" Target="media/image46.emf"/><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emf"/></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UMAR tema">
  <a:themeElements>
    <a:clrScheme name="UMAR barve 2">
      <a:dk1>
        <a:sysClr val="windowText" lastClr="000000"/>
      </a:dk1>
      <a:lt1>
        <a:sysClr val="window" lastClr="FFFFFF"/>
      </a:lt1>
      <a:dk2>
        <a:srgbClr val="44546A"/>
      </a:dk2>
      <a:lt2>
        <a:srgbClr val="DBDBDB"/>
      </a:lt2>
      <a:accent1>
        <a:srgbClr val="9E001A"/>
      </a:accent1>
      <a:accent2>
        <a:srgbClr val="D99694"/>
      </a:accent2>
      <a:accent3>
        <a:srgbClr val="949494"/>
      </a:accent3>
      <a:accent4>
        <a:srgbClr val="535353"/>
      </a:accent4>
      <a:accent5>
        <a:srgbClr val="3F8B94"/>
      </a:accent5>
      <a:accent6>
        <a:srgbClr val="9FCDAB"/>
      </a:accent6>
      <a:hlink>
        <a:srgbClr val="0563C1"/>
      </a:hlink>
      <a:folHlink>
        <a:srgbClr val="954F72"/>
      </a:folHlink>
    </a:clrScheme>
    <a:fontScheme name="UMAR pisav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15F4-2361-4F1D-91F6-5EB0DEA2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40</Pages>
  <Words>12245</Words>
  <Characters>74301</Characters>
  <Application>Microsoft Office Word</Application>
  <DocSecurity>0</DocSecurity>
  <Lines>619</Lines>
  <Paragraphs>172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NEP:</vt:lpstr>
      <vt:lpstr>NEP:</vt:lpstr>
    </vt:vector>
  </TitlesOfParts>
  <Company>UMAR</Company>
  <LinksUpToDate>false</LinksUpToDate>
  <CharactersWithSpaces>86374</CharactersWithSpaces>
  <SharedDoc>false</SharedDoc>
  <HLinks>
    <vt:vector size="18" baseType="variant">
      <vt:variant>
        <vt:i4>2031671</vt:i4>
      </vt:variant>
      <vt:variant>
        <vt:i4>47</vt:i4>
      </vt:variant>
      <vt:variant>
        <vt:i4>0</vt:i4>
      </vt:variant>
      <vt:variant>
        <vt:i4>5</vt:i4>
      </vt:variant>
      <vt:variant>
        <vt:lpwstr/>
      </vt:variant>
      <vt:variant>
        <vt:lpwstr>_Toc164759707</vt:lpwstr>
      </vt:variant>
      <vt:variant>
        <vt:i4>2031671</vt:i4>
      </vt:variant>
      <vt:variant>
        <vt:i4>38</vt:i4>
      </vt:variant>
      <vt:variant>
        <vt:i4>0</vt:i4>
      </vt:variant>
      <vt:variant>
        <vt:i4>5</vt:i4>
      </vt:variant>
      <vt:variant>
        <vt:lpwstr/>
      </vt:variant>
      <vt:variant>
        <vt:lpwstr>_Toc164759700</vt:lpwstr>
      </vt:variant>
      <vt:variant>
        <vt:i4>1441846</vt:i4>
      </vt:variant>
      <vt:variant>
        <vt:i4>29</vt:i4>
      </vt:variant>
      <vt:variant>
        <vt:i4>0</vt:i4>
      </vt:variant>
      <vt:variant>
        <vt:i4>5</vt:i4>
      </vt:variant>
      <vt:variant>
        <vt:lpwstr/>
      </vt:variant>
      <vt:variant>
        <vt:lpwstr>_Toc164759693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dc:title>
  <dc:subject/>
  <dc:creator>ubrodar</dc:creator>
  <cp:keywords/>
  <dc:description/>
  <cp:lastModifiedBy>Nataša Todorović Jemec</cp:lastModifiedBy>
  <cp:revision>345</cp:revision>
  <cp:lastPrinted>2021-03-10T13:15:00Z</cp:lastPrinted>
  <dcterms:created xsi:type="dcterms:W3CDTF">2021-08-12T17:03:00Z</dcterms:created>
  <dcterms:modified xsi:type="dcterms:W3CDTF">2021-08-30T12:11:00Z</dcterms:modified>
</cp:coreProperties>
</file>