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FFE" w:rsidRPr="00B141D8" w:rsidRDefault="002C6866" w:rsidP="004A2FFE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  <w:r w:rsidRPr="00B141D8"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HOMEWORK </w:t>
      </w:r>
      <w:r w:rsidR="00B141D8">
        <w:rPr>
          <w:rFonts w:asciiTheme="majorHAnsi" w:hAnsiTheme="majorHAnsi" w:cstheme="majorHAnsi"/>
          <w:b/>
          <w:bCs/>
          <w:sz w:val="28"/>
          <w:szCs w:val="28"/>
          <w:lang w:val="en-GB"/>
        </w:rPr>
        <w:t>0</w:t>
      </w:r>
      <w:r w:rsidRPr="00B141D8">
        <w:rPr>
          <w:rFonts w:asciiTheme="majorHAnsi" w:hAnsiTheme="majorHAnsi" w:cstheme="majorHAnsi"/>
          <w:b/>
          <w:bCs/>
          <w:sz w:val="28"/>
          <w:szCs w:val="28"/>
          <w:lang w:val="en-GB"/>
        </w:rPr>
        <w:t>6: report</w:t>
      </w:r>
    </w:p>
    <w:p w:rsidR="004A2FFE" w:rsidRPr="00AD7D0F" w:rsidRDefault="004A2FFE" w:rsidP="004A2FFE">
      <w:pPr>
        <w:rPr>
          <w:rFonts w:asciiTheme="majorHAnsi" w:hAnsiTheme="majorHAnsi" w:cstheme="majorHAnsi"/>
          <w:b/>
          <w:bCs/>
          <w:lang w:val="en-GB"/>
        </w:rPr>
      </w:pPr>
      <w:r w:rsidRPr="00AD7D0F">
        <w:rPr>
          <w:rFonts w:asciiTheme="majorHAnsi" w:hAnsiTheme="majorHAnsi" w:cstheme="majorHAnsi"/>
          <w:b/>
          <w:bCs/>
          <w:lang w:val="en-GB"/>
        </w:rPr>
        <w:t>BASIC INFORMATION</w:t>
      </w:r>
    </w:p>
    <w:p w:rsidR="009105B3" w:rsidRPr="00AD7D0F" w:rsidRDefault="00630752" w:rsidP="00A769A2">
      <w:pPr>
        <w:jc w:val="both"/>
        <w:rPr>
          <w:sz w:val="20"/>
          <w:szCs w:val="20"/>
          <w:lang w:val="en-GB"/>
        </w:rPr>
      </w:pPr>
      <w:r w:rsidRPr="00AD7D0F">
        <w:rPr>
          <w:sz w:val="20"/>
          <w:szCs w:val="20"/>
          <w:lang w:val="en-GB"/>
        </w:rPr>
        <w:t xml:space="preserve">I implemented this homework in Python. I used </w:t>
      </w:r>
      <w:r w:rsidRPr="00B51F19">
        <w:rPr>
          <w:rFonts w:ascii="Courier New" w:hAnsi="Courier New" w:cs="Courier New"/>
          <w:sz w:val="18"/>
          <w:szCs w:val="18"/>
          <w:lang w:val="en-GB"/>
        </w:rPr>
        <w:t>pymc3</w:t>
      </w:r>
      <w:r w:rsidR="00F4049C">
        <w:rPr>
          <w:sz w:val="20"/>
          <w:szCs w:val="20"/>
          <w:lang w:val="en-GB"/>
        </w:rPr>
        <w:t xml:space="preserve"> library</w:t>
      </w:r>
      <w:r w:rsidRPr="00AD7D0F">
        <w:rPr>
          <w:sz w:val="20"/>
          <w:szCs w:val="20"/>
          <w:lang w:val="en-GB"/>
        </w:rPr>
        <w:t xml:space="preserve"> for MCMC based Bayesian inference</w:t>
      </w:r>
      <w:r w:rsidR="00902926">
        <w:rPr>
          <w:sz w:val="20"/>
          <w:szCs w:val="20"/>
          <w:lang w:val="en-GB"/>
        </w:rPr>
        <w:t xml:space="preserve"> (as it was similar to </w:t>
      </w:r>
      <w:r w:rsidR="00902926" w:rsidRPr="00B51F19">
        <w:rPr>
          <w:rFonts w:ascii="Courier New" w:hAnsi="Courier New" w:cs="Courier New"/>
          <w:sz w:val="18"/>
          <w:szCs w:val="18"/>
          <w:lang w:val="en-GB"/>
        </w:rPr>
        <w:t>rstanarm::stan_glm</w:t>
      </w:r>
      <w:r w:rsidR="00902926">
        <w:rPr>
          <w:sz w:val="20"/>
          <w:szCs w:val="20"/>
          <w:lang w:val="en-GB"/>
        </w:rPr>
        <w:t xml:space="preserve"> in R)</w:t>
      </w:r>
      <w:r w:rsidRPr="00AD7D0F">
        <w:rPr>
          <w:sz w:val="20"/>
          <w:szCs w:val="20"/>
          <w:lang w:val="en-GB"/>
        </w:rPr>
        <w:t xml:space="preserve">. </w:t>
      </w:r>
      <w:r w:rsidR="00D96798" w:rsidRPr="00AD7D0F">
        <w:rPr>
          <w:sz w:val="20"/>
          <w:szCs w:val="20"/>
          <w:lang w:val="en-GB"/>
        </w:rPr>
        <w:t>The data was firstly normalized (so I could compare distance and angle's coefficients)</w:t>
      </w:r>
      <w:r w:rsidR="00554C51" w:rsidRPr="00AD7D0F">
        <w:rPr>
          <w:sz w:val="20"/>
          <w:szCs w:val="20"/>
          <w:lang w:val="en-GB"/>
        </w:rPr>
        <w:t>.</w:t>
      </w:r>
    </w:p>
    <w:p w:rsidR="009105B3" w:rsidRPr="00AD7D0F" w:rsidRDefault="009105B3" w:rsidP="00630752">
      <w:pPr>
        <w:rPr>
          <w:rFonts w:asciiTheme="majorHAnsi" w:hAnsiTheme="majorHAnsi" w:cstheme="majorHAnsi"/>
          <w:b/>
          <w:bCs/>
          <w:lang w:val="en-GB"/>
        </w:rPr>
      </w:pPr>
      <w:r w:rsidRPr="00AD7D0F">
        <w:rPr>
          <w:rFonts w:asciiTheme="majorHAnsi" w:hAnsiTheme="majorHAnsi" w:cstheme="majorHAnsi"/>
          <w:b/>
          <w:bCs/>
          <w:lang w:val="en-GB"/>
        </w:rPr>
        <w:t>QUESTIONS</w:t>
      </w:r>
    </w:p>
    <w:p w:rsidR="00EA670D" w:rsidRPr="00AD7D0F" w:rsidRDefault="002C6866" w:rsidP="00A769A2">
      <w:pPr>
        <w:jc w:val="both"/>
        <w:rPr>
          <w:i/>
          <w:iCs/>
          <w:color w:val="7F7F7F" w:themeColor="text1" w:themeTint="80"/>
          <w:sz w:val="20"/>
          <w:szCs w:val="20"/>
          <w:lang w:val="en-GB"/>
        </w:rPr>
      </w:pPr>
      <w:r w:rsidRPr="00AD7D0F">
        <w:rPr>
          <w:i/>
          <w:iCs/>
          <w:color w:val="7F7F7F" w:themeColor="text1" w:themeTint="80"/>
          <w:sz w:val="20"/>
          <w:szCs w:val="20"/>
          <w:lang w:val="en-GB"/>
        </w:rPr>
        <w:t>Before looking at any of the results, what is your personal opinion about the coefficient beta for distance? State it in probabilistic terms (as a distribution). Discuss after observing the results.</w:t>
      </w:r>
    </w:p>
    <w:p w:rsidR="002C6866" w:rsidRPr="00AD7D0F" w:rsidRDefault="001B7C8E" w:rsidP="00A769A2">
      <w:pPr>
        <w:jc w:val="both"/>
        <w:rPr>
          <w:rFonts w:eastAsiaTheme="minorEastAsia"/>
          <w:sz w:val="20"/>
          <w:szCs w:val="20"/>
          <w:lang w:val="en-GB"/>
        </w:rPr>
      </w:pPr>
      <w:r w:rsidRPr="00AD7D0F">
        <w:rPr>
          <w:sz w:val="20"/>
          <w:szCs w:val="20"/>
          <w:lang w:val="en-GB"/>
        </w:rPr>
        <w:t xml:space="preserve">With my basketball knowledge, coefficient beta for distance should have a negative mean (as common knowledge suggests, that further the throw, lesser the chance of success). So, posterior </w:t>
      </w:r>
      <w:r w:rsidR="00554C51" w:rsidRPr="00AD7D0F">
        <w:rPr>
          <w:sz w:val="20"/>
          <w:szCs w:val="20"/>
          <w:lang w:val="en-GB"/>
        </w:rPr>
        <w:t>distribution</w:t>
      </w:r>
      <w:r w:rsidRPr="00AD7D0F">
        <w:rPr>
          <w:sz w:val="20"/>
          <w:szCs w:val="20"/>
          <w:lang w:val="en-GB"/>
        </w:rPr>
        <w:t xml:space="preserve"> for beta </w:t>
      </w:r>
      <w:r w:rsidR="00992403" w:rsidRPr="00AD7D0F">
        <w:rPr>
          <w:sz w:val="20"/>
          <w:szCs w:val="20"/>
          <w:lang w:val="en-GB"/>
        </w:rPr>
        <w:t>2</w:t>
      </w:r>
      <w:r w:rsidRPr="00AD7D0F">
        <w:rPr>
          <w:sz w:val="20"/>
          <w:szCs w:val="20"/>
          <w:lang w:val="en-GB"/>
        </w:rPr>
        <w:t xml:space="preserve"> (beta for distance) should be normally distributed and </w:t>
      </w:r>
      <m:oMath>
        <m:r>
          <w:rPr>
            <w:rFonts w:ascii="Cambria Math" w:hAnsi="Cambria Math"/>
            <w:sz w:val="20"/>
            <w:szCs w:val="20"/>
            <w:lang w:val="en-GB"/>
          </w:rPr>
          <m:t xml:space="preserve">N(μ,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GB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GB"/>
          </w:rPr>
          <m:t>)</m:t>
        </m:r>
      </m:oMath>
      <w:r w:rsidRPr="00AD7D0F">
        <w:rPr>
          <w:rFonts w:eastAsiaTheme="minorEastAsia"/>
          <w:sz w:val="20"/>
          <w:szCs w:val="20"/>
          <w:lang w:val="en-GB"/>
        </w:rPr>
        <w:t xml:space="preserve">, where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μ</m:t>
        </m:r>
      </m:oMath>
      <w:r w:rsidRPr="00AD7D0F">
        <w:rPr>
          <w:rFonts w:eastAsiaTheme="minorEastAsia"/>
          <w:sz w:val="20"/>
          <w:szCs w:val="20"/>
          <w:lang w:val="en-GB"/>
        </w:rPr>
        <w:t xml:space="preserve"> should be negative.</w:t>
      </w:r>
    </w:p>
    <w:p w:rsidR="00183625" w:rsidRPr="00AD7D0F" w:rsidRDefault="00992403" w:rsidP="00A769A2">
      <w:pPr>
        <w:jc w:val="both"/>
        <w:rPr>
          <w:rFonts w:eastAsiaTheme="minorEastAsia"/>
          <w:sz w:val="20"/>
          <w:szCs w:val="20"/>
          <w:lang w:val="en-GB"/>
        </w:rPr>
      </w:pPr>
      <w:r w:rsidRPr="00AD7D0F">
        <w:rPr>
          <w:rFonts w:eastAsiaTheme="minorEastAsia"/>
          <w:sz w:val="20"/>
          <w:szCs w:val="20"/>
          <w:lang w:val="en-GB"/>
        </w:rPr>
        <w:t>After observing the results, we get posterior distribution</w:t>
      </w:r>
      <w:r w:rsidR="00D96798" w:rsidRPr="00AD7D0F">
        <w:rPr>
          <w:rFonts w:eastAsiaTheme="minorEastAsia"/>
          <w:sz w:val="20"/>
          <w:szCs w:val="20"/>
          <w:lang w:val="en-GB"/>
        </w:rPr>
        <w:t>s for coefficients</w:t>
      </w:r>
      <w:r w:rsidR="00A7420C" w:rsidRPr="00AD7D0F">
        <w:rPr>
          <w:rFonts w:eastAsiaTheme="minorEastAsia"/>
          <w:sz w:val="20"/>
          <w:szCs w:val="20"/>
          <w:lang w:val="en-GB"/>
        </w:rPr>
        <w:t xml:space="preserve"> and distribution plots</w:t>
      </w:r>
      <w:r w:rsidR="009105B3" w:rsidRPr="00AD7D0F">
        <w:rPr>
          <w:rFonts w:eastAsiaTheme="minorEastAsia"/>
          <w:sz w:val="20"/>
          <w:szCs w:val="20"/>
          <w:lang w:val="en-GB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173"/>
        <w:gridCol w:w="2173"/>
        <w:gridCol w:w="2174"/>
      </w:tblGrid>
      <w:tr w:rsidR="00E561E5" w:rsidRPr="006871D6" w:rsidTr="00DA2E29">
        <w:trPr>
          <w:jc w:val="center"/>
        </w:trPr>
        <w:tc>
          <w:tcPr>
            <w:tcW w:w="2552" w:type="dxa"/>
            <w:shd w:val="clear" w:color="auto" w:fill="D9D9D9" w:themeFill="background1" w:themeFillShade="D9"/>
          </w:tcPr>
          <w:p w:rsidR="00E561E5" w:rsidRPr="006871D6" w:rsidRDefault="00E561E5" w:rsidP="006871D6">
            <w:pPr>
              <w:jc w:val="center"/>
              <w:rPr>
                <w:rFonts w:eastAsiaTheme="minorEastAsia"/>
                <w:b/>
                <w:bCs/>
                <w:sz w:val="18"/>
                <w:szCs w:val="18"/>
                <w:lang w:val="en-GB"/>
              </w:rPr>
            </w:pPr>
            <w:r w:rsidRPr="006871D6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coefficient</w:t>
            </w:r>
          </w:p>
        </w:tc>
        <w:tc>
          <w:tcPr>
            <w:tcW w:w="2173" w:type="dxa"/>
            <w:shd w:val="clear" w:color="auto" w:fill="D9D9D9" w:themeFill="background1" w:themeFillShade="D9"/>
          </w:tcPr>
          <w:p w:rsidR="00E561E5" w:rsidRPr="006871D6" w:rsidRDefault="00E561E5" w:rsidP="006E006A">
            <w:pPr>
              <w:jc w:val="center"/>
              <w:rPr>
                <w:rFonts w:eastAsiaTheme="minorEastAsia"/>
                <w:b/>
                <w:bCs/>
                <w:sz w:val="18"/>
                <w:szCs w:val="18"/>
                <w:lang w:val="en-GB"/>
              </w:rPr>
            </w:pPr>
            <w:r w:rsidRPr="006871D6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mean</w:t>
            </w:r>
          </w:p>
        </w:tc>
        <w:tc>
          <w:tcPr>
            <w:tcW w:w="2173" w:type="dxa"/>
            <w:shd w:val="clear" w:color="auto" w:fill="D9D9D9" w:themeFill="background1" w:themeFillShade="D9"/>
          </w:tcPr>
          <w:p w:rsidR="00E561E5" w:rsidRPr="006871D6" w:rsidRDefault="00E561E5" w:rsidP="006E006A">
            <w:pPr>
              <w:jc w:val="center"/>
              <w:rPr>
                <w:rFonts w:eastAsiaTheme="minorEastAsia"/>
                <w:b/>
                <w:bCs/>
                <w:sz w:val="18"/>
                <w:szCs w:val="18"/>
                <w:lang w:val="en-GB"/>
              </w:rPr>
            </w:pPr>
            <w:r w:rsidRPr="006871D6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standard error</w:t>
            </w:r>
          </w:p>
        </w:tc>
        <w:tc>
          <w:tcPr>
            <w:tcW w:w="2174" w:type="dxa"/>
            <w:shd w:val="clear" w:color="auto" w:fill="D9D9D9" w:themeFill="background1" w:themeFillShade="D9"/>
          </w:tcPr>
          <w:p w:rsidR="00E561E5" w:rsidRPr="006871D6" w:rsidRDefault="00E561E5" w:rsidP="006E006A">
            <w:pPr>
              <w:jc w:val="center"/>
              <w:rPr>
                <w:rFonts w:eastAsiaTheme="minorEastAsia"/>
                <w:b/>
                <w:bCs/>
                <w:sz w:val="18"/>
                <w:szCs w:val="18"/>
                <w:lang w:val="en-GB"/>
              </w:rPr>
            </w:pPr>
            <w:r w:rsidRPr="006871D6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95% CI</w:t>
            </w:r>
          </w:p>
        </w:tc>
      </w:tr>
      <w:tr w:rsidR="00E561E5" w:rsidRPr="006871D6" w:rsidTr="00DA2E29">
        <w:trPr>
          <w:trHeight w:val="227"/>
          <w:jc w:val="center"/>
        </w:trPr>
        <w:tc>
          <w:tcPr>
            <w:tcW w:w="2552" w:type="dxa"/>
            <w:vAlign w:val="center"/>
          </w:tcPr>
          <w:p w:rsidR="00E561E5" w:rsidRPr="006871D6" w:rsidRDefault="006C66DD" w:rsidP="006871D6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6871D6">
              <w:rPr>
                <w:rFonts w:eastAsiaTheme="minorEastAsia"/>
                <w:sz w:val="18"/>
                <w:szCs w:val="18"/>
                <w:lang w:val="en-GB"/>
              </w:rPr>
              <w:t>beta 0 (</w:t>
            </w:r>
            <w:r w:rsidR="00E561E5" w:rsidRPr="006871D6">
              <w:rPr>
                <w:rFonts w:eastAsiaTheme="minorEastAsia"/>
                <w:sz w:val="18"/>
                <w:szCs w:val="18"/>
                <w:lang w:val="en-GB"/>
              </w:rPr>
              <w:t>intercept</w:t>
            </w:r>
            <w:r w:rsidRPr="006871D6">
              <w:rPr>
                <w:rFonts w:eastAsiaTheme="minorEastAsia"/>
                <w:sz w:val="18"/>
                <w:szCs w:val="18"/>
                <w:lang w:val="en-GB"/>
              </w:rPr>
              <w:t>)</w:t>
            </w:r>
          </w:p>
        </w:tc>
        <w:tc>
          <w:tcPr>
            <w:tcW w:w="2173" w:type="dxa"/>
            <w:vAlign w:val="center"/>
          </w:tcPr>
          <w:p w:rsidR="00E561E5" w:rsidRPr="006871D6" w:rsidRDefault="006E006A" w:rsidP="006871D6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6871D6">
              <w:rPr>
                <w:rFonts w:eastAsiaTheme="minorEastAsia"/>
                <w:sz w:val="18"/>
                <w:szCs w:val="18"/>
                <w:lang w:val="en-GB"/>
              </w:rPr>
              <w:t>-0.0</w:t>
            </w:r>
            <w:r w:rsidRPr="006871D6">
              <w:rPr>
                <w:rFonts w:eastAsiaTheme="minorEastAsia"/>
                <w:sz w:val="18"/>
                <w:szCs w:val="18"/>
                <w:lang w:val="en-GB"/>
              </w:rPr>
              <w:t>8</w:t>
            </w:r>
          </w:p>
        </w:tc>
        <w:tc>
          <w:tcPr>
            <w:tcW w:w="2173" w:type="dxa"/>
            <w:vAlign w:val="center"/>
          </w:tcPr>
          <w:p w:rsidR="00E561E5" w:rsidRPr="006871D6" w:rsidRDefault="006E006A" w:rsidP="006871D6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6871D6">
              <w:rPr>
                <w:rFonts w:eastAsiaTheme="minorEastAsia"/>
                <w:sz w:val="18"/>
                <w:szCs w:val="18"/>
                <w:lang w:val="en-GB"/>
              </w:rPr>
              <w:t>0.056</w:t>
            </w:r>
          </w:p>
        </w:tc>
        <w:tc>
          <w:tcPr>
            <w:tcW w:w="2174" w:type="dxa"/>
            <w:vAlign w:val="center"/>
          </w:tcPr>
          <w:p w:rsidR="006871D6" w:rsidRPr="006871D6" w:rsidRDefault="006871D6" w:rsidP="006871D6">
            <w:pPr>
              <w:jc w:val="center"/>
              <w:rPr>
                <w:sz w:val="18"/>
                <w:szCs w:val="18"/>
                <w:lang w:val="en-GB"/>
              </w:rPr>
            </w:pPr>
            <w:r w:rsidRPr="006871D6">
              <w:rPr>
                <w:sz w:val="18"/>
                <w:szCs w:val="18"/>
                <w:lang w:val="en-GB"/>
              </w:rPr>
              <w:t>[-0.20, 0.03]</w:t>
            </w:r>
          </w:p>
        </w:tc>
      </w:tr>
      <w:tr w:rsidR="00E561E5" w:rsidRPr="006871D6" w:rsidTr="00DA2E29">
        <w:trPr>
          <w:trHeight w:val="227"/>
          <w:jc w:val="center"/>
        </w:trPr>
        <w:tc>
          <w:tcPr>
            <w:tcW w:w="2552" w:type="dxa"/>
            <w:vAlign w:val="center"/>
          </w:tcPr>
          <w:p w:rsidR="00E561E5" w:rsidRPr="006871D6" w:rsidRDefault="00E561E5" w:rsidP="006871D6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6871D6">
              <w:rPr>
                <w:rFonts w:eastAsiaTheme="minorEastAsia"/>
                <w:sz w:val="18"/>
                <w:szCs w:val="18"/>
                <w:lang w:val="en-GB"/>
              </w:rPr>
              <w:t>beta 1 (angle)</w:t>
            </w:r>
          </w:p>
        </w:tc>
        <w:tc>
          <w:tcPr>
            <w:tcW w:w="2173" w:type="dxa"/>
            <w:vAlign w:val="center"/>
          </w:tcPr>
          <w:p w:rsidR="00E561E5" w:rsidRPr="006871D6" w:rsidRDefault="006E006A" w:rsidP="006871D6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6871D6">
              <w:rPr>
                <w:rFonts w:eastAsiaTheme="minorEastAsia"/>
                <w:sz w:val="18"/>
                <w:szCs w:val="18"/>
                <w:lang w:val="en-GB"/>
              </w:rPr>
              <w:t>-0.0</w:t>
            </w:r>
            <w:r w:rsidRPr="006871D6">
              <w:rPr>
                <w:rFonts w:eastAsiaTheme="minorEastAsia"/>
                <w:sz w:val="18"/>
                <w:szCs w:val="18"/>
                <w:lang w:val="en-GB"/>
              </w:rPr>
              <w:t>4</w:t>
            </w:r>
          </w:p>
        </w:tc>
        <w:tc>
          <w:tcPr>
            <w:tcW w:w="2173" w:type="dxa"/>
            <w:vAlign w:val="center"/>
          </w:tcPr>
          <w:p w:rsidR="00E561E5" w:rsidRPr="006871D6" w:rsidRDefault="006E006A" w:rsidP="006871D6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6871D6">
              <w:rPr>
                <w:rFonts w:eastAsiaTheme="minorEastAsia"/>
                <w:sz w:val="18"/>
                <w:szCs w:val="18"/>
                <w:lang w:val="en-GB"/>
              </w:rPr>
              <w:t>0.05</w:t>
            </w:r>
            <w:r w:rsidRPr="006871D6">
              <w:rPr>
                <w:rFonts w:eastAsiaTheme="minorEastAsia"/>
                <w:sz w:val="18"/>
                <w:szCs w:val="18"/>
                <w:lang w:val="en-GB"/>
              </w:rPr>
              <w:t>7</w:t>
            </w:r>
          </w:p>
        </w:tc>
        <w:tc>
          <w:tcPr>
            <w:tcW w:w="2174" w:type="dxa"/>
            <w:vAlign w:val="center"/>
          </w:tcPr>
          <w:p w:rsidR="00E561E5" w:rsidRPr="006871D6" w:rsidRDefault="006E006A" w:rsidP="006871D6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6871D6">
              <w:rPr>
                <w:rFonts w:eastAsiaTheme="minorEastAsia"/>
                <w:sz w:val="18"/>
                <w:szCs w:val="18"/>
                <w:lang w:val="en-GB"/>
              </w:rPr>
              <w:t>[</w:t>
            </w:r>
            <w:r w:rsidRPr="006871D6">
              <w:rPr>
                <w:rFonts w:eastAsiaTheme="minorEastAsia"/>
                <w:sz w:val="18"/>
                <w:szCs w:val="18"/>
                <w:lang w:val="en-GB"/>
              </w:rPr>
              <w:t>-0.15</w:t>
            </w:r>
            <w:r w:rsidRPr="006871D6">
              <w:rPr>
                <w:rFonts w:eastAsiaTheme="minorEastAsia"/>
                <w:sz w:val="18"/>
                <w:szCs w:val="18"/>
                <w:lang w:val="en-GB"/>
              </w:rPr>
              <w:t>,</w:t>
            </w:r>
            <w:r w:rsidRPr="006871D6">
              <w:rPr>
                <w:rFonts w:eastAsiaTheme="minorEastAsia"/>
                <w:sz w:val="18"/>
                <w:szCs w:val="18"/>
                <w:lang w:val="en-GB"/>
              </w:rPr>
              <w:t xml:space="preserve"> 0.07</w:t>
            </w:r>
            <w:r w:rsidRPr="006871D6">
              <w:rPr>
                <w:rFonts w:eastAsiaTheme="minorEastAsia"/>
                <w:sz w:val="18"/>
                <w:szCs w:val="18"/>
                <w:lang w:val="en-GB"/>
              </w:rPr>
              <w:t>]</w:t>
            </w:r>
          </w:p>
        </w:tc>
      </w:tr>
      <w:tr w:rsidR="00E561E5" w:rsidRPr="006871D6" w:rsidTr="00DA2E29">
        <w:trPr>
          <w:trHeight w:val="227"/>
          <w:jc w:val="center"/>
        </w:trPr>
        <w:tc>
          <w:tcPr>
            <w:tcW w:w="2552" w:type="dxa"/>
            <w:vAlign w:val="center"/>
          </w:tcPr>
          <w:p w:rsidR="00E561E5" w:rsidRPr="006871D6" w:rsidRDefault="00E561E5" w:rsidP="006871D6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6871D6">
              <w:rPr>
                <w:rFonts w:eastAsiaTheme="minorEastAsia"/>
                <w:sz w:val="18"/>
                <w:szCs w:val="18"/>
                <w:lang w:val="en-GB"/>
              </w:rPr>
              <w:t>beta</w:t>
            </w:r>
            <w:r w:rsidRPr="006871D6">
              <w:rPr>
                <w:rFonts w:eastAsiaTheme="minorEastAsia"/>
                <w:sz w:val="18"/>
                <w:szCs w:val="18"/>
                <w:lang w:val="en-GB"/>
              </w:rPr>
              <w:t xml:space="preserve"> </w:t>
            </w:r>
            <w:r w:rsidRPr="006871D6">
              <w:rPr>
                <w:rFonts w:eastAsiaTheme="minorEastAsia"/>
                <w:sz w:val="18"/>
                <w:szCs w:val="18"/>
                <w:lang w:val="en-GB"/>
              </w:rPr>
              <w:t>2 (distance)</w:t>
            </w:r>
          </w:p>
        </w:tc>
        <w:tc>
          <w:tcPr>
            <w:tcW w:w="2173" w:type="dxa"/>
            <w:vAlign w:val="center"/>
          </w:tcPr>
          <w:p w:rsidR="00E561E5" w:rsidRPr="006871D6" w:rsidRDefault="006E006A" w:rsidP="006871D6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6871D6">
              <w:rPr>
                <w:rFonts w:eastAsiaTheme="minorEastAsia"/>
                <w:sz w:val="18"/>
                <w:szCs w:val="18"/>
                <w:lang w:val="en-GB"/>
              </w:rPr>
              <w:t>-0.43</w:t>
            </w:r>
          </w:p>
        </w:tc>
        <w:tc>
          <w:tcPr>
            <w:tcW w:w="2173" w:type="dxa"/>
            <w:vAlign w:val="center"/>
          </w:tcPr>
          <w:p w:rsidR="00E561E5" w:rsidRPr="006871D6" w:rsidRDefault="006E006A" w:rsidP="006871D6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6871D6">
              <w:rPr>
                <w:rFonts w:eastAsiaTheme="minorEastAsia"/>
                <w:sz w:val="18"/>
                <w:szCs w:val="18"/>
                <w:lang w:val="en-GB"/>
              </w:rPr>
              <w:t>0.05</w:t>
            </w:r>
            <w:r w:rsidRPr="006871D6">
              <w:rPr>
                <w:rFonts w:eastAsiaTheme="minorEastAsia"/>
                <w:sz w:val="18"/>
                <w:szCs w:val="18"/>
                <w:lang w:val="en-GB"/>
              </w:rPr>
              <w:t>7</w:t>
            </w:r>
          </w:p>
        </w:tc>
        <w:tc>
          <w:tcPr>
            <w:tcW w:w="2174" w:type="dxa"/>
            <w:vAlign w:val="center"/>
          </w:tcPr>
          <w:p w:rsidR="00E561E5" w:rsidRPr="006871D6" w:rsidRDefault="006E006A" w:rsidP="006871D6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6871D6">
              <w:rPr>
                <w:rFonts w:eastAsiaTheme="minorEastAsia"/>
                <w:sz w:val="18"/>
                <w:szCs w:val="18"/>
                <w:lang w:val="en-GB"/>
              </w:rPr>
              <w:t>[</w:t>
            </w:r>
            <w:r w:rsidRPr="006871D6">
              <w:rPr>
                <w:rFonts w:eastAsiaTheme="minorEastAsia"/>
                <w:sz w:val="18"/>
                <w:szCs w:val="18"/>
                <w:lang w:val="en-GB"/>
              </w:rPr>
              <w:t>-0.54</w:t>
            </w:r>
            <w:r w:rsidRPr="006871D6">
              <w:rPr>
                <w:rFonts w:eastAsiaTheme="minorEastAsia"/>
                <w:sz w:val="18"/>
                <w:szCs w:val="18"/>
                <w:lang w:val="en-GB"/>
              </w:rPr>
              <w:t>,</w:t>
            </w:r>
            <w:r w:rsidRPr="006871D6">
              <w:rPr>
                <w:rFonts w:eastAsiaTheme="minorEastAsia"/>
                <w:sz w:val="18"/>
                <w:szCs w:val="18"/>
                <w:lang w:val="en-GB"/>
              </w:rPr>
              <w:t xml:space="preserve"> -0.32</w:t>
            </w:r>
            <w:r w:rsidRPr="006871D6">
              <w:rPr>
                <w:rFonts w:eastAsiaTheme="minorEastAsia"/>
                <w:sz w:val="18"/>
                <w:szCs w:val="18"/>
                <w:lang w:val="en-GB"/>
              </w:rPr>
              <w:t>]</w:t>
            </w:r>
          </w:p>
        </w:tc>
      </w:tr>
    </w:tbl>
    <w:p w:rsidR="009105B3" w:rsidRDefault="00A7420C" w:rsidP="00DA2E29">
      <w:pPr>
        <w:jc w:val="cent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/>
      </w:r>
      <w:r w:rsidRPr="00A7420C">
        <w:rPr>
          <w:rFonts w:eastAsiaTheme="minorEastAsia"/>
          <w:lang w:val="en-GB"/>
        </w:rPr>
        <w:drawing>
          <wp:inline distT="0" distB="0" distL="0" distR="0" wp14:anchorId="55608A70" wp14:editId="0674E0A7">
            <wp:extent cx="1857600" cy="1512000"/>
            <wp:effectExtent l="0" t="0" r="0" b="0"/>
            <wp:docPr id="207747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73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20C">
        <w:rPr>
          <w:rFonts w:eastAsiaTheme="minorEastAsia"/>
          <w:lang w:val="en-GB"/>
        </w:rPr>
        <w:drawing>
          <wp:inline distT="0" distB="0" distL="0" distR="0" wp14:anchorId="1008A350" wp14:editId="1833882F">
            <wp:extent cx="1857600" cy="1512000"/>
            <wp:effectExtent l="0" t="0" r="0" b="0"/>
            <wp:docPr id="171292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24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20C">
        <w:rPr>
          <w:rFonts w:eastAsiaTheme="minorEastAsia"/>
          <w:lang w:val="en-GB"/>
        </w:rPr>
        <w:drawing>
          <wp:inline distT="0" distB="0" distL="0" distR="0" wp14:anchorId="66635FDA" wp14:editId="5C7EED1E">
            <wp:extent cx="1900800" cy="1512000"/>
            <wp:effectExtent l="0" t="0" r="0" b="0"/>
            <wp:docPr id="191666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65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08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E0" w:rsidRPr="00AD7D0F" w:rsidRDefault="009E1D3F" w:rsidP="00A769A2">
      <w:pPr>
        <w:jc w:val="both"/>
        <w:rPr>
          <w:rFonts w:eastAsiaTheme="minorEastAsia"/>
          <w:sz w:val="20"/>
          <w:szCs w:val="20"/>
          <w:lang w:val="en-GB"/>
        </w:rPr>
      </w:pPr>
      <w:r w:rsidRPr="00AD7D0F">
        <w:rPr>
          <w:rFonts w:eastAsiaTheme="minorEastAsia"/>
          <w:sz w:val="20"/>
          <w:szCs w:val="20"/>
          <w:lang w:val="en-GB"/>
        </w:rPr>
        <w:t>We can assume</w:t>
      </w:r>
      <w:r w:rsidR="00A7420C" w:rsidRPr="00AD7D0F">
        <w:rPr>
          <w:rFonts w:eastAsiaTheme="minorEastAsia"/>
          <w:sz w:val="20"/>
          <w:szCs w:val="20"/>
          <w:lang w:val="en-GB"/>
        </w:rPr>
        <w:t xml:space="preserve"> (from the distribution shape)</w:t>
      </w:r>
      <w:r w:rsidRPr="00AD7D0F">
        <w:rPr>
          <w:rFonts w:eastAsiaTheme="minorEastAsia"/>
          <w:sz w:val="20"/>
          <w:szCs w:val="20"/>
          <w:lang w:val="en-GB"/>
        </w:rPr>
        <w:t xml:space="preserve">, that </w:t>
      </w:r>
      <w:r w:rsidR="00A7420C" w:rsidRPr="00AD7D0F">
        <w:rPr>
          <w:rFonts w:eastAsiaTheme="minorEastAsia"/>
          <w:sz w:val="20"/>
          <w:szCs w:val="20"/>
          <w:lang w:val="en-GB"/>
        </w:rPr>
        <w:t>given mean</w:t>
      </w:r>
      <w:r w:rsidR="00387688" w:rsidRPr="00AD7D0F">
        <w:rPr>
          <w:rFonts w:eastAsiaTheme="minorEastAsia"/>
          <w:sz w:val="20"/>
          <w:szCs w:val="20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μ</m:t>
        </m:r>
      </m:oMath>
      <w:r w:rsidR="00A7420C" w:rsidRPr="00AD7D0F">
        <w:rPr>
          <w:rFonts w:eastAsiaTheme="minorEastAsia"/>
          <w:sz w:val="20"/>
          <w:szCs w:val="20"/>
          <w:lang w:val="en-GB"/>
        </w:rPr>
        <w:t xml:space="preserve"> and standard </w:t>
      </w:r>
      <w:r w:rsidR="00142B75" w:rsidRPr="00AD7D0F">
        <w:rPr>
          <w:rFonts w:eastAsiaTheme="minorEastAsia"/>
          <w:sz w:val="20"/>
          <w:szCs w:val="20"/>
          <w:lang w:val="en-GB"/>
        </w:rPr>
        <w:t>deviation</w:t>
      </w:r>
      <w:r w:rsidR="00387688" w:rsidRPr="00AD7D0F">
        <w:rPr>
          <w:rFonts w:eastAsiaTheme="minorEastAsia"/>
          <w:sz w:val="20"/>
          <w:szCs w:val="20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σ</m:t>
        </m:r>
      </m:oMath>
      <w:r w:rsidR="00083835" w:rsidRPr="00AD7D0F">
        <w:rPr>
          <w:rFonts w:eastAsiaTheme="minorEastAsia"/>
          <w:sz w:val="20"/>
          <w:szCs w:val="20"/>
          <w:lang w:val="en-GB"/>
        </w:rPr>
        <w:t>,</w:t>
      </w:r>
      <w:r w:rsidR="00A7420C" w:rsidRPr="00AD7D0F">
        <w:rPr>
          <w:rFonts w:eastAsiaTheme="minorEastAsia"/>
          <w:sz w:val="20"/>
          <w:szCs w:val="20"/>
          <w:lang w:val="en-GB"/>
        </w:rPr>
        <w:t xml:space="preserve"> betas are </w:t>
      </w:r>
      <w:r w:rsidR="00142B75" w:rsidRPr="00AD7D0F">
        <w:rPr>
          <w:rFonts w:eastAsiaTheme="minorEastAsia"/>
          <w:sz w:val="20"/>
          <w:szCs w:val="20"/>
          <w:lang w:val="en-GB"/>
        </w:rPr>
        <w:t xml:space="preserve">distributed normally,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N(</m:t>
        </m:r>
        <m:r>
          <w:rPr>
            <w:rFonts w:ascii="Cambria Math" w:eastAsiaTheme="minorEastAsia" w:hAnsi="Cambria Math"/>
            <w:sz w:val="20"/>
            <w:szCs w:val="20"/>
            <w:lang w:val="en-GB"/>
          </w:rPr>
          <m:t>μ</m:t>
        </m:r>
        <m:r>
          <w:rPr>
            <w:rFonts w:ascii="Cambria Math" w:eastAsiaTheme="minorEastAsia" w:hAnsi="Cambria Math"/>
            <w:sz w:val="20"/>
            <w:szCs w:val="20"/>
            <w:lang w:val="en-GB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GB"/>
          </w:rPr>
          <m:t>)</m:t>
        </m:r>
      </m:oMath>
      <w:r w:rsidR="00142B75" w:rsidRPr="00AD7D0F">
        <w:rPr>
          <w:rFonts w:eastAsiaTheme="minorEastAsia"/>
          <w:sz w:val="20"/>
          <w:szCs w:val="20"/>
          <w:lang w:val="en-GB"/>
        </w:rPr>
        <w:t>.</w:t>
      </w:r>
      <w:r w:rsidR="00D73E5F" w:rsidRPr="00AD7D0F">
        <w:rPr>
          <w:rFonts w:eastAsiaTheme="minorEastAsia"/>
          <w:sz w:val="20"/>
          <w:szCs w:val="20"/>
          <w:lang w:val="en-GB"/>
        </w:rPr>
        <w:t xml:space="preserve"> So increasing distance indeed contributes towards throw not being successfully hit.</w:t>
      </w:r>
      <w:r w:rsidR="00AD3718">
        <w:rPr>
          <w:rFonts w:eastAsiaTheme="minorEastAsia"/>
          <w:sz w:val="20"/>
          <w:szCs w:val="20"/>
          <w:lang w:val="en-GB"/>
        </w:rPr>
        <w:t xml:space="preserve"> We can say that for sure, as upper </w:t>
      </w:r>
      <w:r w:rsidR="0015492F">
        <w:rPr>
          <w:rFonts w:eastAsiaTheme="minorEastAsia"/>
          <w:sz w:val="20"/>
          <w:szCs w:val="20"/>
          <w:lang w:val="en-GB"/>
        </w:rPr>
        <w:t>limit of the confidence interval still lays firmly below zero.</w:t>
      </w:r>
    </w:p>
    <w:p w:rsidR="00AD7D0F" w:rsidRDefault="00AD7D0F" w:rsidP="00A769A2">
      <w:pPr>
        <w:jc w:val="both"/>
        <w:rPr>
          <w:rFonts w:eastAsiaTheme="minorEastAsia"/>
          <w:i/>
          <w:iCs/>
          <w:color w:val="7F7F7F" w:themeColor="text1" w:themeTint="80"/>
          <w:sz w:val="20"/>
          <w:szCs w:val="20"/>
          <w:lang w:val="en-GB"/>
        </w:rPr>
      </w:pPr>
      <w:r w:rsidRPr="00AD7D0F">
        <w:rPr>
          <w:rFonts w:eastAsiaTheme="minorEastAsia"/>
          <w:i/>
          <w:iCs/>
          <w:color w:val="7F7F7F" w:themeColor="text1" w:themeTint="80"/>
          <w:sz w:val="20"/>
          <w:szCs w:val="20"/>
          <w:lang w:val="en-GB"/>
        </w:rPr>
        <w:t>Plot a scatterplot with contours of the posterior samples of the angle and distance coefficients. Repeat the process for a smaller subset of only 50 shots (sampled at random). Discuss the similarities and differences.</w:t>
      </w:r>
    </w:p>
    <w:p w:rsidR="00AD7D0F" w:rsidRDefault="006871D6" w:rsidP="00DA2E29">
      <w:pPr>
        <w:jc w:val="center"/>
        <w:rPr>
          <w:rFonts w:eastAsiaTheme="minorEastAsia"/>
          <w:color w:val="7F7F7F" w:themeColor="text1" w:themeTint="80"/>
          <w:sz w:val="20"/>
          <w:szCs w:val="20"/>
          <w:lang w:val="en-GB"/>
        </w:rPr>
      </w:pPr>
      <w:r w:rsidRPr="006871D6">
        <w:rPr>
          <w:rFonts w:eastAsiaTheme="minorEastAsia"/>
          <w:color w:val="7F7F7F" w:themeColor="text1" w:themeTint="80"/>
          <w:sz w:val="20"/>
          <w:szCs w:val="20"/>
          <w:lang w:val="en-GB"/>
        </w:rPr>
        <w:drawing>
          <wp:inline distT="0" distB="0" distL="0" distR="0" wp14:anchorId="46EAA524" wp14:editId="368EF700">
            <wp:extent cx="2655736" cy="2072658"/>
            <wp:effectExtent l="0" t="0" r="0" b="0"/>
            <wp:docPr id="1098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754" cy="2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1D6">
        <w:rPr>
          <w:rFonts w:eastAsiaTheme="minorEastAsia"/>
          <w:color w:val="7F7F7F" w:themeColor="text1" w:themeTint="80"/>
          <w:sz w:val="20"/>
          <w:szCs w:val="20"/>
          <w:lang w:val="en-GB"/>
        </w:rPr>
        <w:drawing>
          <wp:inline distT="0" distB="0" distL="0" distR="0" wp14:anchorId="7EAEF4DE" wp14:editId="6087B69E">
            <wp:extent cx="2592126" cy="2069153"/>
            <wp:effectExtent l="0" t="0" r="0" b="0"/>
            <wp:docPr id="101285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54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90" cy="20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0F" w:rsidRDefault="006871D6" w:rsidP="00A769A2">
      <w:pPr>
        <w:jc w:val="both"/>
        <w:rPr>
          <w:rFonts w:eastAsiaTheme="minorEastAsia"/>
          <w:sz w:val="20"/>
          <w:szCs w:val="20"/>
          <w:lang w:val="en-GB"/>
        </w:rPr>
      </w:pPr>
      <w:r>
        <w:rPr>
          <w:rFonts w:eastAsiaTheme="minorEastAsia"/>
          <w:sz w:val="20"/>
          <w:szCs w:val="20"/>
          <w:lang w:val="en-GB"/>
        </w:rPr>
        <w:t>As we can observe on the above contours, posterior sampling is much more concentrated, when using a large learning dataset</w:t>
      </w:r>
      <w:r w:rsidR="001870B1">
        <w:rPr>
          <w:rFonts w:eastAsiaTheme="minorEastAsia"/>
          <w:sz w:val="20"/>
          <w:szCs w:val="20"/>
          <w:lang w:val="en-GB"/>
        </w:rPr>
        <w:t xml:space="preserve"> </w:t>
      </w:r>
      <w:r>
        <w:rPr>
          <w:rFonts w:eastAsiaTheme="minorEastAsia"/>
          <w:sz w:val="20"/>
          <w:szCs w:val="20"/>
          <w:lang w:val="en-GB"/>
        </w:rPr>
        <w:t xml:space="preserve">as opposing to learning on only </w:t>
      </w:r>
      <w:r w:rsidR="002B6411">
        <w:rPr>
          <w:rFonts w:eastAsiaTheme="minorEastAsia"/>
          <w:sz w:val="20"/>
          <w:szCs w:val="20"/>
          <w:lang w:val="en-GB"/>
        </w:rPr>
        <w:t xml:space="preserve">dataset of 50 random samples. </w:t>
      </w:r>
      <w:r w:rsidR="00DA2E29">
        <w:rPr>
          <w:rFonts w:eastAsiaTheme="minorEastAsia"/>
          <w:sz w:val="20"/>
          <w:szCs w:val="20"/>
          <w:lang w:val="en-GB"/>
        </w:rPr>
        <w:t>This is</w:t>
      </w:r>
      <w:r w:rsidR="007208FD">
        <w:rPr>
          <w:rFonts w:eastAsiaTheme="minorEastAsia"/>
          <w:sz w:val="20"/>
          <w:szCs w:val="20"/>
          <w:lang w:val="en-GB"/>
        </w:rPr>
        <w:t xml:space="preserve"> because</w:t>
      </w:r>
      <w:r w:rsidR="00DA2E29">
        <w:rPr>
          <w:rFonts w:eastAsiaTheme="minorEastAsia"/>
          <w:sz w:val="20"/>
          <w:szCs w:val="20"/>
          <w:lang w:val="en-GB"/>
        </w:rPr>
        <w:t xml:space="preserve"> larger dataset provides </w:t>
      </w:r>
      <w:r w:rsidR="00DA2E29" w:rsidRPr="00DA2E29">
        <w:rPr>
          <w:rFonts w:eastAsiaTheme="minorEastAsia"/>
          <w:sz w:val="20"/>
          <w:szCs w:val="20"/>
          <w:lang w:val="en-GB"/>
        </w:rPr>
        <w:t>more information about the relationship between the predictors and the response variable.</w:t>
      </w:r>
      <w:r w:rsidR="00DA2E29" w:rsidRPr="00DA2E29">
        <w:t xml:space="preserve"> </w:t>
      </w:r>
      <w:r w:rsidR="00DA2E29" w:rsidRPr="00DA2E29">
        <w:rPr>
          <w:rFonts w:eastAsiaTheme="minorEastAsia"/>
          <w:sz w:val="20"/>
          <w:szCs w:val="20"/>
          <w:lang w:val="en-GB"/>
        </w:rPr>
        <w:t>As the sample size</w:t>
      </w:r>
      <w:r w:rsidR="00E276CF">
        <w:rPr>
          <w:rFonts w:eastAsiaTheme="minorEastAsia"/>
          <w:sz w:val="20"/>
          <w:szCs w:val="20"/>
          <w:lang w:val="en-GB"/>
        </w:rPr>
        <w:t xml:space="preserve"> of data</w:t>
      </w:r>
      <w:r w:rsidR="00DA2E29" w:rsidRPr="00DA2E29">
        <w:rPr>
          <w:rFonts w:eastAsiaTheme="minorEastAsia"/>
          <w:sz w:val="20"/>
          <w:szCs w:val="20"/>
          <w:lang w:val="en-GB"/>
        </w:rPr>
        <w:t xml:space="preserve"> increases, the posterior distribution becomes more informed and reflects the underlying patterns in the data.</w:t>
      </w:r>
      <w:r w:rsidR="00322FD6">
        <w:rPr>
          <w:rFonts w:eastAsiaTheme="minorEastAsia"/>
          <w:sz w:val="20"/>
          <w:szCs w:val="20"/>
          <w:lang w:val="en-GB"/>
        </w:rPr>
        <w:t xml:space="preserve"> </w:t>
      </w:r>
      <w:r w:rsidR="00322FD6" w:rsidRPr="00322FD6">
        <w:rPr>
          <w:rFonts w:eastAsiaTheme="minorEastAsia"/>
          <w:sz w:val="20"/>
          <w:szCs w:val="20"/>
          <w:lang w:val="en-GB"/>
        </w:rPr>
        <w:t xml:space="preserve">With a larger dataset, the estimated coefficients </w:t>
      </w:r>
      <w:r w:rsidR="00322FD6">
        <w:rPr>
          <w:rFonts w:eastAsiaTheme="minorEastAsia"/>
          <w:sz w:val="20"/>
          <w:szCs w:val="20"/>
          <w:lang w:val="en-GB"/>
        </w:rPr>
        <w:t xml:space="preserve">also </w:t>
      </w:r>
      <w:r w:rsidR="00322FD6" w:rsidRPr="00322FD6">
        <w:rPr>
          <w:rFonts w:eastAsiaTheme="minorEastAsia"/>
          <w:sz w:val="20"/>
          <w:szCs w:val="20"/>
          <w:lang w:val="en-GB"/>
        </w:rPr>
        <w:t>tend to have lower variance and higher precision</w:t>
      </w:r>
      <w:r w:rsidR="004C22EC">
        <w:rPr>
          <w:rFonts w:eastAsiaTheme="minorEastAsia"/>
          <w:sz w:val="20"/>
          <w:szCs w:val="20"/>
          <w:lang w:val="en-GB"/>
        </w:rPr>
        <w:t>, as can be seen from contour</w:t>
      </w:r>
      <w:r w:rsidR="00AF2533">
        <w:rPr>
          <w:rFonts w:eastAsiaTheme="minorEastAsia"/>
          <w:sz w:val="20"/>
          <w:szCs w:val="20"/>
          <w:lang w:val="en-GB"/>
        </w:rPr>
        <w:t xml:space="preserve"> plots</w:t>
      </w:r>
      <w:r w:rsidR="00322FD6" w:rsidRPr="00322FD6">
        <w:rPr>
          <w:rFonts w:eastAsiaTheme="minorEastAsia"/>
          <w:sz w:val="20"/>
          <w:szCs w:val="20"/>
          <w:lang w:val="en-GB"/>
        </w:rPr>
        <w:t>.</w:t>
      </w:r>
    </w:p>
    <w:p w:rsidR="00A769A2" w:rsidRDefault="00A769A2" w:rsidP="00A769A2">
      <w:pPr>
        <w:jc w:val="both"/>
        <w:rPr>
          <w:rFonts w:eastAsiaTheme="minorEastAsia"/>
          <w:sz w:val="20"/>
          <w:szCs w:val="20"/>
          <w:lang w:val="en-GB"/>
        </w:rPr>
      </w:pPr>
    </w:p>
    <w:p w:rsidR="00F35B08" w:rsidRDefault="00A769A2" w:rsidP="00A769A2">
      <w:pPr>
        <w:jc w:val="both"/>
        <w:rPr>
          <w:rFonts w:eastAsiaTheme="minorEastAsia"/>
          <w:i/>
          <w:iCs/>
          <w:color w:val="7F7F7F" w:themeColor="text1" w:themeTint="80"/>
          <w:sz w:val="20"/>
          <w:szCs w:val="20"/>
          <w:lang w:val="en-GB"/>
        </w:rPr>
      </w:pPr>
      <w:r w:rsidRPr="00A769A2">
        <w:rPr>
          <w:rFonts w:eastAsiaTheme="minorEastAsia"/>
          <w:i/>
          <w:iCs/>
          <w:color w:val="7F7F7F" w:themeColor="text1" w:themeTint="80"/>
          <w:sz w:val="20"/>
          <w:szCs w:val="20"/>
          <w:lang w:val="en-GB"/>
        </w:rPr>
        <w:lastRenderedPageBreak/>
        <w:t>Formulate each of the following as a probabilistic question and estimate an answer based on the posterior using all available data:</w:t>
      </w:r>
    </w:p>
    <w:p w:rsidR="00F35B08" w:rsidRDefault="00A769A2" w:rsidP="00F35B08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  <w:color w:val="7F7F7F" w:themeColor="text1" w:themeTint="80"/>
          <w:sz w:val="20"/>
          <w:szCs w:val="20"/>
          <w:lang w:val="en-GB"/>
        </w:rPr>
      </w:pPr>
      <w:r w:rsidRPr="00F35B08">
        <w:rPr>
          <w:rFonts w:eastAsiaTheme="minorEastAsia"/>
          <w:i/>
          <w:iCs/>
          <w:color w:val="7F7F7F" w:themeColor="text1" w:themeTint="80"/>
          <w:sz w:val="20"/>
          <w:szCs w:val="20"/>
          <w:lang w:val="en-GB"/>
        </w:rPr>
        <w:t>Which is more important for shot success, angle or distance?</w:t>
      </w:r>
    </w:p>
    <w:p w:rsidR="00F35B08" w:rsidRPr="00F35B08" w:rsidRDefault="00F35B08" w:rsidP="00F35B08">
      <w:pPr>
        <w:jc w:val="both"/>
        <w:rPr>
          <w:rFonts w:eastAsiaTheme="minorEastAsia"/>
          <w:color w:val="000000" w:themeColor="text1"/>
          <w:sz w:val="20"/>
          <w:szCs w:val="20"/>
          <w:lang w:val="en-GB"/>
        </w:rPr>
      </w:pPr>
      <w:r w:rsidRPr="00F35B08">
        <w:rPr>
          <w:rFonts w:eastAsiaTheme="minorEastAsia"/>
          <w:color w:val="000000" w:themeColor="text1"/>
          <w:sz w:val="20"/>
          <w:szCs w:val="20"/>
          <w:lang w:val="en-GB"/>
        </w:rPr>
        <w:t>If we compare beta coefficients for distance and angle</w:t>
      </w:r>
      <w:r w:rsidR="00617F2B">
        <w:rPr>
          <w:rFonts w:eastAsiaTheme="minorEastAsia"/>
          <w:color w:val="000000" w:themeColor="text1"/>
          <w:sz w:val="20"/>
          <w:szCs w:val="20"/>
          <w:lang w:val="en-GB"/>
        </w:rPr>
        <w:t xml:space="preserve"> (their magnitude)</w:t>
      </w:r>
      <w:r w:rsidRPr="00F35B08">
        <w:rPr>
          <w:rFonts w:eastAsiaTheme="minorEastAsia"/>
          <w:color w:val="000000" w:themeColor="text1"/>
          <w:sz w:val="20"/>
          <w:szCs w:val="20"/>
          <w:lang w:val="en-GB"/>
        </w:rPr>
        <w:t>, we can clearly see that distance contributes far more then angle. In fact, from observing the confidence interval for angle, we cannot even say for sure</w:t>
      </w:r>
      <w:r w:rsidR="00A34B00">
        <w:rPr>
          <w:rFonts w:eastAsiaTheme="minorEastAsia"/>
          <w:color w:val="000000" w:themeColor="text1"/>
          <w:sz w:val="20"/>
          <w:szCs w:val="20"/>
          <w:lang w:val="en-GB"/>
        </w:rPr>
        <w:t xml:space="preserve"> (in regard to confidence interval)</w:t>
      </w:r>
      <w:r w:rsidRPr="00F35B08">
        <w:rPr>
          <w:rFonts w:eastAsiaTheme="minorEastAsia"/>
          <w:color w:val="000000" w:themeColor="text1"/>
          <w:sz w:val="20"/>
          <w:szCs w:val="20"/>
          <w:lang w:val="en-GB"/>
        </w:rPr>
        <w:t xml:space="preserve">, whether increasing angle increases or decreases shot success probability. </w:t>
      </w:r>
    </w:p>
    <w:p w:rsidR="00A769A2" w:rsidRPr="00F35B08" w:rsidRDefault="00A769A2" w:rsidP="00F35B08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  <w:color w:val="7F7F7F" w:themeColor="text1" w:themeTint="80"/>
          <w:sz w:val="20"/>
          <w:szCs w:val="20"/>
          <w:lang w:val="en-GB"/>
        </w:rPr>
      </w:pPr>
      <w:r w:rsidRPr="00F35B08">
        <w:rPr>
          <w:rFonts w:eastAsiaTheme="minorEastAsia"/>
          <w:i/>
          <w:iCs/>
          <w:color w:val="7F7F7F" w:themeColor="text1" w:themeTint="80"/>
          <w:sz w:val="20"/>
          <w:szCs w:val="20"/>
          <w:lang w:val="en-GB"/>
        </w:rPr>
        <w:t>Does shot success increase or decrease with increasing angle (the further on the sides we are)?</w:t>
      </w:r>
    </w:p>
    <w:p w:rsidR="00E45EB1" w:rsidRPr="002200EE" w:rsidRDefault="00E45EB1" w:rsidP="002200EE">
      <w:pPr>
        <w:jc w:val="both"/>
        <w:rPr>
          <w:rFonts w:eastAsiaTheme="minorEastAsia"/>
          <w:color w:val="000000" w:themeColor="text1"/>
          <w:sz w:val="20"/>
          <w:szCs w:val="20"/>
          <w:lang w:val="en-GB"/>
        </w:rPr>
      </w:pPr>
      <w:r>
        <w:rPr>
          <w:rFonts w:eastAsiaTheme="minorEastAsia"/>
          <w:color w:val="000000" w:themeColor="text1"/>
          <w:sz w:val="20"/>
          <w:szCs w:val="20"/>
          <w:lang w:val="en-GB"/>
        </w:rPr>
        <w:t xml:space="preserve">As said above, it seems that increasing angle slightly increases chances of success, although we cannot say for sure (as 95% confidence interval also </w:t>
      </w:r>
      <w:r w:rsidR="00140581">
        <w:rPr>
          <w:rFonts w:eastAsiaTheme="minorEastAsia"/>
          <w:color w:val="000000" w:themeColor="text1"/>
          <w:sz w:val="20"/>
          <w:szCs w:val="20"/>
          <w:lang w:val="en-GB"/>
        </w:rPr>
        <w:t>spans above 0.</w:t>
      </w:r>
    </w:p>
    <w:sectPr w:rsidR="00E45EB1" w:rsidRPr="002200EE" w:rsidSect="002200EE">
      <w:headerReference w:type="default" r:id="rId13"/>
      <w:pgSz w:w="11906" w:h="16838"/>
      <w:pgMar w:top="720" w:right="720" w:bottom="720" w:left="72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5B7A" w:rsidRDefault="006A5B7A" w:rsidP="009105B3">
      <w:pPr>
        <w:spacing w:after="0" w:line="240" w:lineRule="auto"/>
      </w:pPr>
      <w:r>
        <w:separator/>
      </w:r>
    </w:p>
  </w:endnote>
  <w:endnote w:type="continuationSeparator" w:id="0">
    <w:p w:rsidR="006A5B7A" w:rsidRDefault="006A5B7A" w:rsidP="00910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5B7A" w:rsidRDefault="006A5B7A" w:rsidP="009105B3">
      <w:pPr>
        <w:spacing w:after="0" w:line="240" w:lineRule="auto"/>
      </w:pPr>
      <w:r>
        <w:separator/>
      </w:r>
    </w:p>
  </w:footnote>
  <w:footnote w:type="continuationSeparator" w:id="0">
    <w:p w:rsidR="006A5B7A" w:rsidRDefault="006A5B7A" w:rsidP="00910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05B3" w:rsidRDefault="009105B3" w:rsidP="009105B3">
    <w:pPr>
      <w:pStyle w:val="Header"/>
      <w:jc w:val="right"/>
      <w:rPr>
        <w:color w:val="7F7F7F" w:themeColor="text1" w:themeTint="80"/>
        <w:sz w:val="18"/>
        <w:szCs w:val="18"/>
      </w:rPr>
    </w:pPr>
    <w:r w:rsidRPr="003D1416">
      <w:rPr>
        <w:color w:val="7F7F7F" w:themeColor="text1" w:themeTint="80"/>
        <w:sz w:val="18"/>
        <w:szCs w:val="18"/>
      </w:rPr>
      <w:t>Maj Gaberšček, 27212075</w:t>
    </w:r>
  </w:p>
  <w:p w:rsidR="002200EE" w:rsidRPr="003D1416" w:rsidRDefault="002200EE" w:rsidP="009105B3">
    <w:pPr>
      <w:pStyle w:val="Header"/>
      <w:jc w:val="right"/>
      <w:rPr>
        <w:color w:val="7F7F7F" w:themeColor="text1" w:themeTint="8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B4BFA"/>
    <w:multiLevelType w:val="hybridMultilevel"/>
    <w:tmpl w:val="06CAB1D8"/>
    <w:lvl w:ilvl="0" w:tplc="0424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31982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866"/>
    <w:rsid w:val="00083835"/>
    <w:rsid w:val="000E01FA"/>
    <w:rsid w:val="000F57E0"/>
    <w:rsid w:val="00140581"/>
    <w:rsid w:val="00142B75"/>
    <w:rsid w:val="0015492F"/>
    <w:rsid w:val="00183625"/>
    <w:rsid w:val="001870B1"/>
    <w:rsid w:val="001A5D1D"/>
    <w:rsid w:val="001B7C8E"/>
    <w:rsid w:val="002200EE"/>
    <w:rsid w:val="002B6411"/>
    <w:rsid w:val="002C6866"/>
    <w:rsid w:val="00322FD6"/>
    <w:rsid w:val="00324DD5"/>
    <w:rsid w:val="00387688"/>
    <w:rsid w:val="003D1416"/>
    <w:rsid w:val="00460567"/>
    <w:rsid w:val="004A2FFE"/>
    <w:rsid w:val="004C22EC"/>
    <w:rsid w:val="0052746C"/>
    <w:rsid w:val="00554C51"/>
    <w:rsid w:val="00617F2B"/>
    <w:rsid w:val="00630752"/>
    <w:rsid w:val="006871D6"/>
    <w:rsid w:val="006A5B7A"/>
    <w:rsid w:val="006C422C"/>
    <w:rsid w:val="006C66DD"/>
    <w:rsid w:val="006E006A"/>
    <w:rsid w:val="007208FD"/>
    <w:rsid w:val="0075255A"/>
    <w:rsid w:val="00902926"/>
    <w:rsid w:val="009105B3"/>
    <w:rsid w:val="00952BF3"/>
    <w:rsid w:val="00992403"/>
    <w:rsid w:val="009E1D3F"/>
    <w:rsid w:val="00A025F5"/>
    <w:rsid w:val="00A34B00"/>
    <w:rsid w:val="00A7420C"/>
    <w:rsid w:val="00A769A2"/>
    <w:rsid w:val="00A81B4F"/>
    <w:rsid w:val="00AA73EC"/>
    <w:rsid w:val="00AD206D"/>
    <w:rsid w:val="00AD3718"/>
    <w:rsid w:val="00AD3F17"/>
    <w:rsid w:val="00AD7D0F"/>
    <w:rsid w:val="00AF2533"/>
    <w:rsid w:val="00B141D8"/>
    <w:rsid w:val="00B51F19"/>
    <w:rsid w:val="00BE1C8F"/>
    <w:rsid w:val="00BF04B7"/>
    <w:rsid w:val="00BF175E"/>
    <w:rsid w:val="00D73E5F"/>
    <w:rsid w:val="00D96798"/>
    <w:rsid w:val="00D97B5D"/>
    <w:rsid w:val="00DA2E29"/>
    <w:rsid w:val="00DB63C5"/>
    <w:rsid w:val="00E276CF"/>
    <w:rsid w:val="00E45EB1"/>
    <w:rsid w:val="00E461FF"/>
    <w:rsid w:val="00E561E5"/>
    <w:rsid w:val="00E85D50"/>
    <w:rsid w:val="00EA670D"/>
    <w:rsid w:val="00EF4D24"/>
    <w:rsid w:val="00F35B08"/>
    <w:rsid w:val="00F4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F6FECC"/>
  <w15:docId w15:val="{49475473-0C95-48C5-A48A-39B2C3AF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7C8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10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5B3"/>
  </w:style>
  <w:style w:type="paragraph" w:styleId="Footer">
    <w:name w:val="footer"/>
    <w:basedOn w:val="Normal"/>
    <w:link w:val="FooterChar"/>
    <w:uiPriority w:val="99"/>
    <w:unhideWhenUsed/>
    <w:rsid w:val="00910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5B3"/>
  </w:style>
  <w:style w:type="table" w:styleId="TableGrid">
    <w:name w:val="Table Grid"/>
    <w:basedOn w:val="TableNormal"/>
    <w:uiPriority w:val="39"/>
    <w:rsid w:val="00EF4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2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82A5-4B8B-4479-BE8E-00B8B1D21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 Gaberšček</dc:creator>
  <cp:keywords/>
  <dc:description/>
  <cp:lastModifiedBy>Maj Gaberšček</cp:lastModifiedBy>
  <cp:revision>55</cp:revision>
  <dcterms:created xsi:type="dcterms:W3CDTF">2023-05-28T09:54:00Z</dcterms:created>
  <dcterms:modified xsi:type="dcterms:W3CDTF">2023-05-29T14:24:00Z</dcterms:modified>
</cp:coreProperties>
</file>